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1F4BC" w14:textId="77777777" w:rsidR="00E92177" w:rsidRPr="00E63908" w:rsidRDefault="00E63908" w:rsidP="00E04A09">
      <w:pPr>
        <w:pStyle w:val="Ttulo"/>
        <w:spacing w:line="360" w:lineRule="auto"/>
        <w:jc w:val="both"/>
        <w:rPr>
          <w:b/>
          <w:sz w:val="32"/>
          <w:szCs w:val="40"/>
          <w:lang w:val="en-US"/>
        </w:rPr>
      </w:pPr>
      <w:r w:rsidRPr="00E63908">
        <w:rPr>
          <w:b/>
          <w:sz w:val="32"/>
          <w:szCs w:val="40"/>
          <w:lang w:val="en-US"/>
        </w:rPr>
        <w:t xml:space="preserve">Construction of </w:t>
      </w:r>
      <w:r w:rsidRPr="00156423">
        <w:rPr>
          <w:b/>
          <w:i/>
          <w:iCs/>
          <w:sz w:val="32"/>
          <w:szCs w:val="40"/>
          <w:lang w:val="en-US"/>
        </w:rPr>
        <w:t>M. genitalium</w:t>
      </w:r>
      <w:r w:rsidRPr="00E63908">
        <w:rPr>
          <w:b/>
          <w:sz w:val="32"/>
          <w:szCs w:val="40"/>
          <w:lang w:val="en-US"/>
        </w:rPr>
        <w:t xml:space="preserve"> mutants</w:t>
      </w:r>
    </w:p>
    <w:p w14:paraId="1B669E73" w14:textId="7099EC26" w:rsidR="00046A69" w:rsidRDefault="00046A69" w:rsidP="00E04A09">
      <w:pPr>
        <w:spacing w:line="360" w:lineRule="auto"/>
        <w:jc w:val="both"/>
        <w:rPr>
          <w:lang w:val="en-US"/>
        </w:rPr>
      </w:pPr>
      <w:r w:rsidRPr="007228F4">
        <w:rPr>
          <w:b/>
          <w:i/>
          <w:lang w:val="en-US"/>
        </w:rPr>
        <w:t>p</w:t>
      </w:r>
      <w:r w:rsidRPr="007228F4">
        <w:rPr>
          <w:b/>
          <w:i/>
        </w:rPr>
        <w:t>Δ</w:t>
      </w:r>
      <w:r w:rsidRPr="007228F4">
        <w:rPr>
          <w:b/>
          <w:i/>
          <w:lang w:val="en-US"/>
        </w:rPr>
        <w:t>MG_236</w:t>
      </w:r>
      <w:r w:rsidRPr="00E557C2">
        <w:rPr>
          <w:lang w:val="en-US"/>
        </w:rPr>
        <w:t xml:space="preserve">. </w:t>
      </w:r>
      <w:r w:rsidR="00E557C2" w:rsidRPr="00E557C2">
        <w:rPr>
          <w:lang w:val="en-US"/>
        </w:rPr>
        <w:t>This suicide plasmid w</w:t>
      </w:r>
      <w:r w:rsidR="00E557C2">
        <w:rPr>
          <w:lang w:val="en-US"/>
        </w:rPr>
        <w:t xml:space="preserve">as used to generate a </w:t>
      </w:r>
      <w:r w:rsidR="00E557C2" w:rsidRPr="00156423">
        <w:rPr>
          <w:i/>
          <w:iCs/>
          <w:lang w:val="en-US"/>
        </w:rPr>
        <w:t>M. genitalium</w:t>
      </w:r>
      <w:r w:rsidR="00E557C2">
        <w:rPr>
          <w:lang w:val="en-US"/>
        </w:rPr>
        <w:t xml:space="preserve"> </w:t>
      </w:r>
      <w:r w:rsidR="009F4F73" w:rsidRPr="009F4F73">
        <w:rPr>
          <w:i/>
          <w:iCs/>
          <w:lang w:val="en-US"/>
        </w:rPr>
        <w:t>fur</w:t>
      </w:r>
      <w:r w:rsidR="00E557C2">
        <w:rPr>
          <w:lang w:val="en-US"/>
        </w:rPr>
        <w:t xml:space="preserve"> null mutant by homologous recombination (HR). The MG_236 upstream region (UR) was amplified with the primers </w:t>
      </w:r>
      <w:r w:rsidR="00B865A4">
        <w:rPr>
          <w:lang w:val="en-US"/>
        </w:rPr>
        <w:t>mg236 Up-F</w:t>
      </w:r>
      <w:r w:rsidR="00E557C2">
        <w:rPr>
          <w:lang w:val="en-US"/>
        </w:rPr>
        <w:t xml:space="preserve"> and </w:t>
      </w:r>
      <w:r w:rsidR="00B865A4">
        <w:rPr>
          <w:lang w:val="en-US"/>
        </w:rPr>
        <w:t>mg236 Up-R</w:t>
      </w:r>
      <w:r w:rsidR="00E557C2">
        <w:rPr>
          <w:lang w:val="en-US"/>
        </w:rPr>
        <w:t xml:space="preserve"> and the downstream region (DR) was amplified with the mg236</w:t>
      </w:r>
      <w:r w:rsidR="00B865A4">
        <w:rPr>
          <w:lang w:val="en-US"/>
        </w:rPr>
        <w:t xml:space="preserve"> Down-F</w:t>
      </w:r>
      <w:r w:rsidR="00E557C2">
        <w:rPr>
          <w:lang w:val="en-US"/>
        </w:rPr>
        <w:t xml:space="preserve"> and mg236</w:t>
      </w:r>
      <w:r w:rsidR="00B865A4">
        <w:rPr>
          <w:lang w:val="en-US"/>
        </w:rPr>
        <w:t xml:space="preserve"> Down-R</w:t>
      </w:r>
      <w:r w:rsidR="00E557C2">
        <w:rPr>
          <w:lang w:val="en-US"/>
        </w:rPr>
        <w:t xml:space="preserve"> primers. The tetracycline resistance marker under the control of a constitutive promoter of </w:t>
      </w:r>
      <w:r w:rsidR="00E557C2" w:rsidRPr="00B865A4">
        <w:rPr>
          <w:i/>
          <w:iCs/>
          <w:lang w:val="en-US"/>
        </w:rPr>
        <w:t>M. genitalium</w:t>
      </w:r>
      <w:r w:rsidR="00E557C2">
        <w:rPr>
          <w:lang w:val="en-US"/>
        </w:rPr>
        <w:t xml:space="preserve"> (tetM438) was amplified with the primers Tc-F and </w:t>
      </w:r>
      <w:r w:rsidR="00B865A4" w:rsidRPr="00B865A4">
        <w:rPr>
          <w:lang w:val="en-US"/>
        </w:rPr>
        <w:t>Tc-R</w:t>
      </w:r>
      <w:r w:rsidR="00E557C2" w:rsidRPr="00B865A4">
        <w:rPr>
          <w:lang w:val="en-US"/>
        </w:rPr>
        <w:t xml:space="preserve">. </w:t>
      </w:r>
      <w:r w:rsidR="00E557C2">
        <w:rPr>
          <w:lang w:val="en-US"/>
        </w:rPr>
        <w:t xml:space="preserve">Then, the UR and the tetM438 PCR products were joined by Splicing by Overlap Extension (SOE) PCR with the </w:t>
      </w:r>
      <w:r w:rsidR="00B865A4">
        <w:rPr>
          <w:lang w:val="en-US"/>
        </w:rPr>
        <w:t>mg236 Up-F</w:t>
      </w:r>
      <w:r w:rsidR="00E557C2">
        <w:rPr>
          <w:lang w:val="en-US"/>
        </w:rPr>
        <w:t xml:space="preserve"> </w:t>
      </w:r>
      <w:r w:rsidR="00B865A4">
        <w:rPr>
          <w:lang w:val="en-US"/>
        </w:rPr>
        <w:t xml:space="preserve">and </w:t>
      </w:r>
      <w:r w:rsidR="0035104E">
        <w:rPr>
          <w:lang w:val="en-US"/>
        </w:rPr>
        <w:t>Tc-R</w:t>
      </w:r>
      <w:r w:rsidR="00E557C2">
        <w:rPr>
          <w:lang w:val="en-US"/>
        </w:rPr>
        <w:t xml:space="preserve"> primers. Next, the product of the SOE-PCR and the DR were also joined using SOE-PCR with </w:t>
      </w:r>
      <w:r w:rsidR="007228F4">
        <w:rPr>
          <w:lang w:val="en-US"/>
        </w:rPr>
        <w:t xml:space="preserve">the </w:t>
      </w:r>
      <w:r w:rsidR="00B865A4">
        <w:rPr>
          <w:lang w:val="en-US"/>
        </w:rPr>
        <w:t>mg236 Up-F</w:t>
      </w:r>
      <w:r w:rsidR="007228F4">
        <w:rPr>
          <w:lang w:val="en-US"/>
        </w:rPr>
        <w:t xml:space="preserve"> and mg236</w:t>
      </w:r>
      <w:r w:rsidR="00B865A4">
        <w:rPr>
          <w:lang w:val="en-US"/>
        </w:rPr>
        <w:t xml:space="preserve"> Down-R</w:t>
      </w:r>
      <w:r w:rsidR="007228F4">
        <w:rPr>
          <w:lang w:val="en-US"/>
        </w:rPr>
        <w:t xml:space="preserve"> primers. The resulting PCR product was cloned into an </w:t>
      </w:r>
      <w:r w:rsidR="007228F4" w:rsidRPr="00065836">
        <w:rPr>
          <w:i/>
          <w:iCs/>
          <w:lang w:val="en-US"/>
        </w:rPr>
        <w:t>Eco</w:t>
      </w:r>
      <w:r w:rsidR="007228F4">
        <w:rPr>
          <w:lang w:val="en-US"/>
        </w:rPr>
        <w:t>RV-digested pBE plasmid</w:t>
      </w:r>
      <w:r w:rsidR="00D04720">
        <w:rPr>
          <w:lang w:val="en-US"/>
        </w:rPr>
        <w:fldChar w:fldCharType="begin" w:fldLock="1"/>
      </w:r>
      <w:r w:rsidR="00D04720">
        <w:rPr>
          <w:lang w:val="en-US"/>
        </w:rPr>
        <w:instrText>ADDIN CSL_CITATION {"citationItems":[{"id":"ITEM-1","itemData":{"DOI":"10.1099/mic.0.28287-0","ISBN":"1350-0872 (Print)","ISSN":"13500872","PMID":"16436439","abstract":"Mycoplasma genitalium has been proposed as a suitable model for an in-depth understanding of the biology of a free-living organism. This paper reports that the expression of the aminoglycoside resistance gene aac(6')-aph(2''), the only selectable marker hitherto available for M. genitalium genetic studies, correlates with a growth impairment of the resistant strains. In light of this finding, a tetM438 construction based on the tetracycline resistance gene tetM was developed; it can be used efficiently in M. genitalium and confers multiple advantages when compared to aac(6')-aph(2''). The use of tetM438 significantly improves transformation efficiency and generates visible colonies faster. Finally, the improvements in the pMTnTetM438 construction made it possible to obtain insertions in genes which have not been previously considered to be dispensable under laboratory growth conditions.","author":[{"dropping-particle":"","family":"Pich","given":"O.Q.","non-dropping-particle":"","parse-names":false,"suffix":""},{"dropping-particle":"","family":"Burgos","given":"R.","non-dropping-particle":"","parse-names":false,"suffix":""},{"dropping-particle":"","family":"Planell","given":"R.","non-dropping-particle":"","parse-names":false,"suffix":""},{"dropping-particle":"","family":"Querol","given":"E.","non-dropping-particle":"","parse-names":false,"suffix":""},{"dropping-particle":"","family":"Piñol","given":"J.","non-dropping-particle":"","parse-names":false,"suffix":""}],"container-title":"Microbiology","id":"ITEM-1","issue":"2","issued":{"date-parts":[["2006"]]},"page":"519-527","title":"Comparative analysis of antibiotic resistance gene markers in &lt;i&gt;Mycoplasma genitalium&lt;/i&gt;: application to studies of the minimal gene complement","type":"article-journal","volume":"152"},"uris":["http://www.mendeley.com/documents/?uuid=672cb0f1-f34b-4695-8100-17569913ee1e"]}],"mendeley":{"formattedCitation":"&lt;sup&gt;1&lt;/sup&gt;","plainTextFormattedCitation":"1","previouslyFormattedCitation":"&lt;sup&gt;1&lt;/sup&gt;"},"properties":{"noteIndex":0},"schema":"https://github.com/citation-style-language/schema/raw/master/csl-citation.json"}</w:instrText>
      </w:r>
      <w:r w:rsidR="00D04720">
        <w:rPr>
          <w:lang w:val="en-US"/>
        </w:rPr>
        <w:fldChar w:fldCharType="separate"/>
      </w:r>
      <w:r w:rsidR="00D04720" w:rsidRPr="00D04720">
        <w:rPr>
          <w:noProof/>
          <w:vertAlign w:val="superscript"/>
          <w:lang w:val="en-US"/>
        </w:rPr>
        <w:t>1</w:t>
      </w:r>
      <w:r w:rsidR="00D04720">
        <w:rPr>
          <w:lang w:val="en-US"/>
        </w:rPr>
        <w:fldChar w:fldCharType="end"/>
      </w:r>
      <w:r w:rsidR="007228F4">
        <w:rPr>
          <w:lang w:val="en-US"/>
        </w:rPr>
        <w:t xml:space="preserve">. </w:t>
      </w:r>
      <w:r w:rsidR="00B865A4">
        <w:rPr>
          <w:lang w:val="en-US"/>
        </w:rPr>
        <w:t xml:space="preserve">In order to reduce the polar effects derived from </w:t>
      </w:r>
      <w:r w:rsidR="001E55D8">
        <w:rPr>
          <w:lang w:val="en-US"/>
        </w:rPr>
        <w:t xml:space="preserve">the </w:t>
      </w:r>
      <w:r w:rsidR="00D6736E">
        <w:rPr>
          <w:lang w:val="en-US"/>
        </w:rPr>
        <w:t xml:space="preserve">insertion of the </w:t>
      </w:r>
      <w:r w:rsidR="001E55D8">
        <w:rPr>
          <w:lang w:val="en-US"/>
        </w:rPr>
        <w:t xml:space="preserve">resistance marker, we </w:t>
      </w:r>
      <w:r w:rsidR="00D6736E">
        <w:rPr>
          <w:lang w:val="en-US"/>
        </w:rPr>
        <w:t xml:space="preserve">cloned </w:t>
      </w:r>
      <w:r w:rsidR="001E55D8">
        <w:rPr>
          <w:lang w:val="en-US"/>
        </w:rPr>
        <w:t xml:space="preserve">a transcription terminator after </w:t>
      </w:r>
      <w:r w:rsidR="00D6736E">
        <w:rPr>
          <w:lang w:val="en-US"/>
        </w:rPr>
        <w:t>tetM438</w:t>
      </w:r>
      <w:r w:rsidR="001E55D8">
        <w:rPr>
          <w:lang w:val="en-US"/>
        </w:rPr>
        <w:t xml:space="preserve">. </w:t>
      </w:r>
      <w:r w:rsidR="00FB063C">
        <w:rPr>
          <w:lang w:val="en-US"/>
        </w:rPr>
        <w:t xml:space="preserve">This terminator sequence is present between the metal acquisition operon </w:t>
      </w:r>
      <w:r w:rsidR="00C147A3">
        <w:rPr>
          <w:lang w:val="en-US"/>
        </w:rPr>
        <w:t xml:space="preserve">(MG_304-MG_302) </w:t>
      </w:r>
      <w:r w:rsidR="00FB063C">
        <w:rPr>
          <w:lang w:val="en-US"/>
        </w:rPr>
        <w:t xml:space="preserve">and the </w:t>
      </w:r>
      <w:r w:rsidR="00FB063C" w:rsidRPr="00065836">
        <w:rPr>
          <w:i/>
          <w:iCs/>
          <w:lang w:val="en-US"/>
        </w:rPr>
        <w:t>dnaK</w:t>
      </w:r>
      <w:r w:rsidR="00FB063C">
        <w:rPr>
          <w:i/>
          <w:iCs/>
          <w:lang w:val="en-US"/>
        </w:rPr>
        <w:t xml:space="preserve"> </w:t>
      </w:r>
      <w:r w:rsidR="00FB063C">
        <w:rPr>
          <w:lang w:val="en-US"/>
        </w:rPr>
        <w:t>gene</w:t>
      </w:r>
      <w:r w:rsidR="00C147A3">
        <w:rPr>
          <w:lang w:val="en-US"/>
        </w:rPr>
        <w:t xml:space="preserve"> (MG_305) and was identified using the TransTermHP software</w:t>
      </w:r>
      <w:r w:rsidR="00C147A3">
        <w:rPr>
          <w:lang w:val="en-US"/>
        </w:rPr>
        <w:fldChar w:fldCharType="begin" w:fldLock="1"/>
      </w:r>
      <w:r w:rsidR="00EC1849">
        <w:rPr>
          <w:lang w:val="en-US"/>
        </w:rPr>
        <w:instrText>ADDIN CSL_CITATION {"citationItems":[{"id":"ITEM-1","itemData":{"DOI":"10.1186/gb-2007-8-2-r22","ISBN":"10.1186/gb-2007-8-2-r22","ISSN":"1474-760X","PMID":"17313685","abstract":"BACKGROUND: In many prokaryotes, transcription of DNA to RNA is terminated by a thymine-rich stretch of DNA following a hairpin loop. Detecting such Rho-independent transcription terminators can shed light on the organization of bacterial genomes and can improve genome annotation. Previous computational methods to predict Rho-independent terminators have been slow or limited in the organisms they consider.\\n\\nRESULTS: We describe TransTermHP, a new computational method to rapidly and accurately detect Rho-independent transcription terminators. We predict the locations of terminators in 343 prokaryotic genomes, representing the largest collection of predictions available. In Bacillus subtilis, we can detect 93% of known terminators with a false positive rate of just 6%, comparable to the best-known methods. Outside the Firmicutes division, we find that Rho-independent termination plays a large role in the Neisseria and Vibrio genera, the Pasteurellaceae (including the Haemophilus genus) and several other species. In Neisseria and Pasteurellaceae, terminator hairpins are frequently formed by closely spaced, complementary instances of exogenous DNA uptake signal sequences. We quantify the propensity for terminators to include these sequences. In the process, we provide the first discussion of potential uptake signals in Haemophilus ducreyi and Mannheimia succiniciproducens, and we discuss the preference for a particular configuration of uptake signal sequences within terminators.\\n\\nCONCLUSION: Our new fast and accurate method for detecting transcription terminators has allowed us to identify and analyze terminators in many new genomes and to identify DNA uptake signal sequences in several species where they have not been previously reported. Our software and predictions are freely available.","author":[{"dropping-particle":"","family":"Kingsford","given":"Carleton L","non-dropping-particle":"","parse-names":false,"suffix":""},{"dropping-particle":"","family":"Ayanbule","given":"Kunmi","non-dropping-particle":"","parse-names":false,"suffix":""},{"dropping-particle":"","family":"Salzberg","given":"Steven L","non-dropping-particle":"","parse-names":false,"suffix":""}],"container-title":"Genome Biology","id":"ITEM-1","issue":"2","issued":{"date-parts":[["2007"]]},"page":"R22","title":"Rapid, accurate, computational discovery of Rho-independent transcription terminators illuminates their relationship to DNA uptake.","type":"article-journal","volume":"8"},"uris":["http://www.mendeley.com/documents/?uuid=6da75e29-cf6b-4c4e-a022-1dd8a2dc8b70"]}],"mendeley":{"formattedCitation":"&lt;sup&gt;2&lt;/sup&gt;","plainTextFormattedCitation":"2","previouslyFormattedCitation":"&lt;sup&gt;2&lt;/sup&gt;"},"properties":{"noteIndex":0},"schema":"https://github.com/citation-style-language/schema/raw/master/csl-citation.json"}</w:instrText>
      </w:r>
      <w:r w:rsidR="00C147A3">
        <w:rPr>
          <w:lang w:val="en-US"/>
        </w:rPr>
        <w:fldChar w:fldCharType="separate"/>
      </w:r>
      <w:r w:rsidR="00C147A3" w:rsidRPr="00C147A3">
        <w:rPr>
          <w:noProof/>
          <w:vertAlign w:val="superscript"/>
          <w:lang w:val="en-US"/>
        </w:rPr>
        <w:t>2</w:t>
      </w:r>
      <w:r w:rsidR="00C147A3">
        <w:rPr>
          <w:lang w:val="en-US"/>
        </w:rPr>
        <w:fldChar w:fldCharType="end"/>
      </w:r>
      <w:r w:rsidR="00C147A3">
        <w:rPr>
          <w:lang w:val="en-US"/>
        </w:rPr>
        <w:t xml:space="preserve">. </w:t>
      </w:r>
      <w:r w:rsidR="001E55D8">
        <w:rPr>
          <w:lang w:val="en-US"/>
        </w:rPr>
        <w:t xml:space="preserve">This </w:t>
      </w:r>
      <w:r w:rsidR="00C147A3">
        <w:rPr>
          <w:lang w:val="en-US"/>
        </w:rPr>
        <w:t xml:space="preserve">transcriptional </w:t>
      </w:r>
      <w:r w:rsidR="001E55D8">
        <w:rPr>
          <w:lang w:val="en-US"/>
        </w:rPr>
        <w:t xml:space="preserve">terminator was amplified using the TER305-F and TER305-R primers and digested with </w:t>
      </w:r>
      <w:r w:rsidR="001E55D8" w:rsidRPr="00065836">
        <w:rPr>
          <w:i/>
          <w:iCs/>
          <w:lang w:val="en-US"/>
        </w:rPr>
        <w:t>Bam</w:t>
      </w:r>
      <w:r w:rsidR="001E55D8">
        <w:rPr>
          <w:lang w:val="en-US"/>
        </w:rPr>
        <w:t xml:space="preserve">HI. The plasmid was also digested with </w:t>
      </w:r>
      <w:r w:rsidR="001E55D8" w:rsidRPr="00065836">
        <w:rPr>
          <w:i/>
          <w:iCs/>
          <w:lang w:val="en-US"/>
        </w:rPr>
        <w:t>Bam</w:t>
      </w:r>
      <w:r w:rsidR="001E55D8">
        <w:rPr>
          <w:lang w:val="en-US"/>
        </w:rPr>
        <w:t xml:space="preserve">HI and dephosphorylated to prevent </w:t>
      </w:r>
      <w:r w:rsidR="00D6736E">
        <w:rPr>
          <w:lang w:val="en-US"/>
        </w:rPr>
        <w:t>self-</w:t>
      </w:r>
      <w:r w:rsidR="001E55D8">
        <w:rPr>
          <w:lang w:val="en-US"/>
        </w:rPr>
        <w:t>l</w:t>
      </w:r>
      <w:r w:rsidR="00D6736E">
        <w:rPr>
          <w:lang w:val="en-US"/>
        </w:rPr>
        <w:t>i</w:t>
      </w:r>
      <w:r w:rsidR="001E55D8">
        <w:rPr>
          <w:lang w:val="en-US"/>
        </w:rPr>
        <w:t>gation. Then, the terminator was cloned into the plasmid</w:t>
      </w:r>
      <w:r w:rsidR="00065836">
        <w:rPr>
          <w:lang w:val="en-US"/>
        </w:rPr>
        <w:t>.</w:t>
      </w:r>
    </w:p>
    <w:p w14:paraId="4AD96690" w14:textId="5C055820" w:rsidR="007228F4" w:rsidRDefault="007228F4" w:rsidP="00E04A09">
      <w:pPr>
        <w:spacing w:line="360" w:lineRule="auto"/>
        <w:jc w:val="both"/>
        <w:rPr>
          <w:lang w:val="en-US"/>
        </w:rPr>
      </w:pPr>
      <w:r w:rsidRPr="007228F4">
        <w:rPr>
          <w:b/>
          <w:i/>
          <w:lang w:val="en-US"/>
        </w:rPr>
        <w:t>pMTnCatMG_236</w:t>
      </w:r>
      <w:r w:rsidRPr="007228F4">
        <w:rPr>
          <w:lang w:val="en-US"/>
        </w:rPr>
        <w:t xml:space="preserve">. </w:t>
      </w:r>
      <w:r>
        <w:rPr>
          <w:lang w:val="en-US"/>
        </w:rPr>
        <w:t xml:space="preserve">This plasmid </w:t>
      </w:r>
      <w:r w:rsidR="006935CF">
        <w:rPr>
          <w:lang w:val="en-US"/>
        </w:rPr>
        <w:t xml:space="preserve">contains a minitransposon carrying </w:t>
      </w:r>
      <w:r>
        <w:rPr>
          <w:lang w:val="en-US"/>
        </w:rPr>
        <w:t xml:space="preserve">a wild-type copy of the </w:t>
      </w:r>
      <w:r w:rsidR="009F4F73" w:rsidRPr="009F4F73">
        <w:rPr>
          <w:i/>
          <w:iCs/>
          <w:lang w:val="en-US"/>
        </w:rPr>
        <w:t>fur</w:t>
      </w:r>
      <w:r>
        <w:rPr>
          <w:lang w:val="en-US"/>
        </w:rPr>
        <w:t xml:space="preserve"> allele under its own promoter and was used to restore the wild-type phenotype of the </w:t>
      </w:r>
      <w:r w:rsidR="009F4F73" w:rsidRPr="009F4F73">
        <w:rPr>
          <w:i/>
          <w:iCs/>
          <w:lang w:val="en-US"/>
        </w:rPr>
        <w:t>fur</w:t>
      </w:r>
      <w:r>
        <w:rPr>
          <w:lang w:val="en-US"/>
        </w:rPr>
        <w:t xml:space="preserve"> mutant. The plasmid contains a chloramphenicol resistance marker. The MG_236 allele was amplified by PCR with the COMmg236-F</w:t>
      </w:r>
      <w:r w:rsidR="006477DE">
        <w:rPr>
          <w:lang w:val="en-US"/>
        </w:rPr>
        <w:t xml:space="preserve"> </w:t>
      </w:r>
      <w:r>
        <w:rPr>
          <w:lang w:val="en-US"/>
        </w:rPr>
        <w:t>(</w:t>
      </w:r>
      <w:r w:rsidRPr="00065836">
        <w:rPr>
          <w:i/>
          <w:iCs/>
          <w:lang w:val="en-US"/>
        </w:rPr>
        <w:t>Xba</w:t>
      </w:r>
      <w:r>
        <w:rPr>
          <w:lang w:val="en-US"/>
        </w:rPr>
        <w:t>I) and COMmg236-R</w:t>
      </w:r>
      <w:r w:rsidR="006477DE">
        <w:rPr>
          <w:lang w:val="en-US"/>
        </w:rPr>
        <w:t xml:space="preserve"> </w:t>
      </w:r>
      <w:r>
        <w:rPr>
          <w:lang w:val="en-US"/>
        </w:rPr>
        <w:t>(</w:t>
      </w:r>
      <w:r w:rsidRPr="00065836">
        <w:rPr>
          <w:i/>
          <w:iCs/>
          <w:lang w:val="en-US"/>
        </w:rPr>
        <w:t>Not</w:t>
      </w:r>
      <w:r>
        <w:rPr>
          <w:lang w:val="en-US"/>
        </w:rPr>
        <w:t xml:space="preserve">I), digested with </w:t>
      </w:r>
      <w:r w:rsidRPr="00065836">
        <w:rPr>
          <w:i/>
          <w:iCs/>
          <w:lang w:val="en-US"/>
        </w:rPr>
        <w:t>Xba</w:t>
      </w:r>
      <w:r>
        <w:rPr>
          <w:lang w:val="en-US"/>
        </w:rPr>
        <w:t xml:space="preserve">I and </w:t>
      </w:r>
      <w:r w:rsidRPr="00065836">
        <w:rPr>
          <w:i/>
          <w:iCs/>
          <w:lang w:val="en-US"/>
        </w:rPr>
        <w:t>Not</w:t>
      </w:r>
      <w:r>
        <w:rPr>
          <w:lang w:val="en-US"/>
        </w:rPr>
        <w:t>I and ligated into a digested pMTnCat plasmid</w:t>
      </w:r>
      <w:r w:rsidR="006935CF">
        <w:rPr>
          <w:lang w:val="en-US"/>
        </w:rPr>
        <w:fldChar w:fldCharType="begin" w:fldLock="1"/>
      </w:r>
      <w:r w:rsidR="00EC1849">
        <w:rPr>
          <w:lang w:val="en-US"/>
        </w:rPr>
        <w:instrText>ADDIN CSL_CITATION {"citationItems":[{"id":"ITEM-1","itemData":{"DOI":"10.1111/j.1365-2958.2012.08200.x","ISBN":"1365-2958 (Electronic)\\r0950-382X (Linking)","ISSN":"0950382X","PMID":"22925012","abstract":"Mycoplasma genitalium is an emerging human pathogen with the smallest genome found among self-replicating organisms. M. genitalium presents a complex cytoskeleton with a differentiated protrusion known as the terminal organelle. This polar structure plays a central role in functions essential for the virulence of the microorganism, such as motility and cell-host adhesion. A well-conserved Enriched in Aromatic and Glycine Residues motif, the EAGR box, is present in many of the proteins found in the terminal organelle. We determined the crystal structure of the globular domain from M. genitalium MG200 that contains an EAGR box. This structural information is the first at near atomic resolution for the components of the terminal organelle. The structure revealed a dimer stabilized by a compact hydrophobic core that extends throughout the dimer interface. Monomers present a new fold that contains an accurate intra-subunit symmetry relating two conspicuous hairpins. Some features, such as the domain plasticity and the presence and organization of the intra- and inter-subunit symmetry axes, support a role for the EAGR box in protein-protein interactions. Genetic, biochemical and microcinematography analyses of MG200 variants lacking the EAGR box containing domain confirm the relevant and specific association of this domain with cell motility.","author":[{"dropping-particle":"","family":"Calisto","given":"Bárbara M.","non-dropping-particle":"","parse-names":false,"suffix":""},{"dropping-particle":"","family":"Broto","given":"Alícia","non-dropping-particle":"","parse-names":false,"suffix":""},{"dropping-particle":"","family":"Martinelli","given":"Luca","non-dropping-particle":"","parse-names":false,"suffix":""},{"dropping-particle":"","family":"Querol","given":"Enrique","non-dropping-particle":"","parse-names":false,"suffix":""},{"dropping-particle":"","family":"Piñol","given":"Jaume","non-dropping-particle":"","parse-names":false,"suffix":""},{"dropping-particle":"","family":"Fita","given":"Ignacio","non-dropping-particle":"","parse-names":false,"suffix":""}],"container-title":"Molecular Microbiology","id":"ITEM-1","issue":"2","issued":{"date-parts":[["2012"]]},"note":"From Duplicate 2 (The EAGR box structure: A motif involved in mycoplasma motility - Calisto, Bárbara M.; Broto, Alícia; Martinelli, Luca; Querol, Enrique; Piñol, Jaume; Fita, Ignacio)\n\nNULL","page":"382-393","title":"The EAGR box structure: a motif involved in Mycoplasma motility","type":"article-journal","volume":"86"},"uris":["http://www.mendeley.com/documents/?uuid=5bfa22f8-c47e-4162-b73d-f9c335df7223"]}],"mendeley":{"formattedCitation":"&lt;sup&gt;3&lt;/sup&gt;","plainTextFormattedCitation":"3","previouslyFormattedCitation":"&lt;sup&gt;3&lt;/sup&gt;"},"properties":{"noteIndex":0},"schema":"https://github.com/citation-style-language/schema/raw/master/csl-citation.json"}</w:instrText>
      </w:r>
      <w:r w:rsidR="006935CF">
        <w:rPr>
          <w:lang w:val="en-US"/>
        </w:rPr>
        <w:fldChar w:fldCharType="separate"/>
      </w:r>
      <w:r w:rsidR="00C147A3" w:rsidRPr="00C147A3">
        <w:rPr>
          <w:noProof/>
          <w:vertAlign w:val="superscript"/>
          <w:lang w:val="en-US"/>
        </w:rPr>
        <w:t>3</w:t>
      </w:r>
      <w:r w:rsidR="006935CF">
        <w:rPr>
          <w:lang w:val="en-US"/>
        </w:rPr>
        <w:fldChar w:fldCharType="end"/>
      </w:r>
      <w:r>
        <w:rPr>
          <w:lang w:val="en-US"/>
        </w:rPr>
        <w:t>.</w:t>
      </w:r>
    </w:p>
    <w:p w14:paraId="707206A6" w14:textId="30B4263F" w:rsidR="001F1AEA" w:rsidRDefault="001F1AEA" w:rsidP="00E04A09">
      <w:pPr>
        <w:spacing w:line="360" w:lineRule="auto"/>
        <w:jc w:val="both"/>
        <w:rPr>
          <w:lang w:val="en-US"/>
        </w:rPr>
      </w:pPr>
      <w:r w:rsidRPr="001F1AEA">
        <w:rPr>
          <w:b/>
          <w:i/>
          <w:lang w:val="en-US"/>
        </w:rPr>
        <w:t>pMTnWT149CatCh</w:t>
      </w:r>
      <w:r>
        <w:rPr>
          <w:lang w:val="en-US"/>
        </w:rPr>
        <w:t>. This plasmid carries a chloramphenicol acetyl transferase resistance marker fused to a</w:t>
      </w:r>
      <w:r w:rsidR="00D04720">
        <w:rPr>
          <w:lang w:val="en-US"/>
        </w:rPr>
        <w:t>n</w:t>
      </w:r>
      <w:r>
        <w:rPr>
          <w:lang w:val="en-US"/>
        </w:rPr>
        <w:t xml:space="preserve"> mCherry tag </w:t>
      </w:r>
      <w:r w:rsidR="00095FDB">
        <w:rPr>
          <w:lang w:val="en-US"/>
        </w:rPr>
        <w:t xml:space="preserve">(Cat:Ch) </w:t>
      </w:r>
      <w:r>
        <w:rPr>
          <w:lang w:val="en-US"/>
        </w:rPr>
        <w:t xml:space="preserve">under the control of the promoter </w:t>
      </w:r>
      <w:r w:rsidR="00D04720">
        <w:rPr>
          <w:lang w:val="en-US"/>
        </w:rPr>
        <w:t xml:space="preserve">region </w:t>
      </w:r>
      <w:r>
        <w:rPr>
          <w:lang w:val="en-US"/>
        </w:rPr>
        <w:t xml:space="preserve">of </w:t>
      </w:r>
      <w:r w:rsidR="009F4F73" w:rsidRPr="009F4F73">
        <w:rPr>
          <w:i/>
          <w:iCs/>
          <w:lang w:val="en-US"/>
        </w:rPr>
        <w:t>hrl</w:t>
      </w:r>
      <w:r w:rsidR="00324182">
        <w:rPr>
          <w:i/>
          <w:iCs/>
          <w:lang w:val="en-US"/>
        </w:rPr>
        <w:t xml:space="preserve"> </w:t>
      </w:r>
      <w:r w:rsidR="00324182">
        <w:rPr>
          <w:iCs/>
          <w:lang w:val="en-US"/>
        </w:rPr>
        <w:t>(</w:t>
      </w:r>
      <w:r w:rsidR="00324182" w:rsidRPr="00324182">
        <w:rPr>
          <w:iCs/>
          <w:lang w:val="en-US"/>
        </w:rPr>
        <w:t>gcttatttagaaaaattcaaaataagcaaatTATAAT</w:t>
      </w:r>
      <w:r w:rsidR="00324182">
        <w:rPr>
          <w:iCs/>
          <w:lang w:val="en-US"/>
        </w:rPr>
        <w:t>)</w:t>
      </w:r>
      <w:r w:rsidR="00C25F9C">
        <w:rPr>
          <w:lang w:val="en-US"/>
        </w:rPr>
        <w:t xml:space="preserve">, which contains </w:t>
      </w:r>
      <w:r w:rsidR="00E94104">
        <w:rPr>
          <w:lang w:val="en-US"/>
        </w:rPr>
        <w:t xml:space="preserve">a putative </w:t>
      </w:r>
      <w:r w:rsidR="00E94104" w:rsidRPr="00065836">
        <w:rPr>
          <w:i/>
          <w:iCs/>
          <w:lang w:val="en-US"/>
        </w:rPr>
        <w:t>fur</w:t>
      </w:r>
      <w:r w:rsidR="00E94104">
        <w:rPr>
          <w:lang w:val="en-US"/>
        </w:rPr>
        <w:t xml:space="preserve"> box</w:t>
      </w:r>
      <w:r>
        <w:rPr>
          <w:lang w:val="en-US"/>
        </w:rPr>
        <w:t xml:space="preserve">. </w:t>
      </w:r>
      <w:r w:rsidR="00E04A09">
        <w:rPr>
          <w:lang w:val="en-US"/>
        </w:rPr>
        <w:t>The selectable marker fused to the fluorescent tag was amplified from a pCat:Ch plasmid</w:t>
      </w:r>
      <w:r w:rsidR="006935CF">
        <w:rPr>
          <w:lang w:val="en-US"/>
        </w:rPr>
        <w:fldChar w:fldCharType="begin" w:fldLock="1"/>
      </w:r>
      <w:r w:rsidR="00EC1849">
        <w:rPr>
          <w:lang w:val="en-US"/>
        </w:rPr>
        <w:instrText>ADDIN CSL_CITATION {"citationItems":[{"id":"ITEM-1","itemData":{"DOI":"10.1093/nar/gkv422","ISSN":"13624962","PMID":"25925568","abstract":"The Mycoplasma genitalium MG428 protein shows homology to members of the sigma-70 family of sigma factors. Herein, we found that MG428 activates transcription of recA, ruvA and ruvB as well as several genes with unknown function. Deletion of MG_428 or some of the up-regulated unknown genes led to severe recombination defects. Single cell analyses revealed that activation of the MG428-regulon is a rare event under laboratory growth conditions. A conserved sequence with sigma-70 promoter architecture (TTGTCA-N18/19-ATTWAT) was identified in the upstream region of all of the MG428-regulated genes or operons. Primer extension analyses demonstrated that transcription initiates immediately downstream of this sigma70-type promoter in a MG428-dependent manner. Furthermore, mutagenesis of the conserved -10 and -35 elements corroborated the requirement of these regions for promoter function. Therefore, a new mycoplasma promoter directs transcription of a unique recombination regulon. Additionally, MG428 was found to interact with the RNAP core enzyme, reinforcing the predicted role of this protein as an alternative sigma factor. Finally, our results indicate that MG428 contributes to the generation of genetic diversity in this model organism. Since recombination is an important mechanism to generate antigenic variation, MG428 emerges as a novel factor contributing to M. genitalium virulence.","author":[{"dropping-particle":"","family":"Torres-Puig","given":"Sergi","non-dropping-particle":"","parse-names":false,"suffix":""},{"dropping-particle":"","family":"Broto","given":"Alicia","non-dropping-particle":"","parse-names":false,"suffix":""},{"dropping-particle":"","family":"Querol","given":"Enrique","non-dropping-particle":"","parse-names":false,"suffix":""},{"dropping-particle":"","family":"Piñol","given":"Jaume","non-dropping-particle":"","parse-names":false,"suffix":""},{"dropping-particle":"","family":"Pich","given":"Oscar Q.","non-dropping-particle":"","parse-names":false,"suffix":""}],"container-title":"Nucleic Acids Research","id":"ITEM-1","issue":"10","issued":{"date-parts":[["2015"]]},"page":"4923-4936","title":"A novel sigma factor reveals a unique regulon controlling cell-specific recombination in &lt;i&gt;Mycoplasma genitalium&lt;/i&gt;","type":"article-journal","volume":"43"},"uris":["http://www.mendeley.com/documents/?uuid=57ea8911-b876-4434-b8a7-41e51348dcf4"]}],"mendeley":{"formattedCitation":"&lt;sup&gt;4&lt;/sup&gt;","plainTextFormattedCitation":"4","previouslyFormattedCitation":"&lt;sup&gt;4&lt;/sup&gt;"},"properties":{"noteIndex":0},"schema":"https://github.com/citation-style-language/schema/raw/master/csl-citation.json"}</w:instrText>
      </w:r>
      <w:r w:rsidR="006935CF">
        <w:rPr>
          <w:lang w:val="en-US"/>
        </w:rPr>
        <w:fldChar w:fldCharType="separate"/>
      </w:r>
      <w:r w:rsidR="00C147A3" w:rsidRPr="00C147A3">
        <w:rPr>
          <w:noProof/>
          <w:vertAlign w:val="superscript"/>
          <w:lang w:val="en-US"/>
        </w:rPr>
        <w:t>4</w:t>
      </w:r>
      <w:r w:rsidR="006935CF">
        <w:rPr>
          <w:lang w:val="en-US"/>
        </w:rPr>
        <w:fldChar w:fldCharType="end"/>
      </w:r>
      <w:r w:rsidR="00E04A09">
        <w:rPr>
          <w:lang w:val="en-US"/>
        </w:rPr>
        <w:t xml:space="preserve"> with the wtMG149furbox-F and </w:t>
      </w:r>
      <w:r w:rsidR="009F4F73">
        <w:rPr>
          <w:lang w:val="en-US"/>
        </w:rPr>
        <w:t>Ch</w:t>
      </w:r>
      <w:r w:rsidR="00E04A09">
        <w:rPr>
          <w:lang w:val="en-US"/>
        </w:rPr>
        <w:t xml:space="preserve">-R primers. This PCR product was later digested with </w:t>
      </w:r>
      <w:r w:rsidR="00E04A09" w:rsidRPr="00065836">
        <w:rPr>
          <w:i/>
          <w:iCs/>
          <w:lang w:val="en-US"/>
        </w:rPr>
        <w:t>Apa</w:t>
      </w:r>
      <w:r w:rsidR="00E04A09">
        <w:rPr>
          <w:lang w:val="en-US"/>
        </w:rPr>
        <w:t xml:space="preserve">I and </w:t>
      </w:r>
      <w:r w:rsidR="00E04A09" w:rsidRPr="00065836">
        <w:rPr>
          <w:i/>
          <w:iCs/>
          <w:lang w:val="en-US"/>
        </w:rPr>
        <w:t>Xho</w:t>
      </w:r>
      <w:r w:rsidR="00E04A09">
        <w:rPr>
          <w:lang w:val="en-US"/>
        </w:rPr>
        <w:t>I and inserted in a similarly digested pMTnPac plasmid</w:t>
      </w:r>
      <w:r w:rsidR="00104CE3">
        <w:rPr>
          <w:lang w:val="en-US"/>
        </w:rPr>
        <w:fldChar w:fldCharType="begin" w:fldLock="1"/>
      </w:r>
      <w:r w:rsidR="00EC1849">
        <w:rPr>
          <w:lang w:val="en-US"/>
        </w:rPr>
        <w:instrText>ADDIN CSL_CITATION {"citationItems":[{"id":"ITEM-1","itemData":{"DOI":"10.1093/dnares/dsy011","ISSN":"17561663","abstract":"In the human pathogen Mycoplasma genitalium, homologous recombination is under the control of r 20 , an alternative sigma factor that boosts the generation of genetic and antigenic diversity in the population. Under laboratory growth conditions, r 20 activation is rare and the factors govern-ing its intermittent activity are unknown. Two r 20 -regulated genes, rrlA and rrlB, showed to be important for recombination of homologous DNA sequences in this bacterium. Herein, we dem-onstrate that rrlA and rrlB code for two small proteins that participate in a feed-forward loop es-sential for r 20 function. In addition, we identify novel genes regulated by r 20 and show that several non-coding regions, which function as a reservoir for the generation of antigenic diversity, are also activated by this alternative sigma factor. Finally, we reveal that M. genitalium cells can transfer DNA horizontally by a novel mechanism that requires RecA and is facilitated by r 20 over-expression. This DNA transfer system is arguably fundamental for persistence of M. genitalium within the host since it could facilitate a rapid dissemination of successful antigenic variants within the population. Overall, these findings impose a novel conception of genome evolution, genetic variation and survival of M. genitalium within the host.","author":[{"dropping-particle":"","family":"Torres-Puig","given":"Sergi","non-dropping-particle":"","parse-names":false,"suffix":""},{"dropping-particle":"","family":"Martínez-Torró","given":"Carlos","non-dropping-particle":"","parse-names":false,"suffix":""},{"dropping-particle":"","family":"Granero-Moya","given":"Ignasi","non-dropping-particle":"","parse-names":false,"suffix":""},{"dropping-particle":"","family":"Querol","given":"Enrique","non-dropping-particle":"","parse-names":false,"suffix":""},{"dropping-particle":"","family":"Piñol","given":"Jaume","non-dropping-particle":"","parse-names":false,"suffix":""},{"dropping-particle":"","family":"Pich","given":"Oscar Q.","non-dropping-particle":"","parse-names":false,"suffix":""}],"container-title":"DNA Research","id":"ITEM-1","issued":{"date-parts":[["2018"]]},"title":"Activation of sigma20-dependent recombination and horizontal gene transfer in &lt;i&gt;Mycoplasma genitalium&lt;/i&gt;","type":"article-journal"},"uris":["http://www.mendeley.com/documents/?uuid=7a4b0911-d1a6-4dcf-8df4-43053f7f221f"]}],"mendeley":{"formattedCitation":"&lt;sup&gt;5&lt;/sup&gt;","plainTextFormattedCitation":"5","previouslyFormattedCitation":"&lt;sup&gt;5&lt;/sup&gt;"},"properties":{"noteIndex":0},"schema":"https://github.com/citation-style-language/schema/raw/master/csl-citation.json"}</w:instrText>
      </w:r>
      <w:r w:rsidR="00104CE3">
        <w:rPr>
          <w:lang w:val="en-US"/>
        </w:rPr>
        <w:fldChar w:fldCharType="separate"/>
      </w:r>
      <w:r w:rsidR="00C147A3" w:rsidRPr="00C147A3">
        <w:rPr>
          <w:noProof/>
          <w:vertAlign w:val="superscript"/>
          <w:lang w:val="en-US"/>
        </w:rPr>
        <w:t>5</w:t>
      </w:r>
      <w:r w:rsidR="00104CE3">
        <w:rPr>
          <w:lang w:val="en-US"/>
        </w:rPr>
        <w:fldChar w:fldCharType="end"/>
      </w:r>
      <w:r w:rsidR="00D04720">
        <w:rPr>
          <w:lang w:val="en-US"/>
        </w:rPr>
        <w:t>,</w:t>
      </w:r>
      <w:r w:rsidR="00E04A09">
        <w:rPr>
          <w:lang w:val="en-US"/>
        </w:rPr>
        <w:t xml:space="preserve"> which carries a </w:t>
      </w:r>
      <w:r w:rsidR="00D04720">
        <w:rPr>
          <w:lang w:val="en-US"/>
        </w:rPr>
        <w:t xml:space="preserve">minitransposon with a </w:t>
      </w:r>
      <w:r w:rsidR="00E04A09">
        <w:rPr>
          <w:lang w:val="en-US"/>
        </w:rPr>
        <w:t xml:space="preserve">puromycin resistance cassette. </w:t>
      </w:r>
    </w:p>
    <w:p w14:paraId="61760CB5" w14:textId="55E60A3D" w:rsidR="00095FDB" w:rsidRDefault="00995877" w:rsidP="00995877">
      <w:pPr>
        <w:spacing w:line="360" w:lineRule="auto"/>
        <w:jc w:val="both"/>
        <w:rPr>
          <w:lang w:val="en-US"/>
        </w:rPr>
      </w:pPr>
      <w:r w:rsidRPr="001F1AEA">
        <w:rPr>
          <w:b/>
          <w:i/>
          <w:lang w:val="en-US"/>
        </w:rPr>
        <w:t>pMTn</w:t>
      </w:r>
      <w:r>
        <w:rPr>
          <w:b/>
          <w:i/>
          <w:lang w:val="en-US"/>
        </w:rPr>
        <w:t>MUT</w:t>
      </w:r>
      <w:r w:rsidRPr="001F1AEA">
        <w:rPr>
          <w:b/>
          <w:i/>
          <w:lang w:val="en-US"/>
        </w:rPr>
        <w:t>149CatCh</w:t>
      </w:r>
      <w:r>
        <w:rPr>
          <w:lang w:val="en-US"/>
        </w:rPr>
        <w:t xml:space="preserve">. This plasmid carries a chloramphenicol acetyl transferase resistance marker fused to a mCherry tag under the control of </w:t>
      </w:r>
      <w:r w:rsidR="00095FDB">
        <w:rPr>
          <w:lang w:val="en-US"/>
        </w:rPr>
        <w:t xml:space="preserve">a </w:t>
      </w:r>
      <w:r w:rsidR="00C25F9C">
        <w:rPr>
          <w:lang w:val="en-US"/>
        </w:rPr>
        <w:t xml:space="preserve">the </w:t>
      </w:r>
      <w:r w:rsidR="008E7587" w:rsidRPr="008E7587">
        <w:rPr>
          <w:i/>
          <w:iCs/>
          <w:lang w:val="en-US"/>
        </w:rPr>
        <w:t>hrl</w:t>
      </w:r>
      <w:r w:rsidR="00095FDB">
        <w:rPr>
          <w:lang w:val="en-US"/>
        </w:rPr>
        <w:t xml:space="preserve"> promoter</w:t>
      </w:r>
      <w:r w:rsidR="00C25F9C">
        <w:rPr>
          <w:lang w:val="en-US"/>
        </w:rPr>
        <w:t xml:space="preserve"> with a scrambled sequence </w:t>
      </w:r>
      <w:r w:rsidR="00324182">
        <w:rPr>
          <w:lang w:val="en-US"/>
        </w:rPr>
        <w:t>(</w:t>
      </w:r>
      <w:r w:rsidR="00324182" w:rsidRPr="00324182">
        <w:rPr>
          <w:lang w:val="en-US"/>
        </w:rPr>
        <w:t>gct</w:t>
      </w:r>
      <w:r w:rsidR="00324182" w:rsidRPr="003B6EDB">
        <w:rPr>
          <w:b/>
          <w:u w:val="single"/>
          <w:lang w:val="en-US"/>
        </w:rPr>
        <w:t>ac</w:t>
      </w:r>
      <w:r w:rsidR="00324182" w:rsidRPr="00324182">
        <w:rPr>
          <w:lang w:val="en-US"/>
        </w:rPr>
        <w:t>t</w:t>
      </w:r>
      <w:r w:rsidR="00324182" w:rsidRPr="003B6EDB">
        <w:rPr>
          <w:b/>
          <w:u w:val="single"/>
          <w:lang w:val="en-US"/>
        </w:rPr>
        <w:t>a</w:t>
      </w:r>
      <w:r w:rsidR="00324182" w:rsidRPr="00324182">
        <w:rPr>
          <w:lang w:val="en-US"/>
        </w:rPr>
        <w:t>tag</w:t>
      </w:r>
      <w:r w:rsidR="00324182" w:rsidRPr="003B6EDB">
        <w:rPr>
          <w:b/>
          <w:u w:val="single"/>
          <w:lang w:val="en-US"/>
        </w:rPr>
        <w:t>t</w:t>
      </w:r>
      <w:r w:rsidR="00324182" w:rsidRPr="00324182">
        <w:rPr>
          <w:lang w:val="en-US"/>
        </w:rPr>
        <w:t>aaaat</w:t>
      </w:r>
      <w:r w:rsidR="00324182" w:rsidRPr="003B6EDB">
        <w:rPr>
          <w:b/>
          <w:u w:val="single"/>
          <w:lang w:val="en-US"/>
        </w:rPr>
        <w:t>a</w:t>
      </w:r>
      <w:r w:rsidR="00324182" w:rsidRPr="00324182">
        <w:rPr>
          <w:lang w:val="en-US"/>
        </w:rPr>
        <w:t>caaa</w:t>
      </w:r>
      <w:r w:rsidR="00324182" w:rsidRPr="003B6EDB">
        <w:rPr>
          <w:b/>
          <w:u w:val="single"/>
          <w:lang w:val="en-US"/>
        </w:rPr>
        <w:t>tct</w:t>
      </w:r>
      <w:r w:rsidR="00324182" w:rsidRPr="00324182">
        <w:rPr>
          <w:lang w:val="en-US"/>
        </w:rPr>
        <w:t>agcaaatTATAAT</w:t>
      </w:r>
      <w:r w:rsidR="00324182">
        <w:rPr>
          <w:lang w:val="en-US"/>
        </w:rPr>
        <w:t>)</w:t>
      </w:r>
      <w:r w:rsidR="00324182" w:rsidRPr="00324182">
        <w:rPr>
          <w:lang w:val="en-US"/>
        </w:rPr>
        <w:t xml:space="preserve"> </w:t>
      </w:r>
      <w:r w:rsidR="00C25F9C">
        <w:rPr>
          <w:lang w:val="en-US"/>
        </w:rPr>
        <w:t xml:space="preserve">at the putative </w:t>
      </w:r>
      <w:r w:rsidR="00C25F9C">
        <w:rPr>
          <w:i/>
          <w:iCs/>
          <w:lang w:val="en-US"/>
        </w:rPr>
        <w:t xml:space="preserve">fur </w:t>
      </w:r>
      <w:r w:rsidR="00C25F9C">
        <w:rPr>
          <w:lang w:val="en-US"/>
        </w:rPr>
        <w:t>box</w:t>
      </w:r>
      <w:r>
        <w:rPr>
          <w:lang w:val="en-US"/>
        </w:rPr>
        <w:t xml:space="preserve">. </w:t>
      </w:r>
      <w:r w:rsidR="00095FDB">
        <w:rPr>
          <w:lang w:val="en-US"/>
        </w:rPr>
        <w:t xml:space="preserve">This plasmid was constructed </w:t>
      </w:r>
      <w:r w:rsidR="00787B18">
        <w:rPr>
          <w:lang w:val="en-US"/>
        </w:rPr>
        <w:t xml:space="preserve">following </w:t>
      </w:r>
      <w:r w:rsidR="00095FDB">
        <w:rPr>
          <w:lang w:val="en-US"/>
        </w:rPr>
        <w:t xml:space="preserve">the same steps as for the construction of the pMTnWT149CatCh, except </w:t>
      </w:r>
      <w:r w:rsidR="00787B18">
        <w:rPr>
          <w:lang w:val="en-US"/>
        </w:rPr>
        <w:lastRenderedPageBreak/>
        <w:t xml:space="preserve">that we used a different </w:t>
      </w:r>
      <w:r w:rsidR="00095FDB">
        <w:rPr>
          <w:lang w:val="en-US"/>
        </w:rPr>
        <w:t xml:space="preserve">forward primer (mutMG149furbox-F) in order to alter </w:t>
      </w:r>
      <w:r w:rsidR="008E7587">
        <w:rPr>
          <w:lang w:val="en-US"/>
        </w:rPr>
        <w:t>the</w:t>
      </w:r>
      <w:r w:rsidR="00E94104">
        <w:rPr>
          <w:lang w:val="en-US"/>
        </w:rPr>
        <w:t xml:space="preserve"> sequence of the putative</w:t>
      </w:r>
      <w:r w:rsidR="008E7587">
        <w:rPr>
          <w:lang w:val="en-US"/>
        </w:rPr>
        <w:t xml:space="preserve"> </w:t>
      </w:r>
      <w:r w:rsidR="00E94104">
        <w:rPr>
          <w:i/>
          <w:iCs/>
          <w:lang w:val="en-US"/>
        </w:rPr>
        <w:t>fur</w:t>
      </w:r>
      <w:r w:rsidR="00E94104">
        <w:rPr>
          <w:lang w:val="en-US"/>
        </w:rPr>
        <w:t xml:space="preserve"> box</w:t>
      </w:r>
      <w:r w:rsidR="008E7587">
        <w:rPr>
          <w:lang w:val="en-US"/>
        </w:rPr>
        <w:t xml:space="preserve">. </w:t>
      </w:r>
    </w:p>
    <w:p w14:paraId="08D26615" w14:textId="59EF5E03" w:rsidR="006C26E5" w:rsidRDefault="00095FDB" w:rsidP="00095FDB">
      <w:pPr>
        <w:spacing w:line="360" w:lineRule="auto"/>
        <w:jc w:val="both"/>
        <w:rPr>
          <w:lang w:val="en-US"/>
        </w:rPr>
      </w:pPr>
      <w:bookmarkStart w:id="0" w:name="_Hlk8297894"/>
      <w:r w:rsidRPr="001F1AEA">
        <w:rPr>
          <w:b/>
          <w:i/>
          <w:lang w:val="en-US"/>
        </w:rPr>
        <w:t>p</w:t>
      </w:r>
      <w:r>
        <w:rPr>
          <w:b/>
          <w:i/>
          <w:lang w:val="en-US"/>
        </w:rPr>
        <w:t>C1wtCatC</w:t>
      </w:r>
      <w:r w:rsidRPr="001F1AEA">
        <w:rPr>
          <w:b/>
          <w:i/>
          <w:lang w:val="en-US"/>
        </w:rPr>
        <w:t>h</w:t>
      </w:r>
      <w:bookmarkEnd w:id="0"/>
      <w:r>
        <w:rPr>
          <w:lang w:val="en-US"/>
        </w:rPr>
        <w:t xml:space="preserve">. This plasmid was created to introduce a Cat:Ch </w:t>
      </w:r>
      <w:r w:rsidR="00787B18">
        <w:rPr>
          <w:lang w:val="en-US"/>
        </w:rPr>
        <w:t xml:space="preserve">fusion </w:t>
      </w:r>
      <w:r>
        <w:rPr>
          <w:lang w:val="en-US"/>
        </w:rPr>
        <w:t xml:space="preserve">under the control of </w:t>
      </w:r>
      <w:r w:rsidR="00444DF8">
        <w:rPr>
          <w:lang w:val="en-US"/>
        </w:rPr>
        <w:t xml:space="preserve">the </w:t>
      </w:r>
      <w:r w:rsidR="00787B18" w:rsidRPr="008E7587">
        <w:rPr>
          <w:i/>
          <w:iCs/>
          <w:lang w:val="en-US"/>
        </w:rPr>
        <w:t>hrl</w:t>
      </w:r>
      <w:r w:rsidR="00787B18">
        <w:rPr>
          <w:lang w:val="en-US"/>
        </w:rPr>
        <w:t xml:space="preserve"> </w:t>
      </w:r>
      <w:r w:rsidR="00444DF8">
        <w:rPr>
          <w:lang w:val="en-US"/>
        </w:rPr>
        <w:t>promoter</w:t>
      </w:r>
      <w:r w:rsidR="00E94104">
        <w:rPr>
          <w:lang w:val="en-US"/>
        </w:rPr>
        <w:t xml:space="preserve"> region</w:t>
      </w:r>
      <w:r w:rsidR="00324182">
        <w:rPr>
          <w:lang w:val="en-US"/>
        </w:rPr>
        <w:t xml:space="preserve"> (</w:t>
      </w:r>
      <w:r w:rsidR="00324182" w:rsidRPr="00324182">
        <w:rPr>
          <w:lang w:val="en-US"/>
        </w:rPr>
        <w:t>gcttatttagaaaaattcaaaataagcaaatTATAAT</w:t>
      </w:r>
      <w:r w:rsidR="00324182">
        <w:rPr>
          <w:lang w:val="en-US"/>
        </w:rPr>
        <w:t>)</w:t>
      </w:r>
      <w:r w:rsidR="00444DF8">
        <w:rPr>
          <w:lang w:val="en-US"/>
        </w:rPr>
        <w:t xml:space="preserve"> </w:t>
      </w:r>
      <w:r w:rsidR="00787B18">
        <w:rPr>
          <w:lang w:val="en-US"/>
        </w:rPr>
        <w:t>i</w:t>
      </w:r>
      <w:r w:rsidR="00444DF8">
        <w:rPr>
          <w:lang w:val="en-US"/>
        </w:rPr>
        <w:t xml:space="preserve">n the same exact chromosomic location </w:t>
      </w:r>
      <w:r w:rsidR="00787B18">
        <w:rPr>
          <w:lang w:val="en-US"/>
        </w:rPr>
        <w:t xml:space="preserve">as in the </w:t>
      </w:r>
      <w:r w:rsidR="00065836">
        <w:rPr>
          <w:lang w:val="en-US"/>
        </w:rPr>
        <w:t>G37-Hrl</w:t>
      </w:r>
      <w:r w:rsidR="00065836" w:rsidRPr="00156423">
        <w:rPr>
          <w:vertAlign w:val="subscript"/>
          <w:lang w:val="en-US"/>
        </w:rPr>
        <w:t>WT</w:t>
      </w:r>
      <w:r w:rsidR="00065836">
        <w:rPr>
          <w:lang w:val="en-US"/>
        </w:rPr>
        <w:t>:CatCh</w:t>
      </w:r>
      <w:r w:rsidR="00444DF8">
        <w:rPr>
          <w:lang w:val="en-US"/>
        </w:rPr>
        <w:t xml:space="preserve"> C1 strain</w:t>
      </w:r>
      <w:bookmarkStart w:id="1" w:name="_GoBack"/>
      <w:bookmarkEnd w:id="1"/>
      <w:r w:rsidR="00444DF8">
        <w:rPr>
          <w:lang w:val="en-US"/>
        </w:rPr>
        <w:t xml:space="preserve">, in order to compare the reporter fluorescence in </w:t>
      </w:r>
      <w:r w:rsidR="00066B0B">
        <w:rPr>
          <w:lang w:val="en-US"/>
        </w:rPr>
        <w:t xml:space="preserve">a </w:t>
      </w:r>
      <w:r w:rsidR="00444DF8">
        <w:rPr>
          <w:lang w:val="en-US"/>
        </w:rPr>
        <w:t xml:space="preserve">wild-type (G37 strain) and </w:t>
      </w:r>
      <w:r w:rsidR="00156423" w:rsidRPr="00156423">
        <w:rPr>
          <w:i/>
          <w:iCs/>
          <w:lang w:val="en-US"/>
        </w:rPr>
        <w:t>fur</w:t>
      </w:r>
      <w:r w:rsidR="00444DF8">
        <w:rPr>
          <w:lang w:val="en-US"/>
        </w:rPr>
        <w:t xml:space="preserve"> mutant </w:t>
      </w:r>
      <w:r w:rsidR="00066B0B">
        <w:rPr>
          <w:lang w:val="en-US"/>
        </w:rPr>
        <w:t>background</w:t>
      </w:r>
      <w:r w:rsidR="00444DF8">
        <w:rPr>
          <w:lang w:val="en-US"/>
        </w:rPr>
        <w:t xml:space="preserve">. </w:t>
      </w:r>
      <w:r w:rsidR="006C26E5">
        <w:rPr>
          <w:lang w:val="en-US"/>
        </w:rPr>
        <w:t xml:space="preserve">We obtained the genomic DNA of the </w:t>
      </w:r>
      <w:r w:rsidR="00156423">
        <w:rPr>
          <w:lang w:val="en-US"/>
        </w:rPr>
        <w:t>G37-Hrl</w:t>
      </w:r>
      <w:r w:rsidR="00156423" w:rsidRPr="00156423">
        <w:rPr>
          <w:vertAlign w:val="subscript"/>
          <w:lang w:val="en-US"/>
        </w:rPr>
        <w:t>WT</w:t>
      </w:r>
      <w:r w:rsidR="00156423">
        <w:rPr>
          <w:lang w:val="en-US"/>
        </w:rPr>
        <w:t>:</w:t>
      </w:r>
      <w:r w:rsidR="006C26E5">
        <w:rPr>
          <w:lang w:val="en-US"/>
        </w:rPr>
        <w:t xml:space="preserve">CatCh C1 strain and </w:t>
      </w:r>
      <w:r w:rsidR="00065836">
        <w:rPr>
          <w:lang w:val="en-US"/>
        </w:rPr>
        <w:t xml:space="preserve">we determined </w:t>
      </w:r>
      <w:r w:rsidR="006C26E5">
        <w:rPr>
          <w:lang w:val="en-US"/>
        </w:rPr>
        <w:t xml:space="preserve">the insertion point </w:t>
      </w:r>
      <w:r w:rsidR="00065836">
        <w:rPr>
          <w:lang w:val="en-US"/>
        </w:rPr>
        <w:t xml:space="preserve">of the transposon by Sanger sequencing. </w:t>
      </w:r>
      <w:r w:rsidR="006C26E5">
        <w:rPr>
          <w:lang w:val="en-US"/>
        </w:rPr>
        <w:t xml:space="preserve">Next, we amplified 1 kb upstream </w:t>
      </w:r>
      <w:r w:rsidR="00E94104">
        <w:rPr>
          <w:lang w:val="en-US"/>
        </w:rPr>
        <w:t xml:space="preserve">and downstream </w:t>
      </w:r>
      <w:r w:rsidR="006C26E5">
        <w:rPr>
          <w:lang w:val="en-US"/>
        </w:rPr>
        <w:t xml:space="preserve">of the insertion point with the C1wt149CatCh-F and C1wt149CatCh-R primers. The PCR product including the upstream region, the </w:t>
      </w:r>
      <w:r w:rsidR="00F32950">
        <w:rPr>
          <w:lang w:val="en-US"/>
        </w:rPr>
        <w:t xml:space="preserve">Cat:Ch fusion under the control of the </w:t>
      </w:r>
      <w:r w:rsidR="008E7587">
        <w:rPr>
          <w:i/>
          <w:lang w:val="en-US"/>
        </w:rPr>
        <w:t xml:space="preserve">hrl </w:t>
      </w:r>
      <w:r w:rsidR="008E7587">
        <w:rPr>
          <w:lang w:val="en-US"/>
        </w:rPr>
        <w:t xml:space="preserve"> </w:t>
      </w:r>
      <w:r w:rsidR="00F32950">
        <w:rPr>
          <w:lang w:val="en-US"/>
        </w:rPr>
        <w:t>promoter</w:t>
      </w:r>
      <w:r w:rsidR="00E94104">
        <w:rPr>
          <w:lang w:val="en-US"/>
        </w:rPr>
        <w:t xml:space="preserve"> region</w:t>
      </w:r>
      <w:r w:rsidR="00F32950">
        <w:rPr>
          <w:lang w:val="en-US"/>
        </w:rPr>
        <w:t xml:space="preserve">, and the downstream region was cloned </w:t>
      </w:r>
      <w:r w:rsidR="00B32B98">
        <w:rPr>
          <w:lang w:val="en-US"/>
        </w:rPr>
        <w:t xml:space="preserve">into a </w:t>
      </w:r>
      <w:r w:rsidR="00B32B98" w:rsidRPr="00065836">
        <w:rPr>
          <w:i/>
          <w:iCs/>
          <w:lang w:val="en-US"/>
        </w:rPr>
        <w:t>Eco</w:t>
      </w:r>
      <w:r w:rsidR="00B32B98">
        <w:rPr>
          <w:lang w:val="en-US"/>
        </w:rPr>
        <w:t>RV-digested pBE</w:t>
      </w:r>
      <w:r w:rsidR="00066B0B">
        <w:rPr>
          <w:lang w:val="en-US"/>
        </w:rPr>
        <w:t xml:space="preserve"> to create </w:t>
      </w:r>
      <w:r w:rsidR="00066B0B" w:rsidRPr="00065836">
        <w:rPr>
          <w:bCs/>
          <w:iCs/>
          <w:lang w:val="en-US"/>
        </w:rPr>
        <w:t>pC1wtCatCh</w:t>
      </w:r>
      <w:r w:rsidR="00B32B98">
        <w:rPr>
          <w:lang w:val="en-US"/>
        </w:rPr>
        <w:t>.</w:t>
      </w:r>
    </w:p>
    <w:p w14:paraId="0AA2DD71" w14:textId="3EBDD050" w:rsidR="00E63908" w:rsidRDefault="00B32B98" w:rsidP="00065836">
      <w:pPr>
        <w:spacing w:line="360" w:lineRule="auto"/>
        <w:jc w:val="both"/>
        <w:rPr>
          <w:lang w:val="en-US"/>
        </w:rPr>
      </w:pPr>
      <w:r w:rsidRPr="001F1AEA">
        <w:rPr>
          <w:b/>
          <w:i/>
          <w:lang w:val="en-US"/>
        </w:rPr>
        <w:t>p</w:t>
      </w:r>
      <w:r>
        <w:rPr>
          <w:b/>
          <w:i/>
          <w:lang w:val="en-US"/>
        </w:rPr>
        <w:t>C1mutCatC</w:t>
      </w:r>
      <w:r w:rsidRPr="001F1AEA">
        <w:rPr>
          <w:b/>
          <w:i/>
          <w:lang w:val="en-US"/>
        </w:rPr>
        <w:t>h</w:t>
      </w:r>
      <w:r>
        <w:rPr>
          <w:lang w:val="en-US"/>
        </w:rPr>
        <w:t xml:space="preserve">. This plasmid bears a copy of the Cat:Ch fusion under the control of the </w:t>
      </w:r>
      <w:r w:rsidR="00E94104">
        <w:rPr>
          <w:i/>
          <w:lang w:val="en-US"/>
        </w:rPr>
        <w:t>hrl</w:t>
      </w:r>
      <w:r w:rsidR="00E94104">
        <w:rPr>
          <w:lang w:val="en-US"/>
        </w:rPr>
        <w:t xml:space="preserve"> promoter bearing the </w:t>
      </w:r>
      <w:r>
        <w:rPr>
          <w:lang w:val="en-US"/>
        </w:rPr>
        <w:t>scrambled</w:t>
      </w:r>
      <w:r w:rsidR="00E94104">
        <w:rPr>
          <w:lang w:val="en-US"/>
        </w:rPr>
        <w:t xml:space="preserve"> </w:t>
      </w:r>
      <w:r w:rsidR="00FB063C">
        <w:rPr>
          <w:i/>
          <w:iCs/>
          <w:lang w:val="en-US"/>
        </w:rPr>
        <w:t xml:space="preserve">fur </w:t>
      </w:r>
      <w:r w:rsidR="00FB063C">
        <w:rPr>
          <w:lang w:val="en-US"/>
        </w:rPr>
        <w:t>box sequence</w:t>
      </w:r>
      <w:r w:rsidR="00324182">
        <w:rPr>
          <w:lang w:val="en-US"/>
        </w:rPr>
        <w:t xml:space="preserve"> (</w:t>
      </w:r>
      <w:r w:rsidR="00324182" w:rsidRPr="00324182">
        <w:rPr>
          <w:lang w:val="en-US"/>
        </w:rPr>
        <w:t>gct</w:t>
      </w:r>
      <w:r w:rsidR="00324182" w:rsidRPr="00043DB0">
        <w:rPr>
          <w:b/>
          <w:u w:val="single"/>
          <w:lang w:val="en-US"/>
        </w:rPr>
        <w:t>ac</w:t>
      </w:r>
      <w:r w:rsidR="00324182" w:rsidRPr="00324182">
        <w:rPr>
          <w:lang w:val="en-US"/>
        </w:rPr>
        <w:t>t</w:t>
      </w:r>
      <w:r w:rsidR="00324182" w:rsidRPr="00043DB0">
        <w:rPr>
          <w:b/>
          <w:u w:val="single"/>
          <w:lang w:val="en-US"/>
        </w:rPr>
        <w:t>a</w:t>
      </w:r>
      <w:r w:rsidR="00324182" w:rsidRPr="00324182">
        <w:rPr>
          <w:lang w:val="en-US"/>
        </w:rPr>
        <w:t>tag</w:t>
      </w:r>
      <w:r w:rsidR="00324182" w:rsidRPr="00043DB0">
        <w:rPr>
          <w:b/>
          <w:u w:val="single"/>
          <w:lang w:val="en-US"/>
        </w:rPr>
        <w:t>t</w:t>
      </w:r>
      <w:r w:rsidR="00324182" w:rsidRPr="00324182">
        <w:rPr>
          <w:lang w:val="en-US"/>
        </w:rPr>
        <w:t>aaaat</w:t>
      </w:r>
      <w:r w:rsidR="00324182" w:rsidRPr="00043DB0">
        <w:rPr>
          <w:b/>
          <w:u w:val="single"/>
          <w:lang w:val="en-US"/>
        </w:rPr>
        <w:t>a</w:t>
      </w:r>
      <w:r w:rsidR="00324182" w:rsidRPr="00324182">
        <w:rPr>
          <w:lang w:val="en-US"/>
        </w:rPr>
        <w:t>caaa</w:t>
      </w:r>
      <w:r w:rsidR="00324182" w:rsidRPr="00043DB0">
        <w:rPr>
          <w:b/>
          <w:u w:val="single"/>
          <w:lang w:val="en-US"/>
        </w:rPr>
        <w:t>tct</w:t>
      </w:r>
      <w:r w:rsidR="00324182" w:rsidRPr="00324182">
        <w:rPr>
          <w:lang w:val="en-US"/>
        </w:rPr>
        <w:t>agcaaatTATAAT</w:t>
      </w:r>
      <w:r w:rsidR="00324182">
        <w:rPr>
          <w:lang w:val="en-US"/>
        </w:rPr>
        <w:t>)</w:t>
      </w:r>
      <w:r>
        <w:rPr>
          <w:lang w:val="en-US"/>
        </w:rPr>
        <w:t xml:space="preserve"> in order to test the reporter fluorescence with an altered operator. </w:t>
      </w:r>
      <w:r w:rsidR="0063353E">
        <w:rPr>
          <w:lang w:val="en-US"/>
        </w:rPr>
        <w:t>T</w:t>
      </w:r>
      <w:r>
        <w:rPr>
          <w:lang w:val="en-US"/>
        </w:rPr>
        <w:t xml:space="preserve">he </w:t>
      </w:r>
      <w:r w:rsidRPr="00065836">
        <w:rPr>
          <w:bCs/>
          <w:iCs/>
          <w:lang w:val="en-US"/>
        </w:rPr>
        <w:t>pC1wtCatCh</w:t>
      </w:r>
      <w:r>
        <w:rPr>
          <w:b/>
          <w:i/>
          <w:lang w:val="en-US"/>
        </w:rPr>
        <w:t xml:space="preserve"> </w:t>
      </w:r>
      <w:r>
        <w:rPr>
          <w:lang w:val="en-US"/>
        </w:rPr>
        <w:t xml:space="preserve">plasmid </w:t>
      </w:r>
      <w:r w:rsidR="0063353E">
        <w:rPr>
          <w:lang w:val="en-US"/>
        </w:rPr>
        <w:t xml:space="preserve">was </w:t>
      </w:r>
      <w:r w:rsidR="00C8071B">
        <w:rPr>
          <w:lang w:val="en-US"/>
        </w:rPr>
        <w:t>digested</w:t>
      </w:r>
      <w:r w:rsidR="0063353E">
        <w:rPr>
          <w:lang w:val="en-US"/>
        </w:rPr>
        <w:t xml:space="preserve"> with </w:t>
      </w:r>
      <w:r>
        <w:rPr>
          <w:lang w:val="en-US"/>
        </w:rPr>
        <w:t xml:space="preserve">with </w:t>
      </w:r>
      <w:r w:rsidRPr="00065836">
        <w:rPr>
          <w:i/>
          <w:iCs/>
          <w:lang w:val="en-US"/>
        </w:rPr>
        <w:t>Apa</w:t>
      </w:r>
      <w:r>
        <w:rPr>
          <w:lang w:val="en-US"/>
        </w:rPr>
        <w:t xml:space="preserve">I and </w:t>
      </w:r>
      <w:r w:rsidRPr="00065836">
        <w:rPr>
          <w:i/>
          <w:iCs/>
          <w:lang w:val="en-US"/>
        </w:rPr>
        <w:t>Xho</w:t>
      </w:r>
      <w:r>
        <w:rPr>
          <w:lang w:val="en-US"/>
        </w:rPr>
        <w:t>I to</w:t>
      </w:r>
      <w:r w:rsidR="00C8561A">
        <w:rPr>
          <w:lang w:val="en-US"/>
        </w:rPr>
        <w:t xml:space="preserve"> </w:t>
      </w:r>
      <w:r w:rsidR="00FB063C">
        <w:rPr>
          <w:lang w:val="en-US"/>
        </w:rPr>
        <w:t xml:space="preserve">excise </w:t>
      </w:r>
      <w:r w:rsidR="00C8561A">
        <w:rPr>
          <w:lang w:val="en-US"/>
        </w:rPr>
        <w:t>the</w:t>
      </w:r>
      <w:r w:rsidR="00065836">
        <w:rPr>
          <w:lang w:val="en-US"/>
        </w:rPr>
        <w:t xml:space="preserve"> cassette containing the Cat:Ch fusion under the control of the </w:t>
      </w:r>
      <w:r w:rsidR="00065836" w:rsidRPr="00065836">
        <w:rPr>
          <w:i/>
          <w:iCs/>
          <w:lang w:val="en-US"/>
        </w:rPr>
        <w:t>hrl</w:t>
      </w:r>
      <w:r w:rsidR="00065836">
        <w:rPr>
          <w:lang w:val="en-US"/>
        </w:rPr>
        <w:t xml:space="preserve"> promoter. </w:t>
      </w:r>
      <w:r w:rsidR="00C8071B">
        <w:rPr>
          <w:lang w:val="en-US"/>
        </w:rPr>
        <w:t xml:space="preserve">The pMTnMUT149CatCh was digested similarly with </w:t>
      </w:r>
      <w:r w:rsidR="00C8071B" w:rsidRPr="00065836">
        <w:rPr>
          <w:i/>
          <w:iCs/>
          <w:lang w:val="en-US"/>
        </w:rPr>
        <w:t>Apa</w:t>
      </w:r>
      <w:r w:rsidR="00C8071B">
        <w:rPr>
          <w:lang w:val="en-US"/>
        </w:rPr>
        <w:t xml:space="preserve">I and </w:t>
      </w:r>
      <w:r w:rsidR="00C8071B" w:rsidRPr="00065836">
        <w:rPr>
          <w:i/>
          <w:iCs/>
          <w:lang w:val="en-US"/>
        </w:rPr>
        <w:t>Xho</w:t>
      </w:r>
      <w:r w:rsidR="00C8071B">
        <w:rPr>
          <w:lang w:val="en-US"/>
        </w:rPr>
        <w:t xml:space="preserve">I. Then, the construction bearing the Cat:Ch fusion </w:t>
      </w:r>
      <w:r w:rsidR="00FB063C">
        <w:rPr>
          <w:lang w:val="en-US"/>
        </w:rPr>
        <w:t>regulated by</w:t>
      </w:r>
      <w:r w:rsidR="00C8071B">
        <w:rPr>
          <w:lang w:val="en-US"/>
        </w:rPr>
        <w:t xml:space="preserve"> the </w:t>
      </w:r>
      <w:r w:rsidR="00FB063C" w:rsidRPr="008E7587">
        <w:rPr>
          <w:i/>
          <w:iCs/>
          <w:lang w:val="en-US"/>
        </w:rPr>
        <w:t>hrl</w:t>
      </w:r>
      <w:r w:rsidR="00FB063C">
        <w:rPr>
          <w:lang w:val="en-US"/>
        </w:rPr>
        <w:t xml:space="preserve"> promoter with the scrambled putative </w:t>
      </w:r>
      <w:r w:rsidR="00FB063C">
        <w:rPr>
          <w:i/>
          <w:iCs/>
          <w:lang w:val="en-US"/>
        </w:rPr>
        <w:t xml:space="preserve">fur </w:t>
      </w:r>
      <w:r w:rsidR="00FB063C" w:rsidRPr="00065836">
        <w:rPr>
          <w:lang w:val="en-US"/>
        </w:rPr>
        <w:t>box</w:t>
      </w:r>
      <w:r w:rsidR="00FB063C">
        <w:rPr>
          <w:lang w:val="en-US"/>
        </w:rPr>
        <w:t xml:space="preserve"> </w:t>
      </w:r>
      <w:r w:rsidR="00C8071B">
        <w:rPr>
          <w:lang w:val="en-US"/>
        </w:rPr>
        <w:t xml:space="preserve">was </w:t>
      </w:r>
      <w:r w:rsidR="00FB063C">
        <w:rPr>
          <w:lang w:val="en-US"/>
        </w:rPr>
        <w:t xml:space="preserve">ligated </w:t>
      </w:r>
      <w:r w:rsidR="00C8071B">
        <w:rPr>
          <w:lang w:val="en-US"/>
        </w:rPr>
        <w:t xml:space="preserve">into the backbone of the pC1wtCatCh plasmid. </w:t>
      </w:r>
    </w:p>
    <w:p w14:paraId="2515F92A" w14:textId="77777777" w:rsidR="00E63908" w:rsidRDefault="00E63908" w:rsidP="00E63908">
      <w:pPr>
        <w:rPr>
          <w:lang w:val="en-US"/>
        </w:rPr>
      </w:pPr>
      <w:r>
        <w:rPr>
          <w:lang w:val="en-US"/>
        </w:rPr>
        <w:br w:type="page"/>
      </w:r>
    </w:p>
    <w:p w14:paraId="65B56CF8" w14:textId="5B7523EF" w:rsidR="00DE0BDF" w:rsidRDefault="00E63908" w:rsidP="007F1D77">
      <w:pPr>
        <w:spacing w:line="360" w:lineRule="auto"/>
        <w:jc w:val="both"/>
        <w:rPr>
          <w:b/>
          <w:bCs/>
          <w:lang w:val="en-US"/>
        </w:rPr>
      </w:pPr>
      <w:r w:rsidRPr="00E63908">
        <w:rPr>
          <w:b/>
          <w:bCs/>
          <w:lang w:val="en-US"/>
        </w:rPr>
        <w:lastRenderedPageBreak/>
        <w:t>References</w:t>
      </w:r>
    </w:p>
    <w:p w14:paraId="61CA7EFD" w14:textId="5C546A65" w:rsidR="00EC1849" w:rsidRPr="00065836" w:rsidRDefault="00DE0BDF" w:rsidP="00EC1849">
      <w:pPr>
        <w:widowControl w:val="0"/>
        <w:autoSpaceDE w:val="0"/>
        <w:autoSpaceDN w:val="0"/>
        <w:adjustRightInd w:val="0"/>
        <w:spacing w:line="360" w:lineRule="auto"/>
        <w:ind w:left="640" w:hanging="640"/>
        <w:rPr>
          <w:rFonts w:ascii="Calibri" w:hAnsi="Calibri" w:cs="Calibri"/>
          <w:noProof/>
          <w:lang w:val="en-GB"/>
        </w:rPr>
      </w:pPr>
      <w:r>
        <w:rPr>
          <w:lang w:val="en-US"/>
        </w:rPr>
        <w:fldChar w:fldCharType="begin" w:fldLock="1"/>
      </w:r>
      <w:r>
        <w:rPr>
          <w:lang w:val="en-US"/>
        </w:rPr>
        <w:instrText xml:space="preserve">ADDIN Mendeley Bibliography CSL_BIBLIOGRAPHY </w:instrText>
      </w:r>
      <w:r>
        <w:rPr>
          <w:lang w:val="en-US"/>
        </w:rPr>
        <w:fldChar w:fldCharType="separate"/>
      </w:r>
      <w:r w:rsidR="00EC1849" w:rsidRPr="00065836">
        <w:rPr>
          <w:rFonts w:ascii="Calibri" w:hAnsi="Calibri" w:cs="Calibri"/>
          <w:noProof/>
          <w:lang w:val="en-GB"/>
        </w:rPr>
        <w:t>1.</w:t>
      </w:r>
      <w:r w:rsidR="00EC1849" w:rsidRPr="00065836">
        <w:rPr>
          <w:rFonts w:ascii="Calibri" w:hAnsi="Calibri" w:cs="Calibri"/>
          <w:noProof/>
          <w:lang w:val="en-GB"/>
        </w:rPr>
        <w:tab/>
        <w:t xml:space="preserve">Pich, O. Q., Burgos, R., Planell, R., Querol, E. &amp; Piñol, J. Comparative analysis of antibiotic resistance gene markers in </w:t>
      </w:r>
      <w:r w:rsidR="00EC1849" w:rsidRPr="00065836">
        <w:rPr>
          <w:rFonts w:ascii="Calibri" w:hAnsi="Calibri" w:cs="Calibri"/>
          <w:i/>
          <w:iCs/>
          <w:noProof/>
          <w:lang w:val="en-GB"/>
        </w:rPr>
        <w:t>Mycoplasma genitalium</w:t>
      </w:r>
      <w:r w:rsidR="00EC1849" w:rsidRPr="00065836">
        <w:rPr>
          <w:rFonts w:ascii="Calibri" w:hAnsi="Calibri" w:cs="Calibri"/>
          <w:noProof/>
          <w:lang w:val="en-GB"/>
        </w:rPr>
        <w:t xml:space="preserve">: application to studies of the minimal gene complement. </w:t>
      </w:r>
      <w:r w:rsidR="00EC1849" w:rsidRPr="00065836">
        <w:rPr>
          <w:rFonts w:ascii="Calibri" w:hAnsi="Calibri" w:cs="Calibri"/>
          <w:i/>
          <w:iCs/>
          <w:noProof/>
          <w:lang w:val="en-GB"/>
        </w:rPr>
        <w:t>Microbiology</w:t>
      </w:r>
      <w:r w:rsidR="00EC1849" w:rsidRPr="00065836">
        <w:rPr>
          <w:rFonts w:ascii="Calibri" w:hAnsi="Calibri" w:cs="Calibri"/>
          <w:noProof/>
          <w:lang w:val="en-GB"/>
        </w:rPr>
        <w:t xml:space="preserve"> </w:t>
      </w:r>
      <w:r w:rsidR="00EC1849" w:rsidRPr="00065836">
        <w:rPr>
          <w:rFonts w:ascii="Calibri" w:hAnsi="Calibri" w:cs="Calibri"/>
          <w:b/>
          <w:bCs/>
          <w:noProof/>
          <w:lang w:val="en-GB"/>
        </w:rPr>
        <w:t>152</w:t>
      </w:r>
      <w:r w:rsidR="00EC1849" w:rsidRPr="00065836">
        <w:rPr>
          <w:rFonts w:ascii="Calibri" w:hAnsi="Calibri" w:cs="Calibri"/>
          <w:noProof/>
          <w:lang w:val="en-GB"/>
        </w:rPr>
        <w:t>, 519–527 (2006).</w:t>
      </w:r>
    </w:p>
    <w:p w14:paraId="307690A5" w14:textId="77777777" w:rsidR="00EC1849" w:rsidRPr="00065836" w:rsidRDefault="00EC1849" w:rsidP="00EC1849">
      <w:pPr>
        <w:widowControl w:val="0"/>
        <w:autoSpaceDE w:val="0"/>
        <w:autoSpaceDN w:val="0"/>
        <w:adjustRightInd w:val="0"/>
        <w:spacing w:line="360" w:lineRule="auto"/>
        <w:ind w:left="640" w:hanging="640"/>
        <w:rPr>
          <w:rFonts w:ascii="Calibri" w:hAnsi="Calibri" w:cs="Calibri"/>
          <w:noProof/>
          <w:lang w:val="en-GB"/>
        </w:rPr>
      </w:pPr>
      <w:r w:rsidRPr="00065836">
        <w:rPr>
          <w:rFonts w:ascii="Calibri" w:hAnsi="Calibri" w:cs="Calibri"/>
          <w:noProof/>
          <w:lang w:val="en-GB"/>
        </w:rPr>
        <w:t>2.</w:t>
      </w:r>
      <w:r w:rsidRPr="00065836">
        <w:rPr>
          <w:rFonts w:ascii="Calibri" w:hAnsi="Calibri" w:cs="Calibri"/>
          <w:noProof/>
          <w:lang w:val="en-GB"/>
        </w:rPr>
        <w:tab/>
        <w:t xml:space="preserve">Kingsford, C. L., Ayanbule, K. &amp; Salzberg, S. L. Rapid, accurate, computational discovery of Rho-independent transcription terminators illuminates their relationship to DNA uptake. </w:t>
      </w:r>
      <w:r w:rsidRPr="00065836">
        <w:rPr>
          <w:rFonts w:ascii="Calibri" w:hAnsi="Calibri" w:cs="Calibri"/>
          <w:i/>
          <w:iCs/>
          <w:noProof/>
          <w:lang w:val="en-GB"/>
        </w:rPr>
        <w:t>Genome Biol.</w:t>
      </w:r>
      <w:r w:rsidRPr="00065836">
        <w:rPr>
          <w:rFonts w:ascii="Calibri" w:hAnsi="Calibri" w:cs="Calibri"/>
          <w:noProof/>
          <w:lang w:val="en-GB"/>
        </w:rPr>
        <w:t xml:space="preserve"> </w:t>
      </w:r>
      <w:r w:rsidRPr="00065836">
        <w:rPr>
          <w:rFonts w:ascii="Calibri" w:hAnsi="Calibri" w:cs="Calibri"/>
          <w:b/>
          <w:bCs/>
          <w:noProof/>
          <w:lang w:val="en-GB"/>
        </w:rPr>
        <w:t>8</w:t>
      </w:r>
      <w:r w:rsidRPr="00065836">
        <w:rPr>
          <w:rFonts w:ascii="Calibri" w:hAnsi="Calibri" w:cs="Calibri"/>
          <w:noProof/>
          <w:lang w:val="en-GB"/>
        </w:rPr>
        <w:t>, R22 (2007).</w:t>
      </w:r>
    </w:p>
    <w:p w14:paraId="4F97D086" w14:textId="77777777" w:rsidR="00EC1849" w:rsidRPr="00065836" w:rsidRDefault="00EC1849" w:rsidP="00EC1849">
      <w:pPr>
        <w:widowControl w:val="0"/>
        <w:autoSpaceDE w:val="0"/>
        <w:autoSpaceDN w:val="0"/>
        <w:adjustRightInd w:val="0"/>
        <w:spacing w:line="360" w:lineRule="auto"/>
        <w:ind w:left="640" w:hanging="640"/>
        <w:rPr>
          <w:rFonts w:ascii="Calibri" w:hAnsi="Calibri" w:cs="Calibri"/>
          <w:noProof/>
          <w:lang w:val="en-GB"/>
        </w:rPr>
      </w:pPr>
      <w:r w:rsidRPr="00065836">
        <w:rPr>
          <w:rFonts w:ascii="Calibri" w:hAnsi="Calibri" w:cs="Calibri"/>
          <w:noProof/>
          <w:lang w:val="en-GB"/>
        </w:rPr>
        <w:t>3.</w:t>
      </w:r>
      <w:r w:rsidRPr="00065836">
        <w:rPr>
          <w:rFonts w:ascii="Calibri" w:hAnsi="Calibri" w:cs="Calibri"/>
          <w:noProof/>
          <w:lang w:val="en-GB"/>
        </w:rPr>
        <w:tab/>
        <w:t xml:space="preserve">Calisto, B. M. </w:t>
      </w:r>
      <w:r w:rsidRPr="00065836">
        <w:rPr>
          <w:rFonts w:ascii="Calibri" w:hAnsi="Calibri" w:cs="Calibri"/>
          <w:i/>
          <w:iCs/>
          <w:noProof/>
          <w:lang w:val="en-GB"/>
        </w:rPr>
        <w:t>et al.</w:t>
      </w:r>
      <w:r w:rsidRPr="00065836">
        <w:rPr>
          <w:rFonts w:ascii="Calibri" w:hAnsi="Calibri" w:cs="Calibri"/>
          <w:noProof/>
          <w:lang w:val="en-GB"/>
        </w:rPr>
        <w:t xml:space="preserve"> The EAGR box structure: a motif involved in Mycoplasma motility. </w:t>
      </w:r>
      <w:r w:rsidRPr="00065836">
        <w:rPr>
          <w:rFonts w:ascii="Calibri" w:hAnsi="Calibri" w:cs="Calibri"/>
          <w:i/>
          <w:iCs/>
          <w:noProof/>
          <w:lang w:val="en-GB"/>
        </w:rPr>
        <w:t>Mol. Microbiol.</w:t>
      </w:r>
      <w:r w:rsidRPr="00065836">
        <w:rPr>
          <w:rFonts w:ascii="Calibri" w:hAnsi="Calibri" w:cs="Calibri"/>
          <w:noProof/>
          <w:lang w:val="en-GB"/>
        </w:rPr>
        <w:t xml:space="preserve"> </w:t>
      </w:r>
      <w:r w:rsidRPr="00065836">
        <w:rPr>
          <w:rFonts w:ascii="Calibri" w:hAnsi="Calibri" w:cs="Calibri"/>
          <w:b/>
          <w:bCs/>
          <w:noProof/>
          <w:lang w:val="en-GB"/>
        </w:rPr>
        <w:t>86</w:t>
      </w:r>
      <w:r w:rsidRPr="00065836">
        <w:rPr>
          <w:rFonts w:ascii="Calibri" w:hAnsi="Calibri" w:cs="Calibri"/>
          <w:noProof/>
          <w:lang w:val="en-GB"/>
        </w:rPr>
        <w:t>, 382–393 (2012).</w:t>
      </w:r>
    </w:p>
    <w:p w14:paraId="0E278291" w14:textId="77777777" w:rsidR="00EC1849" w:rsidRPr="00065836" w:rsidRDefault="00EC1849" w:rsidP="00EC1849">
      <w:pPr>
        <w:widowControl w:val="0"/>
        <w:autoSpaceDE w:val="0"/>
        <w:autoSpaceDN w:val="0"/>
        <w:adjustRightInd w:val="0"/>
        <w:spacing w:line="360" w:lineRule="auto"/>
        <w:ind w:left="640" w:hanging="640"/>
        <w:rPr>
          <w:rFonts w:ascii="Calibri" w:hAnsi="Calibri" w:cs="Calibri"/>
          <w:noProof/>
          <w:lang w:val="en-GB"/>
        </w:rPr>
      </w:pPr>
      <w:r w:rsidRPr="00065836">
        <w:rPr>
          <w:rFonts w:ascii="Calibri" w:hAnsi="Calibri" w:cs="Calibri"/>
          <w:noProof/>
          <w:lang w:val="en-GB"/>
        </w:rPr>
        <w:t>4.</w:t>
      </w:r>
      <w:r w:rsidRPr="00065836">
        <w:rPr>
          <w:rFonts w:ascii="Calibri" w:hAnsi="Calibri" w:cs="Calibri"/>
          <w:noProof/>
          <w:lang w:val="en-GB"/>
        </w:rPr>
        <w:tab/>
        <w:t xml:space="preserve">Torres-Puig, S., Broto, A., Querol, E., Piñol, J. &amp; Pich, O. Q. A novel sigma factor reveals a unique regulon controlling cell-specific recombination in </w:t>
      </w:r>
      <w:r w:rsidRPr="00065836">
        <w:rPr>
          <w:rFonts w:ascii="Calibri" w:hAnsi="Calibri" w:cs="Calibri"/>
          <w:i/>
          <w:iCs/>
          <w:noProof/>
          <w:lang w:val="en-GB"/>
        </w:rPr>
        <w:t>Mycoplasma genitalium</w:t>
      </w:r>
      <w:r w:rsidRPr="00065836">
        <w:rPr>
          <w:rFonts w:ascii="Calibri" w:hAnsi="Calibri" w:cs="Calibri"/>
          <w:noProof/>
          <w:lang w:val="en-GB"/>
        </w:rPr>
        <w:t xml:space="preserve">. </w:t>
      </w:r>
      <w:r w:rsidRPr="00065836">
        <w:rPr>
          <w:rFonts w:ascii="Calibri" w:hAnsi="Calibri" w:cs="Calibri"/>
          <w:i/>
          <w:iCs/>
          <w:noProof/>
          <w:lang w:val="en-GB"/>
        </w:rPr>
        <w:t>Nucleic Acids Res.</w:t>
      </w:r>
      <w:r w:rsidRPr="00065836">
        <w:rPr>
          <w:rFonts w:ascii="Calibri" w:hAnsi="Calibri" w:cs="Calibri"/>
          <w:noProof/>
          <w:lang w:val="en-GB"/>
        </w:rPr>
        <w:t xml:space="preserve"> </w:t>
      </w:r>
      <w:r w:rsidRPr="00065836">
        <w:rPr>
          <w:rFonts w:ascii="Calibri" w:hAnsi="Calibri" w:cs="Calibri"/>
          <w:b/>
          <w:bCs/>
          <w:noProof/>
          <w:lang w:val="en-GB"/>
        </w:rPr>
        <w:t>43</w:t>
      </w:r>
      <w:r w:rsidRPr="00065836">
        <w:rPr>
          <w:rFonts w:ascii="Calibri" w:hAnsi="Calibri" w:cs="Calibri"/>
          <w:noProof/>
          <w:lang w:val="en-GB"/>
        </w:rPr>
        <w:t>, 4923–4936 (2015).</w:t>
      </w:r>
    </w:p>
    <w:p w14:paraId="1CC8BF02" w14:textId="77777777" w:rsidR="00EC1849" w:rsidRPr="00EC1849" w:rsidRDefault="00EC1849" w:rsidP="00EC1849">
      <w:pPr>
        <w:widowControl w:val="0"/>
        <w:autoSpaceDE w:val="0"/>
        <w:autoSpaceDN w:val="0"/>
        <w:adjustRightInd w:val="0"/>
        <w:spacing w:line="360" w:lineRule="auto"/>
        <w:ind w:left="640" w:hanging="640"/>
        <w:rPr>
          <w:rFonts w:ascii="Calibri" w:hAnsi="Calibri" w:cs="Calibri"/>
          <w:noProof/>
        </w:rPr>
      </w:pPr>
      <w:r w:rsidRPr="00065836">
        <w:rPr>
          <w:rFonts w:ascii="Calibri" w:hAnsi="Calibri" w:cs="Calibri"/>
          <w:noProof/>
          <w:lang w:val="en-GB"/>
        </w:rPr>
        <w:t>5.</w:t>
      </w:r>
      <w:r w:rsidRPr="00065836">
        <w:rPr>
          <w:rFonts w:ascii="Calibri" w:hAnsi="Calibri" w:cs="Calibri"/>
          <w:noProof/>
          <w:lang w:val="en-GB"/>
        </w:rPr>
        <w:tab/>
        <w:t xml:space="preserve">Torres-Puig, S. </w:t>
      </w:r>
      <w:r w:rsidRPr="00065836">
        <w:rPr>
          <w:rFonts w:ascii="Calibri" w:hAnsi="Calibri" w:cs="Calibri"/>
          <w:i/>
          <w:iCs/>
          <w:noProof/>
          <w:lang w:val="en-GB"/>
        </w:rPr>
        <w:t>et al.</w:t>
      </w:r>
      <w:r w:rsidRPr="00065836">
        <w:rPr>
          <w:rFonts w:ascii="Calibri" w:hAnsi="Calibri" w:cs="Calibri"/>
          <w:noProof/>
          <w:lang w:val="en-GB"/>
        </w:rPr>
        <w:t xml:space="preserve"> Activation of sigma20-dependent recombination and horizontal gene transfer in </w:t>
      </w:r>
      <w:r w:rsidRPr="00065836">
        <w:rPr>
          <w:rFonts w:ascii="Calibri" w:hAnsi="Calibri" w:cs="Calibri"/>
          <w:i/>
          <w:iCs/>
          <w:noProof/>
          <w:lang w:val="en-GB"/>
        </w:rPr>
        <w:t>Mycoplasma genitalium</w:t>
      </w:r>
      <w:r w:rsidRPr="00065836">
        <w:rPr>
          <w:rFonts w:ascii="Calibri" w:hAnsi="Calibri" w:cs="Calibri"/>
          <w:noProof/>
          <w:lang w:val="en-GB"/>
        </w:rPr>
        <w:t xml:space="preserve">. </w:t>
      </w:r>
      <w:r w:rsidRPr="00EC1849">
        <w:rPr>
          <w:rFonts w:ascii="Calibri" w:hAnsi="Calibri" w:cs="Calibri"/>
          <w:i/>
          <w:iCs/>
          <w:noProof/>
          <w:lang w:val="es-ES_tradnl"/>
        </w:rPr>
        <w:t>DNA Res.</w:t>
      </w:r>
      <w:r w:rsidRPr="00EC1849">
        <w:rPr>
          <w:rFonts w:ascii="Calibri" w:hAnsi="Calibri" w:cs="Calibri"/>
          <w:noProof/>
          <w:lang w:val="es-ES_tradnl"/>
        </w:rPr>
        <w:t xml:space="preserve"> (2018). doi:10.1093/dnares/dsy011</w:t>
      </w:r>
    </w:p>
    <w:p w14:paraId="4FD47BBC" w14:textId="47AF76FB" w:rsidR="00046A69" w:rsidRPr="007F1D77" w:rsidRDefault="00DE0BDF" w:rsidP="00065836">
      <w:pPr>
        <w:widowControl w:val="0"/>
        <w:autoSpaceDE w:val="0"/>
        <w:autoSpaceDN w:val="0"/>
        <w:adjustRightInd w:val="0"/>
        <w:spacing w:line="360" w:lineRule="auto"/>
        <w:ind w:left="640" w:hanging="640"/>
        <w:rPr>
          <w:lang w:val="en-US"/>
        </w:rPr>
      </w:pPr>
      <w:r>
        <w:rPr>
          <w:lang w:val="en-US"/>
        </w:rPr>
        <w:fldChar w:fldCharType="end"/>
      </w:r>
    </w:p>
    <w:sectPr w:rsidR="00046A69" w:rsidRPr="007F1D77">
      <w:pgSz w:w="11906" w:h="16838"/>
      <w:pgMar w:top="1417" w:right="1701" w:bottom="1417"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E8B7D3" w16cid:durableId="20ABFA92"/>
  <w16cid:commentId w16cid:paraId="57D8AB97" w16cid:durableId="20AE06B4"/>
  <w16cid:commentId w16cid:paraId="7DDEA009" w16cid:durableId="20ABF1DB"/>
  <w16cid:commentId w16cid:paraId="24F58001" w16cid:durableId="20AE0690"/>
  <w16cid:commentId w16cid:paraId="6D2F7CFD" w16cid:durableId="20AE0696"/>
  <w16cid:commentId w16cid:paraId="52A4ABB0" w16cid:durableId="20ABFB3B"/>
  <w16cid:commentId w16cid:paraId="11CA3FEF" w16cid:durableId="20AE06F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D8714" w14:textId="77777777" w:rsidR="00156BC1" w:rsidRDefault="00156BC1" w:rsidP="00065836">
      <w:pPr>
        <w:spacing w:after="0" w:line="240" w:lineRule="auto"/>
      </w:pPr>
      <w:r>
        <w:separator/>
      </w:r>
    </w:p>
  </w:endnote>
  <w:endnote w:type="continuationSeparator" w:id="0">
    <w:p w14:paraId="2EE447BA" w14:textId="77777777" w:rsidR="00156BC1" w:rsidRDefault="00156BC1" w:rsidP="00065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41121" w14:textId="77777777" w:rsidR="00156BC1" w:rsidRDefault="00156BC1" w:rsidP="00065836">
      <w:pPr>
        <w:spacing w:after="0" w:line="240" w:lineRule="auto"/>
      </w:pPr>
      <w:r>
        <w:separator/>
      </w:r>
    </w:p>
  </w:footnote>
  <w:footnote w:type="continuationSeparator" w:id="0">
    <w:p w14:paraId="10C1CDBB" w14:textId="77777777" w:rsidR="00156BC1" w:rsidRDefault="00156BC1" w:rsidP="000658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9485C"/>
    <w:multiLevelType w:val="hybridMultilevel"/>
    <w:tmpl w:val="CD9EAB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A69"/>
    <w:rsid w:val="000111F9"/>
    <w:rsid w:val="00046A69"/>
    <w:rsid w:val="00065836"/>
    <w:rsid w:val="00066B0B"/>
    <w:rsid w:val="00095FDB"/>
    <w:rsid w:val="00104CE3"/>
    <w:rsid w:val="00121D60"/>
    <w:rsid w:val="00151608"/>
    <w:rsid w:val="00156423"/>
    <w:rsid w:val="00156BC1"/>
    <w:rsid w:val="001909BC"/>
    <w:rsid w:val="001E55D8"/>
    <w:rsid w:val="001F1AEA"/>
    <w:rsid w:val="00324182"/>
    <w:rsid w:val="0035104E"/>
    <w:rsid w:val="003A6408"/>
    <w:rsid w:val="003B6EDB"/>
    <w:rsid w:val="00444DF8"/>
    <w:rsid w:val="00502B52"/>
    <w:rsid w:val="005D262A"/>
    <w:rsid w:val="0063353E"/>
    <w:rsid w:val="006477DE"/>
    <w:rsid w:val="00680E99"/>
    <w:rsid w:val="006935CF"/>
    <w:rsid w:val="006A66AA"/>
    <w:rsid w:val="006C26E5"/>
    <w:rsid w:val="006E102C"/>
    <w:rsid w:val="007228F4"/>
    <w:rsid w:val="00731D29"/>
    <w:rsid w:val="00787B18"/>
    <w:rsid w:val="007F1D77"/>
    <w:rsid w:val="008E7587"/>
    <w:rsid w:val="00905351"/>
    <w:rsid w:val="00995877"/>
    <w:rsid w:val="009F4F73"/>
    <w:rsid w:val="00B32B98"/>
    <w:rsid w:val="00B865A4"/>
    <w:rsid w:val="00BF36E5"/>
    <w:rsid w:val="00C147A3"/>
    <w:rsid w:val="00C25F9C"/>
    <w:rsid w:val="00C367DA"/>
    <w:rsid w:val="00C8071B"/>
    <w:rsid w:val="00C8561A"/>
    <w:rsid w:val="00C979DF"/>
    <w:rsid w:val="00D04720"/>
    <w:rsid w:val="00D6736E"/>
    <w:rsid w:val="00DE0BDF"/>
    <w:rsid w:val="00DF58D7"/>
    <w:rsid w:val="00E04A09"/>
    <w:rsid w:val="00E557C2"/>
    <w:rsid w:val="00E63908"/>
    <w:rsid w:val="00E84891"/>
    <w:rsid w:val="00E85A52"/>
    <w:rsid w:val="00E94104"/>
    <w:rsid w:val="00EC1849"/>
    <w:rsid w:val="00F24B07"/>
    <w:rsid w:val="00F32950"/>
    <w:rsid w:val="00FB063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ECEDA"/>
  <w15:chartTrackingRefBased/>
  <w15:docId w15:val="{07359188-4E08-4AD2-A335-2A4CB2DF2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46A6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46A69"/>
    <w:rPr>
      <w:rFonts w:ascii="Segoe UI" w:hAnsi="Segoe UI" w:cs="Segoe UI"/>
      <w:sz w:val="18"/>
      <w:szCs w:val="18"/>
    </w:rPr>
  </w:style>
  <w:style w:type="paragraph" w:styleId="Ttulo">
    <w:name w:val="Title"/>
    <w:basedOn w:val="Normal"/>
    <w:next w:val="Normal"/>
    <w:link w:val="TtuloCar"/>
    <w:uiPriority w:val="10"/>
    <w:qFormat/>
    <w:rsid w:val="007228F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228F4"/>
    <w:rPr>
      <w:rFonts w:asciiTheme="majorHAnsi" w:eastAsiaTheme="majorEastAsia" w:hAnsiTheme="majorHAnsi" w:cstheme="majorBidi"/>
      <w:spacing w:val="-10"/>
      <w:kern w:val="28"/>
      <w:sz w:val="56"/>
      <w:szCs w:val="56"/>
    </w:rPr>
  </w:style>
  <w:style w:type="paragraph" w:styleId="Prrafodelista">
    <w:name w:val="List Paragraph"/>
    <w:basedOn w:val="Normal"/>
    <w:uiPriority w:val="34"/>
    <w:qFormat/>
    <w:rsid w:val="00E63908"/>
    <w:pPr>
      <w:ind w:left="720"/>
      <w:contextualSpacing/>
    </w:pPr>
  </w:style>
  <w:style w:type="character" w:styleId="Refdecomentario">
    <w:name w:val="annotation reference"/>
    <w:basedOn w:val="Fuentedeprrafopredeter"/>
    <w:uiPriority w:val="99"/>
    <w:semiHidden/>
    <w:unhideWhenUsed/>
    <w:rsid w:val="00D6736E"/>
    <w:rPr>
      <w:sz w:val="16"/>
      <w:szCs w:val="16"/>
    </w:rPr>
  </w:style>
  <w:style w:type="paragraph" w:styleId="Textocomentario">
    <w:name w:val="annotation text"/>
    <w:basedOn w:val="Normal"/>
    <w:link w:val="TextocomentarioCar"/>
    <w:uiPriority w:val="99"/>
    <w:semiHidden/>
    <w:unhideWhenUsed/>
    <w:rsid w:val="00D6736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6736E"/>
    <w:rPr>
      <w:sz w:val="20"/>
      <w:szCs w:val="20"/>
    </w:rPr>
  </w:style>
  <w:style w:type="paragraph" w:styleId="Asuntodelcomentario">
    <w:name w:val="annotation subject"/>
    <w:basedOn w:val="Textocomentario"/>
    <w:next w:val="Textocomentario"/>
    <w:link w:val="AsuntodelcomentarioCar"/>
    <w:uiPriority w:val="99"/>
    <w:semiHidden/>
    <w:unhideWhenUsed/>
    <w:rsid w:val="00D6736E"/>
    <w:rPr>
      <w:b/>
      <w:bCs/>
    </w:rPr>
  </w:style>
  <w:style w:type="character" w:customStyle="1" w:styleId="AsuntodelcomentarioCar">
    <w:name w:val="Asunto del comentario Car"/>
    <w:basedOn w:val="TextocomentarioCar"/>
    <w:link w:val="Asuntodelcomentario"/>
    <w:uiPriority w:val="99"/>
    <w:semiHidden/>
    <w:rsid w:val="00D6736E"/>
    <w:rPr>
      <w:b/>
      <w:bCs/>
      <w:sz w:val="20"/>
      <w:szCs w:val="20"/>
    </w:rPr>
  </w:style>
  <w:style w:type="paragraph" w:styleId="Encabezado">
    <w:name w:val="header"/>
    <w:basedOn w:val="Normal"/>
    <w:link w:val="EncabezadoCar"/>
    <w:uiPriority w:val="99"/>
    <w:unhideWhenUsed/>
    <w:rsid w:val="00065836"/>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065836"/>
  </w:style>
  <w:style w:type="paragraph" w:styleId="Piedepgina">
    <w:name w:val="footer"/>
    <w:basedOn w:val="Normal"/>
    <w:link w:val="PiedepginaCar"/>
    <w:uiPriority w:val="99"/>
    <w:unhideWhenUsed/>
    <w:rsid w:val="00065836"/>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065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79383">
      <w:bodyDiv w:val="1"/>
      <w:marLeft w:val="0"/>
      <w:marRight w:val="0"/>
      <w:marTop w:val="0"/>
      <w:marBottom w:val="0"/>
      <w:divBdr>
        <w:top w:val="none" w:sz="0" w:space="0" w:color="auto"/>
        <w:left w:val="none" w:sz="0" w:space="0" w:color="auto"/>
        <w:bottom w:val="none" w:sz="0" w:space="0" w:color="auto"/>
        <w:right w:val="none" w:sz="0" w:space="0" w:color="auto"/>
      </w:divBdr>
    </w:div>
    <w:div w:id="83185020">
      <w:bodyDiv w:val="1"/>
      <w:marLeft w:val="0"/>
      <w:marRight w:val="0"/>
      <w:marTop w:val="0"/>
      <w:marBottom w:val="0"/>
      <w:divBdr>
        <w:top w:val="none" w:sz="0" w:space="0" w:color="auto"/>
        <w:left w:val="none" w:sz="0" w:space="0" w:color="auto"/>
        <w:bottom w:val="none" w:sz="0" w:space="0" w:color="auto"/>
        <w:right w:val="none" w:sz="0" w:space="0" w:color="auto"/>
      </w:divBdr>
    </w:div>
    <w:div w:id="71350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2C42C-4FDF-426F-8050-E13667E77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2952</Words>
  <Characters>16240</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Martinez Torro</dc:creator>
  <cp:keywords/>
  <dc:description/>
  <cp:lastModifiedBy>cspt</cp:lastModifiedBy>
  <cp:revision>3</cp:revision>
  <dcterms:created xsi:type="dcterms:W3CDTF">2019-11-12T09:48:00Z</dcterms:created>
  <dcterms:modified xsi:type="dcterms:W3CDTF">2019-11-12T10:05:00Z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9176e0cc-554a-39de-b4ac-6ec8187db8eb</vt:lpwstr>
  </property>
  <property fmtid="{D5CDD505-2E9C-101B-9397-08002B2CF9AE}" pid="4" name="Mendeley Citation Style_1">
    <vt:lpwstr>http://www.zotero.org/styles/nature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(deprecated)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