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754" w:tblpY="-362"/>
        <w:tblW w:w="10890" w:type="dxa"/>
        <w:tblLook w:val="04A0" w:firstRow="1" w:lastRow="0" w:firstColumn="1" w:lastColumn="0" w:noHBand="0" w:noVBand="1"/>
      </w:tblPr>
      <w:tblGrid>
        <w:gridCol w:w="278"/>
        <w:gridCol w:w="1895"/>
        <w:gridCol w:w="550"/>
        <w:gridCol w:w="1195"/>
        <w:gridCol w:w="728"/>
        <w:gridCol w:w="1204"/>
        <w:gridCol w:w="828"/>
        <w:gridCol w:w="1350"/>
        <w:gridCol w:w="828"/>
        <w:gridCol w:w="1224"/>
        <w:gridCol w:w="810"/>
      </w:tblGrid>
      <w:tr w:rsidR="003D0D07" w:rsidRPr="00987C8A" w14:paraId="2C0D9D8F" w14:textId="77777777" w:rsidTr="004B613D">
        <w:trPr>
          <w:trHeight w:val="280"/>
        </w:trPr>
        <w:tc>
          <w:tcPr>
            <w:tcW w:w="108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E277D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Supplemental Table 1.</w:t>
            </w: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Mean values of oxidative stress biomarkers by important genetic and clinical ALS characteristics</w:t>
            </w:r>
          </w:p>
        </w:tc>
      </w:tr>
      <w:tr w:rsidR="003D0D07" w:rsidRPr="00987C8A" w14:paraId="1E3CE328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44CD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3BBF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EEF7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7F1A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Creatinine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EE9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46F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Uric Acid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F34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105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Isoprostane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43A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552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8-oxo-dG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AE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20AF5202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2616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E871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A17B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C60B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Mean (SD)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C7F1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E328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(SD)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636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6D0B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(SD)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FC5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937E4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(SD)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13D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</w:tr>
      <w:tr w:rsidR="003D0D07" w:rsidRPr="00987C8A" w14:paraId="14347D3B" w14:textId="77777777" w:rsidTr="004B613D">
        <w:trPr>
          <w:trHeight w:val="280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9CDBA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C9orf72 mutation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187C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249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93A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15AD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8DE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9AA7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DA4E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897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D39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59614ECC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F735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7DA1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470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D01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 (0.21)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3327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5F98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5.02 (1.66)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30F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8EE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1.62 (0.98)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14D8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8AC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 (2.75)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7B6A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</w:t>
            </w:r>
          </w:p>
        </w:tc>
      </w:tr>
      <w:tr w:rsidR="003D0D07" w:rsidRPr="00987C8A" w14:paraId="7421BCAD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D848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F269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Negative/Unknown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7F1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39C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0.80 (0.20)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1F31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98D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5.09 (1.31)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EAE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BE9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 (0.98)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C88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7C3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4.85 (3.83)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4B61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10A87E5D" w14:textId="77777777" w:rsidTr="004B613D">
        <w:trPr>
          <w:trHeight w:val="280"/>
        </w:trPr>
        <w:tc>
          <w:tcPr>
            <w:tcW w:w="21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01D2D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Cognitive Impairment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2995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F1A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5F51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783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F037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33F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573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5DBC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ACF8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01184A7D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6837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C2D2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Dementia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DF0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3F1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0.80 (0.23)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6C3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0.85*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F358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4.83 (1.24)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3DA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07FA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1.53 (1.04)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EE6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53C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5.03 (2.85)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121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0.11*</w:t>
            </w:r>
          </w:p>
        </w:tc>
      </w:tr>
      <w:tr w:rsidR="003D0D07" w:rsidRPr="00987C8A" w14:paraId="54B592EB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4533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7A51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ALSci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2AA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848D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 (0.18)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EDA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6CF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5.09 (1.36)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3484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733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1.66 (0.92)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AE7E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E361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4.81 (2.68)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BE47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459B6975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1524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E2C4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Normal cognition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472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933C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 (0.21)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1AE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A29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5.29 (1.34)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C40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5C11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 (1.01)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BBC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FB8A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4.85 (5.36)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8C7C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1A3FC0DD" w14:textId="77777777" w:rsidTr="004B613D">
        <w:trPr>
          <w:trHeight w:val="280"/>
        </w:trPr>
        <w:tc>
          <w:tcPr>
            <w:tcW w:w="21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298372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Riluzole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935E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46CE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158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4A2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EABE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668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D56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F5BE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3B9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44DD1E5A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9549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D16F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66D8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25F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 (0.20)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4E3D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632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5.04 (1.40)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FB9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EEA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1.76 (1.02)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9274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237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5.12 (4.59)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5B7A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</w:t>
            </w:r>
          </w:p>
        </w:tc>
      </w:tr>
      <w:tr w:rsidR="003D0D07" w:rsidRPr="00987C8A" w14:paraId="57698AD4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4406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9883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96A8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864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 (0.21)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CE3A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5EE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5.13 (1.26)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FFC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DC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 (0.91)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B2AE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74F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4.62 (2.61)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BA3D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76B75854" w14:textId="77777777" w:rsidTr="004B613D">
        <w:trPr>
          <w:trHeight w:val="280"/>
        </w:trPr>
        <w:tc>
          <w:tcPr>
            <w:tcW w:w="21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FCA99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Region of Onset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126C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6D9C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D23D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3C7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4D97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61B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645F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87E0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5D7D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59A83981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7923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1FD5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Bulbar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32C8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D4A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 (0.21)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2A9C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81C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4.77 (1.36)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B636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FB14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 (0.99)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F05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8E7B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4.80 (2.63)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B9BC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0.80</w:t>
            </w:r>
          </w:p>
        </w:tc>
      </w:tr>
      <w:tr w:rsidR="003D0D07" w:rsidRPr="00987C8A" w14:paraId="706FFAEA" w14:textId="77777777" w:rsidTr="004B613D">
        <w:trPr>
          <w:trHeight w:val="280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FA2F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9B43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Spinal/other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5067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4AF2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 (0.20)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035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5A93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5.22 (1.30)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B32A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0C2D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1.68 (0.97)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03D9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6C14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4.91 (4.19)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29B5" w14:textId="77777777" w:rsidR="003D0D07" w:rsidRPr="00987C8A" w:rsidRDefault="003D0D07" w:rsidP="004B613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D07" w:rsidRPr="00987C8A" w14:paraId="1463C4D6" w14:textId="77777777" w:rsidTr="004B613D">
        <w:trPr>
          <w:trHeight w:val="218"/>
        </w:trPr>
        <w:tc>
          <w:tcPr>
            <w:tcW w:w="1089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9CE15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*P value from spearman correlation</w:t>
            </w:r>
          </w:p>
        </w:tc>
      </w:tr>
      <w:tr w:rsidR="003D0D07" w:rsidRPr="00987C8A" w14:paraId="0848EC5E" w14:textId="77777777" w:rsidTr="004B613D">
        <w:trPr>
          <w:trHeight w:val="255"/>
        </w:trPr>
        <w:tc>
          <w:tcPr>
            <w:tcW w:w="1089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30AFA" w14:textId="77777777" w:rsidR="003D0D07" w:rsidRPr="00987C8A" w:rsidRDefault="003D0D07" w:rsidP="004B613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ALSci = ALS cognitive impairment</w:t>
            </w:r>
          </w:p>
        </w:tc>
      </w:tr>
    </w:tbl>
    <w:p w14:paraId="70A099ED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5C3E19C0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556EAFF1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12609E8C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1FAF2D37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1E664DFB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55CA5619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4E55D499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4DC9D16A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5273B58F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3C0917ED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43E7A4EE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28AF2364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1ED8081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F67B225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782A3B1C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072AA32D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09C2AE86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0CADEE80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07A3513C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1F702F22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2DCCF801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  <w:r w:rsidRPr="00987C8A">
        <w:rPr>
          <w:rFonts w:ascii="Arial" w:eastAsia="Times New Roman" w:hAnsi="Arial" w:cs="Arial"/>
          <w:b/>
          <w:bCs/>
          <w:color w:val="000000"/>
          <w:lang w:eastAsia="en-US"/>
        </w:rPr>
        <w:lastRenderedPageBreak/>
        <w:t>Supplemental Table 2.</w:t>
      </w:r>
      <w:r w:rsidRPr="00987C8A">
        <w:rPr>
          <w:rFonts w:ascii="Arial" w:eastAsia="Times New Roman" w:hAnsi="Arial" w:cs="Arial"/>
          <w:color w:val="000000"/>
          <w:lang w:eastAsia="en-US"/>
        </w:rPr>
        <w:t xml:space="preserve"> Associations between baseline quartiles of the ALSFRS-R, PCr, and principal component 1 (PC1) with time to death</w:t>
      </w:r>
    </w:p>
    <w:tbl>
      <w:tblPr>
        <w:tblpPr w:leftFromText="180" w:rightFromText="180" w:vertAnchor="page" w:horzAnchor="margin" w:tblpY="2186"/>
        <w:tblW w:w="8768" w:type="dxa"/>
        <w:tblLook w:val="04A0" w:firstRow="1" w:lastRow="0" w:firstColumn="1" w:lastColumn="0" w:noHBand="0" w:noVBand="1"/>
      </w:tblPr>
      <w:tblGrid>
        <w:gridCol w:w="1615"/>
        <w:gridCol w:w="2160"/>
        <w:gridCol w:w="584"/>
        <w:gridCol w:w="2788"/>
        <w:gridCol w:w="1621"/>
      </w:tblGrid>
      <w:tr w:rsidR="003D0D07" w:rsidRPr="00987C8A" w14:paraId="59413ED8" w14:textId="77777777" w:rsidTr="004B613D">
        <w:trPr>
          <w:trHeight w:val="34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113C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ALSFRS-R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90097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ALSFRS-R Values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879DF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N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831C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Hazard Ratio (95% CI)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BFD7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p-value</w:t>
            </w:r>
          </w:p>
        </w:tc>
      </w:tr>
      <w:tr w:rsidR="003D0D07" w:rsidRPr="00987C8A" w14:paraId="0B70245D" w14:textId="77777777" w:rsidTr="004B613D">
        <w:trPr>
          <w:trHeight w:val="32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D6F6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63D3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&gt;41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61EE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75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BDDA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0.35 (0.24, 0.50)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3E98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&lt;0.0001</w:t>
            </w:r>
          </w:p>
        </w:tc>
      </w:tr>
      <w:tr w:rsidR="003D0D07" w:rsidRPr="00987C8A" w14:paraId="5963034C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C0C6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6697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37-41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6F99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95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F1A8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0.51 (0.38, 0.71)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B94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&lt;0.0001</w:t>
            </w:r>
          </w:p>
        </w:tc>
      </w:tr>
      <w:tr w:rsidR="003D0D07" w:rsidRPr="00987C8A" w14:paraId="0C96F39F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7139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5FCA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32-37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982F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92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07B5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0.65 (0.47, 0.90)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9348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     &lt;0.01</w:t>
            </w:r>
          </w:p>
        </w:tc>
      </w:tr>
      <w:tr w:rsidR="003D0D07" w:rsidRPr="00987C8A" w14:paraId="08B31AF6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CD2A9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Quartile 1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A6435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&lt;32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2EB5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93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A66C1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1.0 (ref.)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DC44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ref.</w:t>
            </w:r>
          </w:p>
        </w:tc>
      </w:tr>
      <w:tr w:rsidR="003D0D07" w:rsidRPr="00987C8A" w14:paraId="39A019DE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0564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Creatinine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A5BE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Creatinine Values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50C0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B0B6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2397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 </w:t>
            </w:r>
          </w:p>
        </w:tc>
      </w:tr>
      <w:tr w:rsidR="003D0D07" w:rsidRPr="00987C8A" w14:paraId="1718A54C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3476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7266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&gt;0.90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A399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78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F7D4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0.58 (0.39, 0.86)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5249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&lt;0.01</w:t>
            </w:r>
          </w:p>
        </w:tc>
      </w:tr>
      <w:tr w:rsidR="003D0D07" w:rsidRPr="00987C8A" w14:paraId="4E719BCA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01DE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7065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0.80 - 0.90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CF38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60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935A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0.73 (0.50, 1.07)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AED9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  0.10</w:t>
            </w:r>
          </w:p>
        </w:tc>
      </w:tr>
      <w:tr w:rsidR="003D0D07" w:rsidRPr="00987C8A" w14:paraId="060EE57B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6FDE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8F88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0.60 - 0.8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4638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119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CF3F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0.94 (0.69, 1.28)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9C4B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  0.68</w:t>
            </w:r>
          </w:p>
        </w:tc>
      </w:tr>
      <w:tr w:rsidR="003D0D07" w:rsidRPr="00987C8A" w14:paraId="6335021A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65975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Quartile 1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292B4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&lt;0.60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2DBE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89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A346E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1.0 (ref.)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5D2A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ref.</w:t>
            </w:r>
          </w:p>
        </w:tc>
      </w:tr>
      <w:tr w:rsidR="003D0D07" w:rsidRPr="00987C8A" w14:paraId="495D4BC3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843A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PC1*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644F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PC1 Values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1039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5FB4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661D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 </w:t>
            </w:r>
          </w:p>
        </w:tc>
      </w:tr>
      <w:tr w:rsidR="003D0D07" w:rsidRPr="00987C8A" w14:paraId="206E691A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60E4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D7A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&gt;0.90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1C4C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81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5D29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0.35 (0.24, 0.51)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C7A8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&lt;0.0001</w:t>
            </w:r>
          </w:p>
        </w:tc>
      </w:tr>
      <w:tr w:rsidR="003D0D07" w:rsidRPr="00987C8A" w14:paraId="4119E6E8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C198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B21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0.20 - 0.90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2BD1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81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AB26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0.44 (0.31, 0.62)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8973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&lt;0.0001</w:t>
            </w:r>
          </w:p>
        </w:tc>
      </w:tr>
      <w:tr w:rsidR="003D0D07" w:rsidRPr="00987C8A" w14:paraId="5E5ADB01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1BDD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Quartile 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AEFF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-0.83 - 0.20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51F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80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5434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0.71 (0.50, 1.00)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3DEF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       0.05</w:t>
            </w:r>
          </w:p>
        </w:tc>
      </w:tr>
      <w:tr w:rsidR="003D0D07" w:rsidRPr="00987C8A" w14:paraId="187C36EB" w14:textId="77777777" w:rsidTr="004B613D">
        <w:trPr>
          <w:trHeight w:val="32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A5C1" w14:textId="77777777" w:rsidR="003D0D07" w:rsidRPr="00987C8A" w:rsidRDefault="003D0D07" w:rsidP="004B613D">
            <w:pPr>
              <w:spacing w:after="0" w:line="240" w:lineRule="auto"/>
              <w:ind w:left="288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Quartile 1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3C8A2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 -4.28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4E1CA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81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6F4CC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1.0 (ref.)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1DF6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ref.</w:t>
            </w:r>
          </w:p>
        </w:tc>
      </w:tr>
      <w:tr w:rsidR="003D0D07" w:rsidRPr="00987C8A" w14:paraId="5139CD0B" w14:textId="77777777" w:rsidTr="004B613D">
        <w:trPr>
          <w:trHeight w:val="620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92F6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*PC1 is the first principal component from principal components analysis at baseline using the ALSFRS-R, %FVC, and PCr as input variables</w:t>
            </w:r>
          </w:p>
        </w:tc>
      </w:tr>
    </w:tbl>
    <w:p w14:paraId="317C0B92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7ED49B14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3D4E5390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  <w:r w:rsidRPr="00987C8A">
        <w:rPr>
          <w:rFonts w:ascii="Arial" w:eastAsia="Times New Roman" w:hAnsi="Arial" w:cs="Arial"/>
          <w:color w:val="000000"/>
          <w:lang w:eastAsia="en-US"/>
        </w:rPr>
        <w:br/>
      </w:r>
    </w:p>
    <w:p w14:paraId="00E89A8D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767DC186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51763BA0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3FDA3793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3192E310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6B1D9C6D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6A06E39A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25567B44" w14:textId="77777777" w:rsidR="003D0D07" w:rsidRPr="00987C8A" w:rsidRDefault="003D0D07" w:rsidP="003D0D07">
      <w:pPr>
        <w:spacing w:after="0" w:line="240" w:lineRule="auto"/>
        <w:rPr>
          <w:rFonts w:ascii="Arial" w:eastAsia="Times New Roman" w:hAnsi="Arial" w:cs="Arial"/>
          <w:color w:val="000000"/>
          <w:lang w:eastAsia="en-US"/>
        </w:rPr>
      </w:pPr>
    </w:p>
    <w:p w14:paraId="01C39DE6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488D2AE4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6AB3385B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7885EF7E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4541BF51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06555AB9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13862BF3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1D50BA5C" w14:textId="77777777" w:rsidR="003D0D07" w:rsidRPr="00987C8A" w:rsidRDefault="003D0D07" w:rsidP="003D0D07">
      <w:pPr>
        <w:tabs>
          <w:tab w:val="left" w:pos="2681"/>
        </w:tabs>
        <w:rPr>
          <w:rFonts w:ascii="Arial" w:eastAsia="Arial" w:hAnsi="Arial" w:cs="Arial"/>
          <w:b/>
          <w:bCs/>
          <w:color w:val="FF0000"/>
        </w:rPr>
      </w:pPr>
      <w:r w:rsidRPr="00987C8A">
        <w:rPr>
          <w:rFonts w:ascii="Arial" w:eastAsia="Arial" w:hAnsi="Arial" w:cs="Arial"/>
          <w:b/>
          <w:bCs/>
          <w:color w:val="FF0000"/>
        </w:rPr>
        <w:tab/>
      </w:r>
    </w:p>
    <w:p w14:paraId="3D0A0DED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45C500E8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31C0ACE2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47B52375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0B1E12AE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1BBF4227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13599AB4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6F909845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192E87B4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2918C8F4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36E1F3D6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15541F41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p w14:paraId="573FB12A" w14:textId="77777777" w:rsidR="003D0D07" w:rsidRPr="00987C8A" w:rsidRDefault="003D0D07" w:rsidP="003D0D07">
      <w:pPr>
        <w:rPr>
          <w:rFonts w:ascii="Arial" w:eastAsia="Arial" w:hAnsi="Arial" w:cs="Arial"/>
          <w:b/>
          <w:bCs/>
          <w:color w:val="FF0000"/>
        </w:rPr>
      </w:pPr>
    </w:p>
    <w:tbl>
      <w:tblPr>
        <w:tblW w:w="8460" w:type="dxa"/>
        <w:tblLook w:val="04A0" w:firstRow="1" w:lastRow="0" w:firstColumn="1" w:lastColumn="0" w:noHBand="0" w:noVBand="1"/>
      </w:tblPr>
      <w:tblGrid>
        <w:gridCol w:w="3319"/>
        <w:gridCol w:w="1953"/>
        <w:gridCol w:w="1705"/>
        <w:gridCol w:w="1483"/>
      </w:tblGrid>
      <w:tr w:rsidR="003D0D07" w:rsidRPr="00987C8A" w14:paraId="623CCC32" w14:textId="77777777" w:rsidTr="004B613D">
        <w:trPr>
          <w:trHeight w:val="320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8D12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lastRenderedPageBreak/>
              <w:t>Supplemental Table 3.</w:t>
            </w: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 xml:space="preserve"> Joint models for longitudinal biomarkers and time to death</w:t>
            </w:r>
          </w:p>
        </w:tc>
      </w:tr>
      <w:tr w:rsidR="003D0D07" w:rsidRPr="00987C8A" w14:paraId="75D9B44A" w14:textId="77777777" w:rsidTr="004B613D">
        <w:trPr>
          <w:trHeight w:val="320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8024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Exposure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AC716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Hazard Ratio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60F3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95% CI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0878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P value</w:t>
            </w:r>
          </w:p>
        </w:tc>
      </w:tr>
      <w:tr w:rsidR="003D0D07" w:rsidRPr="00987C8A" w14:paraId="4EC3F62E" w14:textId="77777777" w:rsidTr="004B613D">
        <w:trPr>
          <w:trHeight w:val="320"/>
        </w:trPr>
        <w:tc>
          <w:tcPr>
            <w:tcW w:w="3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6CC6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Creatinine (0.1 mg/dL)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C55E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0.62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6E09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(0.51, 0.77)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FC4E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&lt;0.0001</w:t>
            </w:r>
          </w:p>
        </w:tc>
      </w:tr>
      <w:tr w:rsidR="003D0D07" w:rsidRPr="00987C8A" w14:paraId="0634CF90" w14:textId="77777777" w:rsidTr="004B613D">
        <w:trPr>
          <w:trHeight w:val="320"/>
        </w:trPr>
        <w:tc>
          <w:tcPr>
            <w:tcW w:w="3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253E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Uric Acid (0.1 mg/dL)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8FE4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0.96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0BE5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(0.94, 0.97)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49F3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&lt;0.0001</w:t>
            </w:r>
          </w:p>
        </w:tc>
      </w:tr>
      <w:tr w:rsidR="003D0D07" w:rsidRPr="00987C8A" w14:paraId="02AAA7D0" w14:textId="77777777" w:rsidTr="004B613D">
        <w:trPr>
          <w:trHeight w:val="320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B8A73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ALSFRS-R (1 unit)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B2E06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0.94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18A9F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(0.92, 0.94)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EBED" w14:textId="77777777" w:rsidR="003D0D07" w:rsidRPr="00987C8A" w:rsidRDefault="003D0D07" w:rsidP="004B61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&lt;0.0001</w:t>
            </w:r>
          </w:p>
        </w:tc>
      </w:tr>
      <w:tr w:rsidR="003D0D07" w:rsidRPr="00BF15A3" w14:paraId="1EDE2A1D" w14:textId="77777777" w:rsidTr="004B613D">
        <w:trPr>
          <w:trHeight w:val="450"/>
        </w:trPr>
        <w:tc>
          <w:tcPr>
            <w:tcW w:w="84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47954" w14:textId="77777777" w:rsidR="003D0D07" w:rsidRPr="00987C8A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Adjusted for sex, race, region of onset, age at case ascertainment, education, Latin ancestry, months between onset and baseline, and BMI at baseline.</w:t>
            </w:r>
          </w:p>
          <w:p w14:paraId="28DF7026" w14:textId="77777777" w:rsidR="003D0D07" w:rsidRPr="00BF15A3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87C8A">
              <w:rPr>
                <w:rFonts w:ascii="Arial" w:eastAsia="Times New Roman" w:hAnsi="Arial" w:cs="Arial"/>
                <w:color w:val="000000"/>
                <w:lang w:eastAsia="en-US"/>
              </w:rPr>
              <w:t>CI = confidence interval.</w:t>
            </w:r>
          </w:p>
        </w:tc>
      </w:tr>
      <w:tr w:rsidR="003D0D07" w:rsidRPr="00BF15A3" w14:paraId="11186803" w14:textId="77777777" w:rsidTr="004B613D">
        <w:trPr>
          <w:trHeight w:val="450"/>
        </w:trPr>
        <w:tc>
          <w:tcPr>
            <w:tcW w:w="84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258E0" w14:textId="77777777" w:rsidR="003D0D07" w:rsidRPr="00BF15A3" w:rsidRDefault="003D0D07" w:rsidP="004B61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</w:p>
        </w:tc>
      </w:tr>
    </w:tbl>
    <w:p w14:paraId="7B3D401E" w14:textId="77777777" w:rsidR="0069000E" w:rsidRDefault="0069000E">
      <w:bookmarkStart w:id="0" w:name="_GoBack"/>
      <w:bookmarkEnd w:id="0"/>
    </w:p>
    <w:sectPr w:rsidR="0069000E" w:rsidSect="001C3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D07"/>
    <w:rsid w:val="00027D87"/>
    <w:rsid w:val="000E637C"/>
    <w:rsid w:val="00184853"/>
    <w:rsid w:val="001C33BC"/>
    <w:rsid w:val="001C58CB"/>
    <w:rsid w:val="002245C5"/>
    <w:rsid w:val="002633B3"/>
    <w:rsid w:val="00270185"/>
    <w:rsid w:val="00352162"/>
    <w:rsid w:val="003A5D23"/>
    <w:rsid w:val="003D0D07"/>
    <w:rsid w:val="004133CE"/>
    <w:rsid w:val="00417A28"/>
    <w:rsid w:val="00475F31"/>
    <w:rsid w:val="004900F2"/>
    <w:rsid w:val="004C5B49"/>
    <w:rsid w:val="004D21E6"/>
    <w:rsid w:val="004D27EF"/>
    <w:rsid w:val="004E7647"/>
    <w:rsid w:val="00527112"/>
    <w:rsid w:val="00596532"/>
    <w:rsid w:val="005E7A20"/>
    <w:rsid w:val="00666D59"/>
    <w:rsid w:val="0069000E"/>
    <w:rsid w:val="006A7AFD"/>
    <w:rsid w:val="00734854"/>
    <w:rsid w:val="007774B6"/>
    <w:rsid w:val="007962DA"/>
    <w:rsid w:val="008135F3"/>
    <w:rsid w:val="00966CCD"/>
    <w:rsid w:val="00994991"/>
    <w:rsid w:val="00A2535C"/>
    <w:rsid w:val="00A460FF"/>
    <w:rsid w:val="00AC77F3"/>
    <w:rsid w:val="00AD130A"/>
    <w:rsid w:val="00B04770"/>
    <w:rsid w:val="00C15148"/>
    <w:rsid w:val="00C73D2C"/>
    <w:rsid w:val="00D17E35"/>
    <w:rsid w:val="00D4169B"/>
    <w:rsid w:val="00D559E7"/>
    <w:rsid w:val="00D73E7F"/>
    <w:rsid w:val="00F02896"/>
    <w:rsid w:val="00F8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8C5D93"/>
  <w15:chartTrackingRefBased/>
  <w15:docId w15:val="{6ED1D33A-549E-4C4A-BDD6-A2B1C1AE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D07"/>
    <w:pPr>
      <w:spacing w:after="160" w:line="259" w:lineRule="auto"/>
    </w:pPr>
    <w:rPr>
      <w:rFonts w:eastAsiaTheme="minorEastAsia"/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Christodoulou</dc:creator>
  <cp:keywords/>
  <dc:description/>
  <cp:lastModifiedBy>Georgia Christodoulou</cp:lastModifiedBy>
  <cp:revision>1</cp:revision>
  <dcterms:created xsi:type="dcterms:W3CDTF">2020-03-07T01:30:00Z</dcterms:created>
  <dcterms:modified xsi:type="dcterms:W3CDTF">2020-03-07T01:30:00Z</dcterms:modified>
</cp:coreProperties>
</file>