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8FE28" w14:textId="77777777" w:rsidR="00594B1E" w:rsidRPr="00883D90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  <w:b/>
          <w:color w:val="000000"/>
        </w:rPr>
      </w:pPr>
      <w:r w:rsidRPr="00883D90">
        <w:rPr>
          <w:rFonts w:asciiTheme="minorBidi" w:hAnsiTheme="minorBidi" w:cstheme="minorBidi"/>
          <w:b/>
          <w:color w:val="000000"/>
        </w:rPr>
        <w:t>SUPPLEMENTAL FIGURE LEGENDS</w:t>
      </w:r>
    </w:p>
    <w:p w14:paraId="6A7AF8D4" w14:textId="77777777" w:rsidR="00594B1E" w:rsidRPr="00207BD6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6B36D9">
        <w:rPr>
          <w:rFonts w:asciiTheme="minorBidi" w:hAnsiTheme="minorBidi" w:cstheme="minorBidi"/>
          <w:b/>
          <w:bCs/>
        </w:rPr>
        <w:t>Figure S1.</w:t>
      </w:r>
      <w:r w:rsidRPr="006B36D9">
        <w:rPr>
          <w:rFonts w:asciiTheme="minorBidi" w:hAnsiTheme="minorBidi" w:cstheme="minorBidi"/>
        </w:rPr>
        <w:t xml:space="preserve"> </w:t>
      </w:r>
      <w:r w:rsidRPr="00207BD6">
        <w:rPr>
          <w:rFonts w:asciiTheme="minorBidi" w:hAnsiTheme="minorBidi" w:cstheme="minorBidi"/>
        </w:rPr>
        <w:t xml:space="preserve">Gene regulation after </w:t>
      </w:r>
      <w:r w:rsidRPr="00207BD6">
        <w:rPr>
          <w:rFonts w:asciiTheme="minorBidi" w:hAnsiTheme="minorBidi" w:cstheme="minorBidi"/>
          <w:bCs/>
        </w:rPr>
        <w:t>SETX KD affects genes involved in various processes including autophagy and lysosomal degradation.</w:t>
      </w:r>
      <w:r w:rsidRPr="006B36D9">
        <w:rPr>
          <w:rFonts w:asciiTheme="minorBidi" w:hAnsiTheme="minorBidi" w:cstheme="minorBidi"/>
        </w:rPr>
        <w:t xml:space="preserve"> (</w:t>
      </w:r>
      <w:r w:rsidRPr="00207BD6">
        <w:rPr>
          <w:rFonts w:asciiTheme="minorBidi" w:hAnsiTheme="minorBidi" w:cstheme="minorBidi"/>
          <w:b/>
        </w:rPr>
        <w:t>A</w:t>
      </w:r>
      <w:r w:rsidRPr="006B36D9">
        <w:rPr>
          <w:rFonts w:asciiTheme="minorBidi" w:hAnsiTheme="minorBidi" w:cstheme="minorBidi"/>
        </w:rPr>
        <w:t>) GO analysis of genes regulated by SETX KD obtained from the microarray data. (</w:t>
      </w:r>
      <w:r w:rsidRPr="00207BD6">
        <w:rPr>
          <w:rFonts w:asciiTheme="minorBidi" w:hAnsiTheme="minorBidi" w:cstheme="minorBidi"/>
          <w:b/>
        </w:rPr>
        <w:t>B</w:t>
      </w:r>
      <w:r w:rsidRPr="006B36D9">
        <w:rPr>
          <w:rFonts w:asciiTheme="minorBidi" w:hAnsiTheme="minorBidi" w:cstheme="minorBidi"/>
        </w:rPr>
        <w:t>) List of V-ATPase genes downregulated by SETX KD.</w:t>
      </w:r>
      <w:r w:rsidRPr="00207BD6">
        <w:rPr>
          <w:rFonts w:asciiTheme="minorBidi" w:hAnsiTheme="minorBidi" w:cstheme="minorBidi"/>
        </w:rPr>
        <w:t xml:space="preserve"> </w:t>
      </w:r>
    </w:p>
    <w:p w14:paraId="0AA8D4FB" w14:textId="77777777" w:rsidR="00594B1E" w:rsidRPr="00207BD6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09FF4D3F" w14:textId="77777777" w:rsidR="00594B1E" w:rsidRPr="007F2158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207BD6">
        <w:rPr>
          <w:rFonts w:asciiTheme="minorBidi" w:hAnsiTheme="minorBidi" w:cstheme="minorBidi"/>
          <w:b/>
          <w:bCs/>
        </w:rPr>
        <w:t>Figure S2.</w:t>
      </w:r>
      <w:r w:rsidRPr="00207BD6">
        <w:rPr>
          <w:rFonts w:asciiTheme="minorBidi" w:hAnsiTheme="minorBidi" w:cstheme="minorBidi"/>
        </w:rPr>
        <w:t xml:space="preserve"> </w:t>
      </w:r>
      <w:r w:rsidRPr="00207BD6">
        <w:rPr>
          <w:rFonts w:asciiTheme="minorBidi" w:hAnsiTheme="minorBidi" w:cstheme="minorBidi"/>
          <w:bCs/>
        </w:rPr>
        <w:t>SETX KD impairs APA.</w:t>
      </w:r>
      <w:r w:rsidRPr="006B36D9">
        <w:rPr>
          <w:rFonts w:asciiTheme="minorBidi" w:hAnsiTheme="minorBidi" w:cstheme="minorBidi"/>
        </w:rPr>
        <w:t xml:space="preserve"> (</w:t>
      </w:r>
      <w:r w:rsidRPr="00207BD6">
        <w:rPr>
          <w:rFonts w:asciiTheme="minorBidi" w:hAnsiTheme="minorBidi" w:cstheme="minorBidi"/>
          <w:b/>
        </w:rPr>
        <w:t>A</w:t>
      </w:r>
      <w:r w:rsidRPr="006B36D9">
        <w:rPr>
          <w:rFonts w:asciiTheme="minorBidi" w:hAnsiTheme="minorBidi" w:cstheme="minorBidi"/>
        </w:rPr>
        <w:t xml:space="preserve">) method for APA analysis from the microarray data. F, M and L denote the first, middle and last </w:t>
      </w:r>
      <w:proofErr w:type="spellStart"/>
      <w:r w:rsidRPr="006B36D9">
        <w:rPr>
          <w:rFonts w:asciiTheme="minorBidi" w:hAnsiTheme="minorBidi" w:cstheme="minorBidi"/>
        </w:rPr>
        <w:t>polyA</w:t>
      </w:r>
      <w:proofErr w:type="spellEnd"/>
      <w:r w:rsidRPr="006B36D9">
        <w:rPr>
          <w:rFonts w:asciiTheme="minorBidi" w:hAnsiTheme="minorBidi" w:cstheme="minorBidi"/>
        </w:rPr>
        <w:t xml:space="preserve"> sites in 3’-most </w:t>
      </w:r>
      <w:proofErr w:type="gramStart"/>
      <w:r w:rsidRPr="006B36D9">
        <w:rPr>
          <w:rFonts w:asciiTheme="minorBidi" w:hAnsiTheme="minorBidi" w:cstheme="minorBidi"/>
        </w:rPr>
        <w:t>exon</w:t>
      </w:r>
      <w:proofErr w:type="gramEnd"/>
      <w:r w:rsidRPr="006B36D9">
        <w:rPr>
          <w:rFonts w:asciiTheme="minorBidi" w:hAnsiTheme="minorBidi" w:cstheme="minorBidi"/>
        </w:rPr>
        <w:t>. (</w:t>
      </w:r>
      <w:r w:rsidRPr="00207BD6">
        <w:rPr>
          <w:rFonts w:asciiTheme="minorBidi" w:hAnsiTheme="minorBidi" w:cstheme="minorBidi"/>
          <w:b/>
        </w:rPr>
        <w:t>B</w:t>
      </w:r>
      <w:r w:rsidRPr="006B36D9">
        <w:rPr>
          <w:rFonts w:asciiTheme="minorBidi" w:hAnsiTheme="minorBidi" w:cstheme="minorBidi"/>
        </w:rPr>
        <w:t>) Heatmap showing</w:t>
      </w:r>
      <w:r w:rsidRPr="00760668">
        <w:rPr>
          <w:rFonts w:asciiTheme="minorBidi" w:hAnsiTheme="minorBidi" w:cstheme="minorBidi"/>
        </w:rPr>
        <w:t xml:space="preserve"> RUD changes in SETX KD.   </w:t>
      </w:r>
    </w:p>
    <w:p w14:paraId="224315DF" w14:textId="77777777" w:rsidR="00594B1E" w:rsidRPr="007F2158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02AAD765" w14:textId="02F74630" w:rsidR="00594B1E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760668">
        <w:rPr>
          <w:rFonts w:asciiTheme="minorBidi" w:hAnsiTheme="minorBidi" w:cstheme="minorBidi"/>
          <w:b/>
          <w:bCs/>
        </w:rPr>
        <w:t>Figure S</w:t>
      </w:r>
      <w:r>
        <w:rPr>
          <w:rFonts w:asciiTheme="minorBidi" w:hAnsiTheme="minorBidi" w:cstheme="minorBidi"/>
          <w:b/>
          <w:bCs/>
        </w:rPr>
        <w:t>3</w:t>
      </w:r>
      <w:r w:rsidRPr="00760668">
        <w:rPr>
          <w:rFonts w:asciiTheme="minorBidi" w:hAnsiTheme="minorBidi" w:cstheme="minorBidi"/>
          <w:b/>
          <w:bCs/>
        </w:rPr>
        <w:t>.</w:t>
      </w:r>
      <w:r w:rsidRPr="00760668">
        <w:rPr>
          <w:rFonts w:asciiTheme="minorBidi" w:hAnsiTheme="minorBidi" w:cstheme="minorBidi"/>
        </w:rPr>
        <w:t xml:space="preserve"> AS analysis from the microarray data. (</w:t>
      </w:r>
      <w:r w:rsidRPr="00207BD6">
        <w:rPr>
          <w:rFonts w:asciiTheme="minorBidi" w:hAnsiTheme="minorBidi" w:cstheme="minorBidi"/>
          <w:b/>
          <w:bCs/>
        </w:rPr>
        <w:t>A</w:t>
      </w:r>
      <w:r w:rsidRPr="00760668">
        <w:rPr>
          <w:rFonts w:asciiTheme="minorBidi" w:hAnsiTheme="minorBidi" w:cstheme="minorBidi"/>
        </w:rPr>
        <w:t>) Definition of AS events analyzed in the study.</w:t>
      </w:r>
      <w:r>
        <w:rPr>
          <w:rFonts w:asciiTheme="minorBidi" w:hAnsiTheme="minorBidi" w:cstheme="minorBidi"/>
        </w:rPr>
        <w:t xml:space="preserve"> In each AS type, two isoforms were compared, with the pink</w:t>
      </w:r>
      <w:r w:rsidR="002D18D9"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 xml:space="preserve"> and blue</w:t>
      </w:r>
      <w:r w:rsidR="002D18D9"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 xml:space="preserve">colored regions indicating alternative and common regions, respectively. </w:t>
      </w:r>
      <w:r w:rsidRPr="00760668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B</w:t>
      </w:r>
      <w:r w:rsidRPr="00760668">
        <w:rPr>
          <w:rFonts w:asciiTheme="minorBidi" w:hAnsiTheme="minorBidi" w:cstheme="minorBidi"/>
        </w:rPr>
        <w:t xml:space="preserve">) Explanation of splicing index (SI) calculation. </w:t>
      </w:r>
      <w:r>
        <w:rPr>
          <w:rFonts w:asciiTheme="minorBidi" w:hAnsiTheme="minorBidi" w:cstheme="minorBidi"/>
        </w:rPr>
        <w:t>Probes mapped to different regions of exons were used to calculate a splicing index (SI). The difference of probe signal between alternative region (pink</w:t>
      </w:r>
      <w:r w:rsidR="002D18D9"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 xml:space="preserve">colored in A) and common region is defined as SI, except for MXE, in which the difference between exon1 and exon2 is used. The </w:t>
      </w:r>
      <w:r w:rsidRPr="00F72033">
        <w:rPr>
          <w:rFonts w:asciiTheme="minorBidi" w:hAnsiTheme="minorBidi" w:cstheme="minorBidi"/>
          <w:lang w:val="el-GR"/>
        </w:rPr>
        <w:t>Δ</w:t>
      </w:r>
      <w:r>
        <w:rPr>
          <w:rFonts w:asciiTheme="minorBidi" w:hAnsiTheme="minorBidi" w:cstheme="minorBidi"/>
        </w:rPr>
        <w:t>SI is the difference of SI between two samples (e</w:t>
      </w:r>
      <w:r w:rsidR="002D18D9">
        <w:rPr>
          <w:rFonts w:asciiTheme="minorBidi" w:hAnsiTheme="minorBidi" w:cstheme="minorBidi"/>
        </w:rPr>
        <w:t>.</w:t>
      </w:r>
      <w:r>
        <w:rPr>
          <w:rFonts w:asciiTheme="minorBidi" w:hAnsiTheme="minorBidi" w:cstheme="minorBidi"/>
        </w:rPr>
        <w:t>g.</w:t>
      </w:r>
      <w:r w:rsidR="002D18D9">
        <w:rPr>
          <w:rFonts w:asciiTheme="minorBidi" w:hAnsiTheme="minorBidi" w:cstheme="minorBidi"/>
        </w:rPr>
        <w:t>,</w:t>
      </w:r>
      <w:r>
        <w:rPr>
          <w:rFonts w:asciiTheme="minorBidi" w:hAnsiTheme="minorBidi" w:cstheme="minorBidi"/>
        </w:rPr>
        <w:t xml:space="preserve"> knockdown vs. control, denoted as sample 1 vs. sample 2 here). </w:t>
      </w:r>
      <w:r w:rsidRPr="00760668">
        <w:rPr>
          <w:rFonts w:asciiTheme="minorBidi" w:hAnsiTheme="minorBidi" w:cstheme="minorBidi"/>
        </w:rPr>
        <w:t xml:space="preserve">All raw probe set signals are log 2 based. </w:t>
      </w:r>
      <w:r>
        <w:rPr>
          <w:rFonts w:asciiTheme="minorBidi" w:hAnsiTheme="minorBidi" w:cstheme="minorBidi"/>
        </w:rPr>
        <w:t xml:space="preserve">An increase of SI indicates </w:t>
      </w:r>
      <w:r w:rsidR="002D18D9">
        <w:rPr>
          <w:rFonts w:asciiTheme="minorBidi" w:hAnsiTheme="minorBidi" w:cstheme="minorBidi"/>
        </w:rPr>
        <w:t xml:space="preserve">an </w:t>
      </w:r>
      <w:r>
        <w:rPr>
          <w:rFonts w:asciiTheme="minorBidi" w:hAnsiTheme="minorBidi" w:cstheme="minorBidi"/>
        </w:rPr>
        <w:t>increased signal of the alternative region in sample 1. Here we call significant increase of SI “inclusion”</w:t>
      </w:r>
      <w:r w:rsidRPr="00FE5774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(in) and decrease of SI “exclusion”</w:t>
      </w:r>
      <w:r w:rsidRPr="00FE5774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(ex). </w:t>
      </w:r>
      <w:r w:rsidRPr="00760668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C</w:t>
      </w:r>
      <w:r w:rsidRPr="00760668">
        <w:rPr>
          <w:rFonts w:asciiTheme="minorBidi" w:hAnsiTheme="minorBidi" w:cstheme="minorBidi"/>
        </w:rPr>
        <w:t>) and (</w:t>
      </w:r>
      <w:r w:rsidRPr="00207BD6">
        <w:rPr>
          <w:rFonts w:asciiTheme="minorBidi" w:hAnsiTheme="minorBidi" w:cstheme="minorBidi"/>
          <w:b/>
          <w:bCs/>
        </w:rPr>
        <w:t>D</w:t>
      </w:r>
      <w:r w:rsidRPr="00760668">
        <w:rPr>
          <w:rFonts w:asciiTheme="minorBidi" w:hAnsiTheme="minorBidi" w:cstheme="minorBidi"/>
        </w:rPr>
        <w:t>) correlation between splicing event and gene expression after SETX KD in U87 cells.</w:t>
      </w:r>
    </w:p>
    <w:p w14:paraId="6F15E6D3" w14:textId="77777777" w:rsidR="00594B1E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36452225" w14:textId="59519C04" w:rsidR="00594B1E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6B36D9">
        <w:rPr>
          <w:rFonts w:asciiTheme="minorBidi" w:hAnsiTheme="minorBidi" w:cstheme="minorBidi"/>
          <w:b/>
          <w:bCs/>
        </w:rPr>
        <w:t>Figure S4</w:t>
      </w:r>
      <w:r w:rsidRPr="00207BD6">
        <w:rPr>
          <w:rFonts w:asciiTheme="minorBidi" w:hAnsiTheme="minorBidi" w:cstheme="minorBidi"/>
          <w:b/>
          <w:bCs/>
        </w:rPr>
        <w:t>.</w:t>
      </w:r>
      <w:r w:rsidRPr="00207BD6">
        <w:rPr>
          <w:rFonts w:asciiTheme="minorBidi" w:hAnsiTheme="minorBidi" w:cstheme="minorBidi"/>
        </w:rPr>
        <w:t xml:space="preserve"> </w:t>
      </w:r>
      <w:r w:rsidRPr="00207BD6">
        <w:rPr>
          <w:rFonts w:asciiTheme="minorBidi" w:hAnsiTheme="minorBidi" w:cstheme="minorBidi"/>
          <w:bCs/>
        </w:rPr>
        <w:t>SETX depletion does not increase R-loop signal.</w:t>
      </w:r>
      <w:r w:rsidRPr="006B36D9">
        <w:rPr>
          <w:rFonts w:asciiTheme="minorBidi" w:hAnsiTheme="minorBidi" w:cstheme="minorBidi"/>
        </w:rPr>
        <w:t xml:space="preserve"> (</w:t>
      </w:r>
      <w:r w:rsidRPr="00207BD6">
        <w:rPr>
          <w:rFonts w:asciiTheme="minorBidi" w:hAnsiTheme="minorBidi" w:cstheme="minorBidi"/>
          <w:b/>
          <w:bCs/>
        </w:rPr>
        <w:t>A</w:t>
      </w:r>
      <w:r w:rsidRPr="006B36D9">
        <w:rPr>
          <w:rFonts w:asciiTheme="minorBidi" w:hAnsiTheme="minorBidi" w:cstheme="minorBidi"/>
        </w:rPr>
        <w:t>) Metagene plots showing</w:t>
      </w:r>
      <w:r>
        <w:rPr>
          <w:rFonts w:asciiTheme="minorBidi" w:hAnsiTheme="minorBidi" w:cstheme="minorBidi"/>
        </w:rPr>
        <w:t xml:space="preserve"> DRIP-</w:t>
      </w:r>
      <w:proofErr w:type="spellStart"/>
      <w:r>
        <w:rPr>
          <w:rFonts w:asciiTheme="minorBidi" w:hAnsiTheme="minorBidi" w:cstheme="minorBidi"/>
        </w:rPr>
        <w:t>seq</w:t>
      </w:r>
      <w:proofErr w:type="spellEnd"/>
      <w:r>
        <w:rPr>
          <w:rFonts w:asciiTheme="minorBidi" w:hAnsiTheme="minorBidi" w:cstheme="minorBidi"/>
        </w:rPr>
        <w:t xml:space="preserve"> signal increase over promoters and terminal regions in SETX-depleted cells. The lines represent the average signal surrounded by the standard error (shaded) for </w:t>
      </w:r>
      <w:r>
        <w:rPr>
          <w:rFonts w:asciiTheme="minorBidi" w:hAnsiTheme="minorBidi" w:cstheme="minorBidi"/>
        </w:rPr>
        <w:lastRenderedPageBreak/>
        <w:t xml:space="preserve">control and SETX-depleted cells, respectively.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B</w:t>
      </w:r>
      <w:r w:rsidRPr="00D554EA">
        <w:rPr>
          <w:rFonts w:asciiTheme="minorBidi" w:hAnsiTheme="minorBidi" w:cstheme="minorBidi"/>
        </w:rPr>
        <w:t xml:space="preserve">) </w:t>
      </w:r>
      <w:r>
        <w:rPr>
          <w:rFonts w:asciiTheme="minorBidi" w:hAnsiTheme="minorBidi" w:cstheme="minorBidi"/>
        </w:rPr>
        <w:t>Metagene plots showing DRIP-</w:t>
      </w:r>
      <w:proofErr w:type="spellStart"/>
      <w:r>
        <w:rPr>
          <w:rFonts w:asciiTheme="minorBidi" w:hAnsiTheme="minorBidi" w:cstheme="minorBidi"/>
        </w:rPr>
        <w:t>seq</w:t>
      </w:r>
      <w:proofErr w:type="spellEnd"/>
      <w:r>
        <w:rPr>
          <w:rFonts w:asciiTheme="minorBidi" w:hAnsiTheme="minorBidi" w:cstheme="minorBidi"/>
        </w:rPr>
        <w:t xml:space="preserve"> signal over promoter and terminal regions of genes showing loss of gene expression (RNA loss </w:t>
      </w:r>
      <w:r w:rsidR="002D18D9">
        <w:rPr>
          <w:rFonts w:asciiTheme="minorBidi" w:hAnsiTheme="minorBidi" w:cstheme="minorBidi"/>
        </w:rPr>
        <w:t>[</w:t>
      </w:r>
      <w:r>
        <w:rPr>
          <w:rFonts w:asciiTheme="minorBidi" w:hAnsiTheme="minorBidi" w:cstheme="minorBidi"/>
        </w:rPr>
        <w:t>top</w:t>
      </w:r>
      <w:r w:rsidR="002D18D9">
        <w:rPr>
          <w:rFonts w:asciiTheme="minorBidi" w:hAnsiTheme="minorBidi" w:cstheme="minorBidi"/>
        </w:rPr>
        <w:t>]</w:t>
      </w:r>
      <w:r>
        <w:rPr>
          <w:rFonts w:asciiTheme="minorBidi" w:hAnsiTheme="minorBidi" w:cstheme="minorBidi"/>
        </w:rPr>
        <w:t xml:space="preserve">) and gain of gene expression (RNA gain </w:t>
      </w:r>
      <w:r w:rsidR="002D18D9">
        <w:rPr>
          <w:rFonts w:asciiTheme="minorBidi" w:hAnsiTheme="minorBidi" w:cstheme="minorBidi"/>
        </w:rPr>
        <w:t>[</w:t>
      </w:r>
      <w:r>
        <w:rPr>
          <w:rFonts w:asciiTheme="minorBidi" w:hAnsiTheme="minorBidi" w:cstheme="minorBidi"/>
        </w:rPr>
        <w:t>bottom</w:t>
      </w:r>
      <w:r w:rsidR="002D18D9">
        <w:rPr>
          <w:rFonts w:asciiTheme="minorBidi" w:hAnsiTheme="minorBidi" w:cstheme="minorBidi"/>
        </w:rPr>
        <w:t>]</w:t>
      </w:r>
      <w:r>
        <w:rPr>
          <w:rFonts w:asciiTheme="minorBidi" w:hAnsiTheme="minorBidi" w:cstheme="minorBidi"/>
        </w:rPr>
        <w:t>) in SETX-depleted cells.</w:t>
      </w:r>
    </w:p>
    <w:p w14:paraId="153BA8CE" w14:textId="77777777" w:rsidR="00594B1E" w:rsidRPr="00D554EA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2CC7A5A1" w14:textId="6AFD5B6B" w:rsidR="00594B1E" w:rsidRPr="001470F7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D554EA">
        <w:rPr>
          <w:rFonts w:asciiTheme="minorBidi" w:hAnsiTheme="minorBidi" w:cstheme="minorBidi"/>
          <w:b/>
          <w:bCs/>
        </w:rPr>
        <w:t>Figure S5.</w:t>
      </w:r>
      <w:r w:rsidRPr="00D554EA">
        <w:rPr>
          <w:rFonts w:asciiTheme="minorBidi" w:hAnsiTheme="minorBidi" w:cstheme="minorBidi"/>
        </w:rPr>
        <w:t xml:space="preserve"> SETX regulates the autophagic flux. (</w:t>
      </w:r>
      <w:r w:rsidRPr="00207BD6">
        <w:rPr>
          <w:rFonts w:asciiTheme="minorBidi" w:hAnsiTheme="minorBidi" w:cstheme="minorBidi"/>
          <w:b/>
          <w:bCs/>
        </w:rPr>
        <w:t>A</w:t>
      </w:r>
      <w:r w:rsidRPr="00D554EA">
        <w:rPr>
          <w:rFonts w:asciiTheme="minorBidi" w:hAnsiTheme="minorBidi" w:cstheme="minorBidi"/>
        </w:rPr>
        <w:t>) U87 transfection with control (</w:t>
      </w:r>
      <w:proofErr w:type="spellStart"/>
      <w:r w:rsidRPr="00D554EA">
        <w:rPr>
          <w:rFonts w:asciiTheme="minorBidi" w:hAnsiTheme="minorBidi" w:cstheme="minorBidi"/>
        </w:rPr>
        <w:t>siC</w:t>
      </w:r>
      <w:proofErr w:type="spellEnd"/>
      <w:r w:rsidRPr="00D554EA">
        <w:rPr>
          <w:rFonts w:asciiTheme="minorBidi" w:hAnsiTheme="minorBidi" w:cstheme="minorBidi"/>
        </w:rPr>
        <w:t xml:space="preserve">) and 4 different siRNAs targeting </w:t>
      </w:r>
      <w:r w:rsidRPr="00CA6AEE">
        <w:rPr>
          <w:rFonts w:asciiTheme="minorBidi" w:hAnsiTheme="minorBidi" w:cstheme="minorBidi"/>
          <w:i/>
          <w:iCs/>
        </w:rPr>
        <w:t>SETX</w:t>
      </w:r>
      <w:r w:rsidRPr="00D554EA">
        <w:rPr>
          <w:rFonts w:asciiTheme="minorBidi" w:hAnsiTheme="minorBidi" w:cstheme="minorBidi"/>
        </w:rPr>
        <w:t xml:space="preserve"> at 20 </w:t>
      </w:r>
      <w:proofErr w:type="spellStart"/>
      <w:r w:rsidRPr="00D554EA">
        <w:rPr>
          <w:rFonts w:asciiTheme="minorBidi" w:hAnsiTheme="minorBidi" w:cstheme="minorBidi"/>
        </w:rPr>
        <w:t>nM</w:t>
      </w:r>
      <w:proofErr w:type="spellEnd"/>
      <w:r w:rsidRPr="00D554EA">
        <w:rPr>
          <w:rFonts w:asciiTheme="minorBidi" w:hAnsiTheme="minorBidi" w:cstheme="minorBidi"/>
        </w:rPr>
        <w:t xml:space="preserve"> for 72 h. Protein extracts were analyzed </w:t>
      </w:r>
      <w:bookmarkStart w:id="0" w:name="_GoBack"/>
      <w:r w:rsidRPr="00D554EA">
        <w:rPr>
          <w:rFonts w:asciiTheme="minorBidi" w:hAnsiTheme="minorBidi" w:cstheme="minorBidi"/>
        </w:rPr>
        <w:t>by WB in normal conditions (Ctrl) and after starvation for 24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 xml:space="preserve">h </w:t>
      </w:r>
      <w:r>
        <w:rPr>
          <w:rFonts w:asciiTheme="minorBidi" w:hAnsiTheme="minorBidi" w:cstheme="minorBidi"/>
        </w:rPr>
        <w:t xml:space="preserve">(STARV) </w:t>
      </w:r>
      <w:r w:rsidRPr="00D554EA">
        <w:rPr>
          <w:rFonts w:asciiTheme="minorBidi" w:hAnsiTheme="minorBidi" w:cstheme="minorBidi"/>
        </w:rPr>
        <w:t>in medium containing 0.1% FBS. Graph shows LC3</w:t>
      </w:r>
      <w:r>
        <w:rPr>
          <w:rFonts w:asciiTheme="minorBidi" w:hAnsiTheme="minorBidi" w:cstheme="minorBidi"/>
        </w:rPr>
        <w:t>-</w:t>
      </w:r>
      <w:r w:rsidRPr="00D554EA">
        <w:rPr>
          <w:rFonts w:asciiTheme="minorBidi" w:hAnsiTheme="minorBidi" w:cstheme="minorBidi"/>
        </w:rPr>
        <w:t>II</w:t>
      </w:r>
      <w:r>
        <w:rPr>
          <w:rFonts w:asciiTheme="minorBidi" w:hAnsiTheme="minorBidi" w:cstheme="minorBidi"/>
        </w:rPr>
        <w:t>:LC3-</w:t>
      </w:r>
      <w:r w:rsidRPr="00D554EA">
        <w:rPr>
          <w:rFonts w:asciiTheme="minorBidi" w:hAnsiTheme="minorBidi" w:cstheme="minorBidi"/>
        </w:rPr>
        <w:t xml:space="preserve">I quantification. </w:t>
      </w:r>
      <w:r>
        <w:rPr>
          <w:rFonts w:asciiTheme="minorBidi" w:hAnsiTheme="minorBidi" w:cstheme="minorBidi"/>
        </w:rPr>
        <w:t xml:space="preserve">n </w:t>
      </w:r>
      <w:r w:rsidRPr="00D554EA">
        <w:rPr>
          <w:rFonts w:asciiTheme="minorBidi" w:hAnsiTheme="minorBidi" w:cstheme="minorBidi"/>
        </w:rPr>
        <w:t>=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2, SD shown. (</w:t>
      </w:r>
      <w:r w:rsidRPr="00207BD6">
        <w:rPr>
          <w:rFonts w:asciiTheme="minorBidi" w:hAnsiTheme="minorBidi" w:cstheme="minorBidi"/>
          <w:b/>
          <w:bCs/>
        </w:rPr>
        <w:t>B</w:t>
      </w:r>
      <w:r w:rsidRPr="00D554EA">
        <w:rPr>
          <w:rFonts w:asciiTheme="minorBidi" w:hAnsiTheme="minorBidi" w:cstheme="minorBidi"/>
        </w:rPr>
        <w:t>) Steady-state levels of LC3 expression in U87 cells. Cells were cultured in DMEM with (Ctrl) or without FBS for 6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h (</w:t>
      </w:r>
      <w:proofErr w:type="spellStart"/>
      <w:r w:rsidRPr="00D554EA">
        <w:rPr>
          <w:rFonts w:asciiTheme="minorBidi" w:hAnsiTheme="minorBidi" w:cstheme="minorBidi"/>
        </w:rPr>
        <w:t>Starv</w:t>
      </w:r>
      <w:proofErr w:type="spellEnd"/>
      <w:r w:rsidRPr="00D554EA">
        <w:rPr>
          <w:rFonts w:asciiTheme="minorBidi" w:hAnsiTheme="minorBidi" w:cstheme="minorBidi"/>
        </w:rPr>
        <w:t>)</w:t>
      </w:r>
      <w:r>
        <w:rPr>
          <w:rFonts w:asciiTheme="minorBidi" w:hAnsiTheme="minorBidi" w:cstheme="minorBidi"/>
        </w:rPr>
        <w:t>, treated with chloroquine (</w:t>
      </w:r>
      <w:proofErr w:type="spellStart"/>
      <w:r>
        <w:rPr>
          <w:rFonts w:asciiTheme="minorBidi" w:hAnsiTheme="minorBidi" w:cstheme="minorBidi"/>
        </w:rPr>
        <w:t>Chloro</w:t>
      </w:r>
      <w:proofErr w:type="spellEnd"/>
      <w:r w:rsidR="002D18D9">
        <w:rPr>
          <w:rFonts w:asciiTheme="minorBidi" w:hAnsiTheme="minorBidi" w:cstheme="minorBidi"/>
        </w:rPr>
        <w:t xml:space="preserve">; </w:t>
      </w:r>
      <w:r w:rsidRPr="00D554EA">
        <w:rPr>
          <w:rFonts w:asciiTheme="minorBidi" w:hAnsiTheme="minorBidi" w:cstheme="minorBidi"/>
        </w:rPr>
        <w:t xml:space="preserve">20 </w:t>
      </w:r>
      <w:proofErr w:type="spellStart"/>
      <w:r w:rsidRPr="00D554EA">
        <w:rPr>
          <w:rFonts w:asciiTheme="minorBidi" w:hAnsiTheme="minorBidi" w:cstheme="minorBidi"/>
        </w:rPr>
        <w:t>μM</w:t>
      </w:r>
      <w:proofErr w:type="spellEnd"/>
      <w:r w:rsidRPr="00D554EA">
        <w:rPr>
          <w:rFonts w:asciiTheme="minorBidi" w:hAnsiTheme="minorBidi" w:cstheme="minorBidi"/>
        </w:rPr>
        <w:t xml:space="preserve">) </w:t>
      </w:r>
      <w:r>
        <w:rPr>
          <w:rFonts w:asciiTheme="minorBidi" w:hAnsiTheme="minorBidi" w:cstheme="minorBidi"/>
        </w:rPr>
        <w:t>or</w:t>
      </w:r>
      <w:r w:rsidRPr="00D554EA">
        <w:rPr>
          <w:rFonts w:asciiTheme="minorBidi" w:hAnsiTheme="minorBidi" w:cstheme="minorBidi"/>
        </w:rPr>
        <w:t xml:space="preserve"> Bafilomycin (BAF</w:t>
      </w:r>
      <w:r w:rsidR="002D18D9">
        <w:rPr>
          <w:rFonts w:asciiTheme="minorBidi" w:hAnsiTheme="minorBidi" w:cstheme="minorBidi"/>
        </w:rPr>
        <w:t xml:space="preserve">; </w:t>
      </w:r>
      <w:r w:rsidRPr="00D554EA">
        <w:rPr>
          <w:rFonts w:asciiTheme="minorBidi" w:hAnsiTheme="minorBidi" w:cstheme="minorBidi"/>
        </w:rPr>
        <w:t xml:space="preserve">100 </w:t>
      </w:r>
      <w:proofErr w:type="spellStart"/>
      <w:r w:rsidRPr="00D554EA">
        <w:rPr>
          <w:rFonts w:asciiTheme="minorBidi" w:hAnsiTheme="minorBidi" w:cstheme="minorBidi"/>
        </w:rPr>
        <w:t>nM</w:t>
      </w:r>
      <w:proofErr w:type="spellEnd"/>
      <w:r w:rsidRPr="00D554EA">
        <w:rPr>
          <w:rFonts w:asciiTheme="minorBidi" w:hAnsiTheme="minorBidi" w:cstheme="minorBidi"/>
        </w:rPr>
        <w:t>) for 6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 xml:space="preserve">h after transfection without siRNA (no </w:t>
      </w:r>
      <w:proofErr w:type="spellStart"/>
      <w:r w:rsidRPr="00D554EA">
        <w:rPr>
          <w:rFonts w:asciiTheme="minorBidi" w:hAnsiTheme="minorBidi" w:cstheme="minorBidi"/>
        </w:rPr>
        <w:t>si</w:t>
      </w:r>
      <w:proofErr w:type="spellEnd"/>
      <w:r w:rsidRPr="00D554EA">
        <w:rPr>
          <w:rFonts w:asciiTheme="minorBidi" w:hAnsiTheme="minorBidi" w:cstheme="minorBidi"/>
        </w:rPr>
        <w:t xml:space="preserve">), with a negative control siRNA (NC) and a pool of 4 siRNAs targeting </w:t>
      </w:r>
      <w:r w:rsidRPr="00523532">
        <w:rPr>
          <w:rFonts w:asciiTheme="minorBidi" w:hAnsiTheme="minorBidi" w:cstheme="minorBidi"/>
          <w:i/>
          <w:iCs/>
        </w:rPr>
        <w:t>SETX</w:t>
      </w:r>
      <w:r w:rsidRPr="00D554EA">
        <w:rPr>
          <w:rFonts w:asciiTheme="minorBidi" w:hAnsiTheme="minorBidi" w:cstheme="minorBidi"/>
        </w:rPr>
        <w:t xml:space="preserve"> (</w:t>
      </w:r>
      <w:proofErr w:type="spellStart"/>
      <w:r w:rsidRPr="00D554EA">
        <w:rPr>
          <w:rFonts w:asciiTheme="minorBidi" w:hAnsiTheme="minorBidi" w:cstheme="minorBidi"/>
        </w:rPr>
        <w:t>si</w:t>
      </w:r>
      <w:r w:rsidRPr="00207BD6">
        <w:rPr>
          <w:rFonts w:asciiTheme="minorBidi" w:hAnsiTheme="minorBidi" w:cstheme="minorBidi"/>
          <w:i/>
          <w:iCs/>
        </w:rPr>
        <w:t>SETX</w:t>
      </w:r>
      <w:r w:rsidRPr="00D554EA">
        <w:rPr>
          <w:rFonts w:asciiTheme="minorBidi" w:hAnsiTheme="minorBidi" w:cstheme="minorBidi"/>
        </w:rPr>
        <w:t>s</w:t>
      </w:r>
      <w:proofErr w:type="spellEnd"/>
      <w:r w:rsidRPr="00D554EA">
        <w:rPr>
          <w:rFonts w:asciiTheme="minorBidi" w:hAnsiTheme="minorBidi" w:cstheme="minorBidi"/>
        </w:rPr>
        <w:t xml:space="preserve">) at 2 </w:t>
      </w:r>
      <w:proofErr w:type="spellStart"/>
      <w:r w:rsidRPr="00D554EA">
        <w:rPr>
          <w:rFonts w:asciiTheme="minorBidi" w:hAnsiTheme="minorBidi" w:cstheme="minorBidi"/>
        </w:rPr>
        <w:t>nM</w:t>
      </w:r>
      <w:proofErr w:type="spellEnd"/>
      <w:r w:rsidRPr="00D554EA">
        <w:rPr>
          <w:rFonts w:asciiTheme="minorBidi" w:hAnsiTheme="minorBidi" w:cstheme="minorBidi"/>
        </w:rPr>
        <w:t xml:space="preserve"> each for 72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 xml:space="preserve">h. </w:t>
      </w:r>
      <w:r>
        <w:rPr>
          <w:rFonts w:asciiTheme="minorBidi" w:hAnsiTheme="minorBidi" w:cstheme="minorBidi"/>
        </w:rPr>
        <w:t xml:space="preserve">Cell extracts were analyzed by WB. </w:t>
      </w:r>
      <w:r w:rsidRPr="00D554EA">
        <w:rPr>
          <w:rFonts w:asciiTheme="minorBidi" w:hAnsiTheme="minorBidi" w:cstheme="minorBidi"/>
        </w:rPr>
        <w:t>The upper graph shows LC3</w:t>
      </w:r>
      <w:r>
        <w:rPr>
          <w:rFonts w:asciiTheme="minorBidi" w:hAnsiTheme="minorBidi" w:cstheme="minorBidi"/>
        </w:rPr>
        <w:t>-</w:t>
      </w:r>
      <w:r w:rsidRPr="00D554EA">
        <w:rPr>
          <w:rFonts w:asciiTheme="minorBidi" w:hAnsiTheme="minorBidi" w:cstheme="minorBidi"/>
        </w:rPr>
        <w:t>II</w:t>
      </w:r>
      <w:r>
        <w:rPr>
          <w:rFonts w:asciiTheme="minorBidi" w:hAnsiTheme="minorBidi" w:cstheme="minorBidi"/>
        </w:rPr>
        <w:t>:</w:t>
      </w:r>
      <w:r w:rsidRPr="00D554EA">
        <w:rPr>
          <w:rFonts w:asciiTheme="minorBidi" w:hAnsiTheme="minorBidi" w:cstheme="minorBidi"/>
        </w:rPr>
        <w:t>LC3</w:t>
      </w:r>
      <w:r>
        <w:rPr>
          <w:rFonts w:asciiTheme="minorBidi" w:hAnsiTheme="minorBidi" w:cstheme="minorBidi"/>
        </w:rPr>
        <w:t>-</w:t>
      </w:r>
      <w:r w:rsidRPr="00D554EA">
        <w:rPr>
          <w:rFonts w:asciiTheme="minorBidi" w:hAnsiTheme="minorBidi" w:cstheme="minorBidi"/>
        </w:rPr>
        <w:t>I quantification. The lower graph shows LC3</w:t>
      </w:r>
      <w:r>
        <w:rPr>
          <w:rFonts w:asciiTheme="minorBidi" w:hAnsiTheme="minorBidi" w:cstheme="minorBidi"/>
        </w:rPr>
        <w:t>-</w:t>
      </w:r>
      <w:r w:rsidRPr="00D554EA">
        <w:rPr>
          <w:rFonts w:asciiTheme="minorBidi" w:hAnsiTheme="minorBidi" w:cstheme="minorBidi"/>
        </w:rPr>
        <w:t xml:space="preserve">I ratio to GAPDH. </w:t>
      </w:r>
      <w:r>
        <w:rPr>
          <w:rFonts w:asciiTheme="minorBidi" w:hAnsiTheme="minorBidi" w:cstheme="minorBidi"/>
        </w:rPr>
        <w:t xml:space="preserve">For Ctrl and </w:t>
      </w:r>
      <w:proofErr w:type="spellStart"/>
      <w:r>
        <w:rPr>
          <w:rFonts w:asciiTheme="minorBidi" w:hAnsiTheme="minorBidi" w:cstheme="minorBidi"/>
        </w:rPr>
        <w:t>Starv</w:t>
      </w:r>
      <w:proofErr w:type="spellEnd"/>
      <w:r>
        <w:rPr>
          <w:rFonts w:asciiTheme="minorBidi" w:hAnsiTheme="minorBidi" w:cstheme="minorBidi"/>
        </w:rPr>
        <w:t xml:space="preserve">, </w:t>
      </w:r>
      <w:r w:rsidRPr="00D554EA">
        <w:rPr>
          <w:rFonts w:asciiTheme="minorBidi" w:hAnsiTheme="minorBidi" w:cstheme="minorBidi"/>
        </w:rPr>
        <w:t>n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=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 xml:space="preserve">4, SE shown. </w:t>
      </w:r>
      <w:r w:rsidR="0041639B">
        <w:rPr>
          <w:rFonts w:asciiTheme="minorBidi" w:hAnsiTheme="minorBidi" w:cstheme="minorBidi"/>
        </w:rPr>
        <w:t>S</w:t>
      </w:r>
      <w:r w:rsidR="0041639B" w:rsidRPr="00BA5097">
        <w:rPr>
          <w:rFonts w:asciiTheme="minorBidi" w:hAnsiTheme="minorBidi" w:cstheme="minorBidi"/>
        </w:rPr>
        <w:t xml:space="preserve">ignificance was analyzed by </w:t>
      </w:r>
      <w:r w:rsidR="0041639B">
        <w:rPr>
          <w:rFonts w:asciiTheme="minorBidi" w:hAnsiTheme="minorBidi" w:cstheme="minorBidi"/>
        </w:rPr>
        <w:t>a s</w:t>
      </w:r>
      <w:r w:rsidR="0041639B" w:rsidRPr="00BA5097">
        <w:rPr>
          <w:rFonts w:asciiTheme="minorBidi" w:hAnsiTheme="minorBidi" w:cstheme="minorBidi"/>
        </w:rPr>
        <w:t>tudent</w:t>
      </w:r>
      <w:r w:rsidR="0041639B">
        <w:rPr>
          <w:rFonts w:asciiTheme="minorBidi" w:hAnsiTheme="minorBidi" w:cstheme="minorBidi"/>
        </w:rPr>
        <w:t>’s</w:t>
      </w:r>
      <w:r w:rsidR="0041639B" w:rsidRPr="00BA5097">
        <w:rPr>
          <w:rFonts w:asciiTheme="minorBidi" w:hAnsiTheme="minorBidi" w:cstheme="minorBidi"/>
        </w:rPr>
        <w:t xml:space="preserve"> </w:t>
      </w:r>
      <w:r w:rsidR="0041639B">
        <w:rPr>
          <w:rFonts w:asciiTheme="minorBidi" w:hAnsiTheme="minorBidi" w:cstheme="minorBidi"/>
        </w:rPr>
        <w:t>t-</w:t>
      </w:r>
      <w:r w:rsidR="0041639B" w:rsidRPr="00BA5097">
        <w:rPr>
          <w:rFonts w:asciiTheme="minorBidi" w:hAnsiTheme="minorBidi" w:cstheme="minorBidi"/>
        </w:rPr>
        <w:t>test</w:t>
      </w:r>
      <w:r w:rsidR="0041639B">
        <w:rPr>
          <w:rFonts w:asciiTheme="minorBidi" w:hAnsiTheme="minorBidi" w:cstheme="minorBidi"/>
        </w:rPr>
        <w:t>,</w:t>
      </w:r>
      <w:r w:rsidR="0041639B" w:rsidRPr="008F2CEC">
        <w:rPr>
          <w:rFonts w:asciiTheme="minorBidi" w:hAnsiTheme="minorBidi" w:cstheme="minorBidi"/>
        </w:rPr>
        <w:t xml:space="preserve"> *p</w:t>
      </w:r>
      <w:r w:rsidR="0041639B">
        <w:rPr>
          <w:rFonts w:asciiTheme="minorBidi" w:hAnsiTheme="minorBidi" w:cstheme="minorBidi"/>
        </w:rPr>
        <w:t xml:space="preserve"> </w:t>
      </w:r>
      <w:r w:rsidR="0041639B" w:rsidRPr="008F2CEC">
        <w:rPr>
          <w:rFonts w:asciiTheme="minorBidi" w:hAnsiTheme="minorBidi" w:cstheme="minorBidi"/>
        </w:rPr>
        <w:t>&lt;</w:t>
      </w:r>
      <w:r w:rsidR="0041639B">
        <w:rPr>
          <w:rFonts w:asciiTheme="minorBidi" w:hAnsiTheme="minorBidi" w:cstheme="minorBidi"/>
        </w:rPr>
        <w:t xml:space="preserve"> </w:t>
      </w:r>
      <w:r w:rsidR="0041639B" w:rsidRPr="008F2CEC">
        <w:rPr>
          <w:rFonts w:asciiTheme="minorBidi" w:hAnsiTheme="minorBidi" w:cstheme="minorBidi"/>
        </w:rPr>
        <w:t>0.0</w:t>
      </w:r>
      <w:r w:rsidR="00591039">
        <w:rPr>
          <w:rFonts w:asciiTheme="minorBidi" w:hAnsiTheme="minorBidi" w:cstheme="minorBidi"/>
        </w:rPr>
        <w:t>5</w:t>
      </w:r>
      <w:r w:rsidR="0041639B">
        <w:rPr>
          <w:rFonts w:asciiTheme="minorBidi" w:hAnsiTheme="minorBidi" w:cstheme="minorBidi"/>
        </w:rPr>
        <w:t xml:space="preserve">, </w:t>
      </w:r>
      <w:r w:rsidR="0041639B" w:rsidRPr="008F2CEC">
        <w:rPr>
          <w:rFonts w:asciiTheme="minorBidi" w:hAnsiTheme="minorBidi" w:cstheme="minorBidi"/>
        </w:rPr>
        <w:t>**p</w:t>
      </w:r>
      <w:r w:rsidR="0041639B">
        <w:rPr>
          <w:rFonts w:asciiTheme="minorBidi" w:hAnsiTheme="minorBidi" w:cstheme="minorBidi"/>
        </w:rPr>
        <w:t xml:space="preserve"> </w:t>
      </w:r>
      <w:r w:rsidR="0041639B" w:rsidRPr="008F2CEC">
        <w:rPr>
          <w:rFonts w:asciiTheme="minorBidi" w:hAnsiTheme="minorBidi" w:cstheme="minorBidi"/>
        </w:rPr>
        <w:t>&lt;</w:t>
      </w:r>
      <w:r w:rsidR="0041639B">
        <w:rPr>
          <w:rFonts w:asciiTheme="minorBidi" w:hAnsiTheme="minorBidi" w:cstheme="minorBidi"/>
        </w:rPr>
        <w:t xml:space="preserve"> </w:t>
      </w:r>
      <w:r w:rsidR="0041639B" w:rsidRPr="008F2CEC">
        <w:rPr>
          <w:rFonts w:asciiTheme="minorBidi" w:hAnsiTheme="minorBidi" w:cstheme="minorBidi"/>
        </w:rPr>
        <w:t>0.0</w:t>
      </w:r>
      <w:r w:rsidR="0041639B">
        <w:rPr>
          <w:rFonts w:asciiTheme="minorBidi" w:hAnsiTheme="minorBidi" w:cstheme="minorBidi"/>
        </w:rPr>
        <w:t>1.</w:t>
      </w:r>
      <w:r w:rsidR="0041639B" w:rsidRPr="00D554EA"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C</w:t>
      </w:r>
      <w:r w:rsidRPr="00D554EA">
        <w:rPr>
          <w:rFonts w:asciiTheme="minorBidi" w:hAnsiTheme="minorBidi" w:cstheme="minorBidi"/>
        </w:rPr>
        <w:t xml:space="preserve">) Steady-state levels of SETX and LC3 in WT (green) and </w:t>
      </w:r>
      <w:r w:rsidRPr="00001C0D">
        <w:rPr>
          <w:rFonts w:asciiTheme="minorBidi" w:hAnsiTheme="minorBidi" w:cstheme="minorBidi"/>
          <w:i/>
          <w:iCs/>
        </w:rPr>
        <w:t>SETX</w:t>
      </w:r>
      <w:r w:rsidRPr="00D554EA">
        <w:rPr>
          <w:rFonts w:asciiTheme="minorBidi" w:hAnsiTheme="minorBidi" w:cstheme="minorBidi"/>
        </w:rPr>
        <w:t xml:space="preserve"> KO (red) U87 CRISPR cells. </w:t>
      </w:r>
      <w:r>
        <w:rPr>
          <w:rFonts w:asciiTheme="minorBidi" w:hAnsiTheme="minorBidi" w:cstheme="minorBidi"/>
        </w:rPr>
        <w:t>ACTB</w:t>
      </w:r>
      <w:r w:rsidRPr="00D554EA">
        <w:rPr>
          <w:rFonts w:asciiTheme="minorBidi" w:hAnsiTheme="minorBidi" w:cstheme="minorBidi"/>
        </w:rPr>
        <w:t xml:space="preserve"> is used as a loading control.</w:t>
      </w:r>
      <w:r>
        <w:rPr>
          <w:rFonts w:asciiTheme="minorBidi" w:hAnsiTheme="minorBidi" w:cstheme="minorBidi"/>
        </w:rPr>
        <w:t xml:space="preserve"> * indicates non-specific band.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D</w:t>
      </w:r>
      <w:r w:rsidRPr="00D554EA">
        <w:rPr>
          <w:rFonts w:asciiTheme="minorBidi" w:hAnsiTheme="minorBidi" w:cstheme="minorBidi"/>
        </w:rPr>
        <w:t xml:space="preserve">) WB as in B. Extracts were prepared after rapamycin treatment at 100 </w:t>
      </w:r>
      <w:proofErr w:type="spellStart"/>
      <w:r w:rsidRPr="00D554EA">
        <w:rPr>
          <w:rFonts w:asciiTheme="minorBidi" w:hAnsiTheme="minorBidi" w:cstheme="minorBidi"/>
        </w:rPr>
        <w:t>nM</w:t>
      </w:r>
      <w:proofErr w:type="spellEnd"/>
      <w:r w:rsidRPr="00D554EA">
        <w:rPr>
          <w:rFonts w:asciiTheme="minorBidi" w:hAnsiTheme="minorBidi" w:cstheme="minorBidi"/>
        </w:rPr>
        <w:t xml:space="preserve"> for 6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h. (</w:t>
      </w:r>
      <w:r w:rsidRPr="00207BD6">
        <w:rPr>
          <w:rFonts w:asciiTheme="minorBidi" w:hAnsiTheme="minorBidi" w:cstheme="minorBidi"/>
          <w:b/>
          <w:bCs/>
        </w:rPr>
        <w:t>E</w:t>
      </w:r>
      <w:r w:rsidRPr="00D554EA">
        <w:rPr>
          <w:rFonts w:asciiTheme="minorBidi" w:hAnsiTheme="minorBidi" w:cstheme="minorBidi"/>
        </w:rPr>
        <w:t>) Quantification of total LC3 levels after SETX KD (I + II)</w:t>
      </w:r>
      <w:r>
        <w:rPr>
          <w:rFonts w:asciiTheme="minorBidi" w:hAnsiTheme="minorBidi" w:cstheme="minorBidi"/>
        </w:rPr>
        <w:t xml:space="preserve"> as shown in WB </w:t>
      </w:r>
      <w:r w:rsidRPr="00001C0D">
        <w:rPr>
          <w:rFonts w:asciiTheme="minorBidi" w:hAnsiTheme="minorBidi" w:cstheme="minorBidi"/>
          <w:b/>
          <w:bCs/>
        </w:rPr>
        <w:t>Fig. S5B</w:t>
      </w:r>
      <w:r w:rsidRPr="00D554EA">
        <w:rPr>
          <w:rFonts w:asciiTheme="minorBidi" w:hAnsiTheme="minorBidi" w:cstheme="minorBidi"/>
        </w:rPr>
        <w:t>. n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=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3, SE shown.</w:t>
      </w:r>
      <w:r w:rsidR="00591039">
        <w:rPr>
          <w:rFonts w:asciiTheme="minorBidi" w:hAnsiTheme="minorBidi" w:cstheme="minorBidi"/>
        </w:rPr>
        <w:t xml:space="preserve"> </w:t>
      </w:r>
      <w:r w:rsidR="00591039">
        <w:rPr>
          <w:rFonts w:asciiTheme="minorBidi" w:hAnsiTheme="minorBidi" w:cstheme="minorBidi"/>
        </w:rPr>
        <w:t>S</w:t>
      </w:r>
      <w:r w:rsidR="00591039" w:rsidRPr="00BA5097">
        <w:rPr>
          <w:rFonts w:asciiTheme="minorBidi" w:hAnsiTheme="minorBidi" w:cstheme="minorBidi"/>
        </w:rPr>
        <w:t xml:space="preserve">ignificance was analyzed by </w:t>
      </w:r>
      <w:r w:rsidR="00591039">
        <w:rPr>
          <w:rFonts w:asciiTheme="minorBidi" w:hAnsiTheme="minorBidi" w:cstheme="minorBidi"/>
        </w:rPr>
        <w:t>a s</w:t>
      </w:r>
      <w:r w:rsidR="00591039" w:rsidRPr="00BA5097">
        <w:rPr>
          <w:rFonts w:asciiTheme="minorBidi" w:hAnsiTheme="minorBidi" w:cstheme="minorBidi"/>
        </w:rPr>
        <w:t>tudent</w:t>
      </w:r>
      <w:r w:rsidR="00591039">
        <w:rPr>
          <w:rFonts w:asciiTheme="minorBidi" w:hAnsiTheme="minorBidi" w:cstheme="minorBidi"/>
        </w:rPr>
        <w:t>’s</w:t>
      </w:r>
      <w:r w:rsidR="00591039" w:rsidRPr="00BA5097">
        <w:rPr>
          <w:rFonts w:asciiTheme="minorBidi" w:hAnsiTheme="minorBidi" w:cstheme="minorBidi"/>
        </w:rPr>
        <w:t xml:space="preserve"> </w:t>
      </w:r>
      <w:r w:rsidR="00591039">
        <w:rPr>
          <w:rFonts w:asciiTheme="minorBidi" w:hAnsiTheme="minorBidi" w:cstheme="minorBidi"/>
        </w:rPr>
        <w:t>t-</w:t>
      </w:r>
      <w:r w:rsidR="00591039" w:rsidRPr="00BA5097">
        <w:rPr>
          <w:rFonts w:asciiTheme="minorBidi" w:hAnsiTheme="minorBidi" w:cstheme="minorBidi"/>
        </w:rPr>
        <w:t>test</w:t>
      </w:r>
      <w:r w:rsidR="00591039">
        <w:rPr>
          <w:rFonts w:asciiTheme="minorBidi" w:hAnsiTheme="minorBidi" w:cstheme="minorBidi"/>
        </w:rPr>
        <w:t>,</w:t>
      </w:r>
      <w:r w:rsidR="00591039" w:rsidRPr="008F2CEC">
        <w:rPr>
          <w:rFonts w:asciiTheme="minorBidi" w:hAnsiTheme="minorBidi" w:cstheme="minorBidi"/>
        </w:rPr>
        <w:t xml:space="preserve"> *p</w:t>
      </w:r>
      <w:r w:rsidR="00591039">
        <w:rPr>
          <w:rFonts w:asciiTheme="minorBidi" w:hAnsiTheme="minorBidi" w:cstheme="minorBidi"/>
        </w:rPr>
        <w:t xml:space="preserve"> </w:t>
      </w:r>
      <w:r w:rsidR="00591039" w:rsidRPr="008F2CEC">
        <w:rPr>
          <w:rFonts w:asciiTheme="minorBidi" w:hAnsiTheme="minorBidi" w:cstheme="minorBidi"/>
        </w:rPr>
        <w:t>&lt;</w:t>
      </w:r>
      <w:r w:rsidR="00591039">
        <w:rPr>
          <w:rFonts w:asciiTheme="minorBidi" w:hAnsiTheme="minorBidi" w:cstheme="minorBidi"/>
        </w:rPr>
        <w:t xml:space="preserve"> </w:t>
      </w:r>
      <w:r w:rsidR="00591039" w:rsidRPr="008F2CEC">
        <w:rPr>
          <w:rFonts w:asciiTheme="minorBidi" w:hAnsiTheme="minorBidi" w:cstheme="minorBidi"/>
        </w:rPr>
        <w:t>0.0</w:t>
      </w:r>
      <w:r w:rsidR="00591039">
        <w:rPr>
          <w:rFonts w:asciiTheme="minorBidi" w:hAnsiTheme="minorBidi" w:cstheme="minorBidi"/>
        </w:rPr>
        <w:t>5</w:t>
      </w:r>
      <w:r w:rsidR="00591039">
        <w:rPr>
          <w:rFonts w:asciiTheme="minorBidi" w:hAnsiTheme="minorBidi" w:cstheme="minorBidi"/>
        </w:rPr>
        <w:t>.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F</w:t>
      </w:r>
      <w:r w:rsidRPr="00D554EA">
        <w:rPr>
          <w:rFonts w:asciiTheme="minorBidi" w:hAnsiTheme="minorBidi" w:cstheme="minorBidi"/>
        </w:rPr>
        <w:t xml:space="preserve">) Proteins extract and </w:t>
      </w:r>
      <w:bookmarkEnd w:id="0"/>
      <w:r w:rsidRPr="00D554EA">
        <w:rPr>
          <w:rFonts w:asciiTheme="minorBidi" w:hAnsiTheme="minorBidi" w:cstheme="minorBidi"/>
        </w:rPr>
        <w:t>analysis of SETX, C</w:t>
      </w:r>
      <w:r>
        <w:rPr>
          <w:rFonts w:asciiTheme="minorBidi" w:hAnsiTheme="minorBidi" w:cstheme="minorBidi"/>
        </w:rPr>
        <w:t>YCS</w:t>
      </w:r>
      <w:r w:rsidR="002D18D9">
        <w:rPr>
          <w:rFonts w:asciiTheme="minorBidi" w:hAnsiTheme="minorBidi" w:cstheme="minorBidi"/>
        </w:rPr>
        <w:t xml:space="preserve"> (c</w:t>
      </w:r>
      <w:r w:rsidR="002D18D9" w:rsidRPr="00D554EA">
        <w:rPr>
          <w:rFonts w:asciiTheme="minorBidi" w:hAnsiTheme="minorBidi" w:cstheme="minorBidi"/>
        </w:rPr>
        <w:t>ytoch</w:t>
      </w:r>
      <w:r w:rsidR="00330877">
        <w:rPr>
          <w:rFonts w:asciiTheme="minorBidi" w:hAnsiTheme="minorBidi" w:cstheme="minorBidi"/>
        </w:rPr>
        <w:t>r</w:t>
      </w:r>
      <w:r w:rsidR="002D18D9" w:rsidRPr="00D554EA">
        <w:rPr>
          <w:rFonts w:asciiTheme="minorBidi" w:hAnsiTheme="minorBidi" w:cstheme="minorBidi"/>
        </w:rPr>
        <w:t xml:space="preserve">ome </w:t>
      </w:r>
      <w:r w:rsidR="002D18D9">
        <w:rPr>
          <w:rFonts w:asciiTheme="minorBidi" w:hAnsiTheme="minorBidi" w:cstheme="minorBidi"/>
        </w:rPr>
        <w:t>c</w:t>
      </w:r>
      <w:r w:rsidRPr="00D554EA">
        <w:rPr>
          <w:rFonts w:asciiTheme="minorBidi" w:hAnsiTheme="minorBidi" w:cstheme="minorBidi"/>
        </w:rPr>
        <w:t xml:space="preserve">) and </w:t>
      </w:r>
      <w:r w:rsidR="00710B10" w:rsidRPr="00760668">
        <w:rPr>
          <w:rFonts w:asciiTheme="minorBidi" w:hAnsiTheme="minorBidi" w:cstheme="minorBidi"/>
        </w:rPr>
        <w:sym w:font="Symbol" w:char="F067"/>
      </w:r>
      <w:r w:rsidR="00710B10" w:rsidRPr="00760668">
        <w:rPr>
          <w:rFonts w:asciiTheme="minorBidi" w:hAnsiTheme="minorBidi" w:cstheme="minorBidi"/>
        </w:rPr>
        <w:t>H2AX</w:t>
      </w:r>
      <w:r w:rsidR="00710B10" w:rsidRPr="00D554EA" w:rsidDel="00710B10"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 xml:space="preserve">levels after </w:t>
      </w:r>
      <w:proofErr w:type="spellStart"/>
      <w:r w:rsidRPr="00D554EA">
        <w:rPr>
          <w:rFonts w:asciiTheme="minorBidi" w:hAnsiTheme="minorBidi" w:cstheme="minorBidi"/>
        </w:rPr>
        <w:t>siC</w:t>
      </w:r>
      <w:proofErr w:type="spellEnd"/>
      <w:r w:rsidRPr="00D554EA">
        <w:rPr>
          <w:rFonts w:asciiTheme="minorBidi" w:hAnsiTheme="minorBidi" w:cstheme="minorBidi"/>
        </w:rPr>
        <w:t xml:space="preserve"> and </w:t>
      </w:r>
      <w:proofErr w:type="spellStart"/>
      <w:r w:rsidRPr="00D554EA">
        <w:rPr>
          <w:rFonts w:asciiTheme="minorBidi" w:hAnsiTheme="minorBidi" w:cstheme="minorBidi"/>
        </w:rPr>
        <w:t>si</w:t>
      </w:r>
      <w:r w:rsidRPr="00C907E0">
        <w:rPr>
          <w:rFonts w:asciiTheme="minorBidi" w:hAnsiTheme="minorBidi" w:cstheme="minorBidi"/>
          <w:i/>
          <w:iCs/>
        </w:rPr>
        <w:t>SETX</w:t>
      </w:r>
      <w:proofErr w:type="spellEnd"/>
      <w:r w:rsidRPr="00D554EA">
        <w:rPr>
          <w:rFonts w:asciiTheme="minorBidi" w:hAnsiTheme="minorBidi" w:cstheme="minorBidi"/>
        </w:rPr>
        <w:t xml:space="preserve"> transfection for 72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h in U87 cells after no treatment (-), CPT treatment and starvation for 6</w:t>
      </w:r>
      <w:r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h in medium without FBS (</w:t>
      </w:r>
      <w:proofErr w:type="spellStart"/>
      <w:r w:rsidRPr="00D554EA">
        <w:rPr>
          <w:rFonts w:asciiTheme="minorBidi" w:hAnsiTheme="minorBidi" w:cstheme="minorBidi"/>
        </w:rPr>
        <w:t>Starv</w:t>
      </w:r>
      <w:proofErr w:type="spellEnd"/>
      <w:r w:rsidRPr="00D554EA">
        <w:rPr>
          <w:rFonts w:asciiTheme="minorBidi" w:hAnsiTheme="minorBidi" w:cstheme="minorBidi"/>
        </w:rPr>
        <w:t>). X</w:t>
      </w:r>
      <w:r>
        <w:rPr>
          <w:rFonts w:asciiTheme="minorBidi" w:hAnsiTheme="minorBidi" w:cstheme="minorBidi"/>
        </w:rPr>
        <w:t>RN</w:t>
      </w:r>
      <w:r w:rsidRPr="00D554EA">
        <w:rPr>
          <w:rFonts w:asciiTheme="minorBidi" w:hAnsiTheme="minorBidi" w:cstheme="minorBidi"/>
        </w:rPr>
        <w:t>2 is used as loading control.</w:t>
      </w:r>
      <w:r w:rsidRPr="00A56D51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* indicates non-specific band.</w:t>
      </w:r>
    </w:p>
    <w:p w14:paraId="0229CD36" w14:textId="77777777" w:rsidR="00594B1E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18B23B2E" w14:textId="296E6149" w:rsidR="00594B1E" w:rsidRPr="00714E4E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4810BC">
        <w:rPr>
          <w:rFonts w:asciiTheme="minorBidi" w:hAnsiTheme="minorBidi" w:cstheme="minorBidi"/>
          <w:b/>
          <w:bCs/>
        </w:rPr>
        <w:lastRenderedPageBreak/>
        <w:t>Figure S6.</w:t>
      </w:r>
      <w:r>
        <w:rPr>
          <w:rFonts w:asciiTheme="minorBidi" w:hAnsiTheme="minorBidi" w:cstheme="minorBidi"/>
          <w:b/>
          <w:bCs/>
        </w:rPr>
        <w:t xml:space="preserve"> </w:t>
      </w:r>
      <w:r w:rsidRPr="00714E4E">
        <w:rPr>
          <w:rFonts w:asciiTheme="minorBidi" w:hAnsiTheme="minorBidi" w:cstheme="minorBidi"/>
        </w:rPr>
        <w:t xml:space="preserve">SETX </w:t>
      </w:r>
      <w:r>
        <w:rPr>
          <w:rFonts w:asciiTheme="minorBidi" w:hAnsiTheme="minorBidi" w:cstheme="minorBidi"/>
        </w:rPr>
        <w:t>KD</w:t>
      </w:r>
      <w:r w:rsidRPr="00714E4E">
        <w:rPr>
          <w:rFonts w:asciiTheme="minorBidi" w:hAnsiTheme="minorBidi" w:cstheme="minorBidi"/>
        </w:rPr>
        <w:t xml:space="preserve"> compromises autophagosome </w:t>
      </w:r>
      <w:r>
        <w:rPr>
          <w:rFonts w:asciiTheme="minorBidi" w:hAnsiTheme="minorBidi" w:cstheme="minorBidi"/>
        </w:rPr>
        <w:t xml:space="preserve">and </w:t>
      </w:r>
      <w:r w:rsidRPr="00760668">
        <w:rPr>
          <w:rFonts w:asciiTheme="minorBidi" w:hAnsiTheme="minorBidi" w:cstheme="minorBidi"/>
        </w:rPr>
        <w:t>autolysosome</w:t>
      </w:r>
      <w:r>
        <w:rPr>
          <w:rFonts w:asciiTheme="minorBidi" w:hAnsiTheme="minorBidi" w:cstheme="minorBidi"/>
        </w:rPr>
        <w:t xml:space="preserve"> </w:t>
      </w:r>
      <w:r w:rsidRPr="00714E4E">
        <w:rPr>
          <w:rFonts w:asciiTheme="minorBidi" w:hAnsiTheme="minorBidi" w:cstheme="minorBidi"/>
        </w:rPr>
        <w:t xml:space="preserve">formation. </w:t>
      </w:r>
      <w:r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A</w:t>
      </w:r>
      <w:r>
        <w:rPr>
          <w:rFonts w:asciiTheme="minorBidi" w:hAnsiTheme="minorBidi" w:cstheme="minorBidi"/>
        </w:rPr>
        <w:t>) mR</w:t>
      </w:r>
      <w:r w:rsidRPr="0023796B">
        <w:rPr>
          <w:rFonts w:asciiTheme="minorBidi" w:hAnsiTheme="minorBidi" w:cstheme="minorBidi"/>
        </w:rPr>
        <w:t>FP-</w:t>
      </w:r>
      <w:r>
        <w:rPr>
          <w:rFonts w:asciiTheme="minorBidi" w:hAnsiTheme="minorBidi" w:cstheme="minorBidi"/>
        </w:rPr>
        <w:t>GFP-</w:t>
      </w:r>
      <w:r w:rsidRPr="0023796B">
        <w:rPr>
          <w:rFonts w:asciiTheme="minorBidi" w:hAnsiTheme="minorBidi" w:cstheme="minorBidi"/>
        </w:rPr>
        <w:t xml:space="preserve">LC3 </w:t>
      </w:r>
      <w:r>
        <w:rPr>
          <w:rFonts w:asciiTheme="minorBidi" w:hAnsiTheme="minorBidi" w:cstheme="minorBidi"/>
        </w:rPr>
        <w:t>puncta formation assay in rapamycin</w:t>
      </w:r>
      <w:r w:rsidR="005A5B4B"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 xml:space="preserve">treated (10 </w:t>
      </w:r>
      <w:proofErr w:type="spellStart"/>
      <w:r>
        <w:rPr>
          <w:rFonts w:asciiTheme="minorBidi" w:hAnsiTheme="minorBidi" w:cstheme="minorBidi"/>
        </w:rPr>
        <w:t>nM</w:t>
      </w:r>
      <w:proofErr w:type="spellEnd"/>
      <w:r>
        <w:rPr>
          <w:rFonts w:asciiTheme="minorBidi" w:hAnsiTheme="minorBidi" w:cstheme="minorBidi"/>
        </w:rPr>
        <w:t xml:space="preserve"> for 6 h) </w:t>
      </w:r>
      <w:r w:rsidRPr="00A00E13">
        <w:rPr>
          <w:rFonts w:asciiTheme="minorBidi" w:hAnsiTheme="minorBidi" w:cstheme="minorBidi"/>
        </w:rPr>
        <w:t xml:space="preserve">U87 cells transfected with </w:t>
      </w:r>
      <w:r>
        <w:rPr>
          <w:rFonts w:asciiTheme="minorBidi" w:hAnsiTheme="minorBidi" w:cstheme="minorBidi"/>
        </w:rPr>
        <w:t xml:space="preserve">NC or </w:t>
      </w:r>
      <w:proofErr w:type="spellStart"/>
      <w:r w:rsidRPr="00A00E13">
        <w:rPr>
          <w:rFonts w:asciiTheme="minorBidi" w:hAnsiTheme="minorBidi" w:cstheme="minorBidi"/>
        </w:rPr>
        <w:t>si</w:t>
      </w:r>
      <w:r w:rsidRPr="00207BD6">
        <w:rPr>
          <w:rFonts w:asciiTheme="minorBidi" w:hAnsiTheme="minorBidi" w:cstheme="minorBidi"/>
          <w:i/>
          <w:iCs/>
        </w:rPr>
        <w:t>SETX</w:t>
      </w:r>
      <w:proofErr w:type="spellEnd"/>
      <w:r>
        <w:rPr>
          <w:rFonts w:asciiTheme="minorBidi" w:hAnsiTheme="minorBidi" w:cstheme="minorBidi"/>
        </w:rPr>
        <w:t xml:space="preserve"> </w:t>
      </w:r>
      <w:r w:rsidRPr="00A00E13">
        <w:rPr>
          <w:rFonts w:asciiTheme="minorBidi" w:hAnsiTheme="minorBidi" w:cstheme="minorBidi"/>
        </w:rPr>
        <w:t xml:space="preserve">for 48 h </w:t>
      </w:r>
      <w:r>
        <w:rPr>
          <w:rFonts w:asciiTheme="minorBidi" w:hAnsiTheme="minorBidi" w:cstheme="minorBidi"/>
        </w:rPr>
        <w:t xml:space="preserve">prior </w:t>
      </w:r>
      <w:r w:rsidRPr="004905DA">
        <w:rPr>
          <w:rFonts w:asciiTheme="minorBidi" w:hAnsiTheme="minorBidi" w:cstheme="minorBidi"/>
          <w:i/>
          <w:iCs/>
        </w:rPr>
        <w:t>mRFP-GFP-LC3</w:t>
      </w:r>
      <w:r w:rsidRPr="0023796B">
        <w:rPr>
          <w:rFonts w:asciiTheme="minorBidi" w:hAnsiTheme="minorBidi" w:cstheme="minorBidi"/>
        </w:rPr>
        <w:t xml:space="preserve"> </w:t>
      </w:r>
      <w:r w:rsidRPr="00A00E13">
        <w:rPr>
          <w:rFonts w:asciiTheme="minorBidi" w:hAnsiTheme="minorBidi" w:cstheme="minorBidi"/>
        </w:rPr>
        <w:t>transfection</w:t>
      </w:r>
      <w:r w:rsidR="005A5B4B">
        <w:rPr>
          <w:rFonts w:asciiTheme="minorBidi" w:hAnsiTheme="minorBidi" w:cstheme="minorBidi"/>
        </w:rPr>
        <w:t>s</w:t>
      </w:r>
      <w:r w:rsidRPr="00A00E13">
        <w:rPr>
          <w:rFonts w:asciiTheme="minorBidi" w:hAnsiTheme="minorBidi" w:cstheme="minorBidi"/>
        </w:rPr>
        <w:t xml:space="preserve"> for 24 h. </w:t>
      </w:r>
      <w:r>
        <w:rPr>
          <w:rFonts w:asciiTheme="minorBidi" w:hAnsiTheme="minorBidi" w:cstheme="minorBidi"/>
        </w:rPr>
        <w:t xml:space="preserve">Merge signal (yellow) indicate the formation of autophagosomes. Scale bar: 15 </w:t>
      </w:r>
      <w:r w:rsidRPr="006E5AC7">
        <w:rPr>
          <w:rFonts w:asciiTheme="minorBidi" w:hAnsiTheme="minorBidi" w:cstheme="minorBidi"/>
        </w:rPr>
        <w:t>µ</w:t>
      </w:r>
      <w:r>
        <w:rPr>
          <w:rFonts w:asciiTheme="minorBidi" w:hAnsiTheme="minorBidi" w:cstheme="minorBidi"/>
        </w:rPr>
        <w:t>m. (</w:t>
      </w:r>
      <w:r w:rsidRPr="00207BD6">
        <w:rPr>
          <w:rFonts w:asciiTheme="minorBidi" w:hAnsiTheme="minorBidi" w:cstheme="minorBidi"/>
          <w:b/>
          <w:bCs/>
        </w:rPr>
        <w:t>B</w:t>
      </w:r>
      <w:r w:rsidRPr="00714E4E">
        <w:rPr>
          <w:rFonts w:asciiTheme="minorBidi" w:hAnsiTheme="minorBidi" w:cstheme="minorBidi"/>
        </w:rPr>
        <w:t xml:space="preserve">) Quantification of </w:t>
      </w:r>
      <w:r>
        <w:rPr>
          <w:rFonts w:asciiTheme="minorBidi" w:hAnsiTheme="minorBidi" w:cstheme="minorBidi"/>
        </w:rPr>
        <w:t xml:space="preserve">autophagosomes and </w:t>
      </w:r>
      <w:r w:rsidRPr="00760668">
        <w:rPr>
          <w:rFonts w:asciiTheme="minorBidi" w:hAnsiTheme="minorBidi" w:cstheme="minorBidi"/>
        </w:rPr>
        <w:t>autolysosome</w:t>
      </w:r>
      <w:r>
        <w:rPr>
          <w:rFonts w:asciiTheme="minorBidi" w:hAnsiTheme="minorBidi" w:cstheme="minorBidi"/>
        </w:rPr>
        <w:t>s number</w:t>
      </w:r>
      <w:r w:rsidRPr="00714E4E">
        <w:rPr>
          <w:rFonts w:asciiTheme="minorBidi" w:hAnsiTheme="minorBidi" w:cstheme="minorBidi"/>
        </w:rPr>
        <w:t xml:space="preserve"> per cell in control and SETX KD cells. Total cells analyzed: </w:t>
      </w:r>
      <w:r>
        <w:rPr>
          <w:rFonts w:asciiTheme="minorBidi" w:hAnsiTheme="minorBidi" w:cstheme="minorBidi"/>
        </w:rPr>
        <w:t>n</w:t>
      </w:r>
      <w:r w:rsidRPr="00714E4E">
        <w:rPr>
          <w:rFonts w:asciiTheme="minorBidi" w:hAnsiTheme="minorBidi" w:cstheme="minorBidi"/>
        </w:rPr>
        <w:t xml:space="preserve"> = 44</w:t>
      </w:r>
      <w:r w:rsidRPr="00F37B46">
        <w:rPr>
          <w:rFonts w:asciiTheme="minorBidi" w:hAnsiTheme="minorBidi" w:cstheme="minorBidi"/>
        </w:rPr>
        <w:t xml:space="preserve">; </w:t>
      </w:r>
      <w:r w:rsidRPr="00E53F68">
        <w:rPr>
          <w:rFonts w:asciiTheme="minorBidi" w:hAnsiTheme="minorBidi" w:cstheme="minorBidi"/>
        </w:rPr>
        <w:t>Unpaired t-test ***p &lt; 0.001</w:t>
      </w:r>
      <w:r w:rsidRPr="00F37B46">
        <w:rPr>
          <w:rFonts w:asciiTheme="minorBidi" w:hAnsiTheme="minorBidi" w:cstheme="minorBidi"/>
        </w:rPr>
        <w:t>.</w:t>
      </w:r>
      <w:r w:rsidRPr="00714E4E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C</w:t>
      </w:r>
      <w:r w:rsidRPr="00714E4E">
        <w:rPr>
          <w:rFonts w:asciiTheme="minorBidi" w:hAnsiTheme="minorBidi" w:cstheme="minorBidi"/>
        </w:rPr>
        <w:t xml:space="preserve">) Quantification of mean </w:t>
      </w:r>
      <w:r>
        <w:rPr>
          <w:rFonts w:asciiTheme="minorBidi" w:hAnsiTheme="minorBidi" w:cstheme="minorBidi"/>
        </w:rPr>
        <w:t xml:space="preserve">LC3 puncta size </w:t>
      </w:r>
      <w:r w:rsidRPr="00714E4E">
        <w:rPr>
          <w:rFonts w:asciiTheme="minorBidi" w:hAnsiTheme="minorBidi" w:cstheme="minorBidi"/>
        </w:rPr>
        <w:t xml:space="preserve">per cell in control and SETX KD cells. Total number of 91 LC3 puncta from 20 cells were analyzed. Data is displayed in mean </w:t>
      </w:r>
      <m:oMath>
        <m:r>
          <w:rPr>
            <w:rFonts w:ascii="Cambria Math" w:hAnsi="Cambria Math" w:cstheme="minorBidi"/>
          </w:rPr>
          <m:t>±</m:t>
        </m:r>
      </m:oMath>
      <w:r w:rsidRPr="00714E4E">
        <w:rPr>
          <w:rFonts w:asciiTheme="minorBidi" w:hAnsiTheme="minorBidi" w:cstheme="minorBidi"/>
        </w:rPr>
        <w:t xml:space="preserve"> s.e.m. </w:t>
      </w:r>
      <w:r w:rsidRPr="00E53F68">
        <w:rPr>
          <w:rFonts w:asciiTheme="minorBidi" w:hAnsiTheme="minorBidi" w:cstheme="minorBidi"/>
        </w:rPr>
        <w:t>Unpaired t-test *p &lt; 0.05</w:t>
      </w:r>
      <w:r w:rsidRPr="00F37B46">
        <w:rPr>
          <w:rFonts w:asciiTheme="minorBidi" w:hAnsiTheme="minorBidi" w:cstheme="minorBidi"/>
        </w:rPr>
        <w:t>.</w:t>
      </w:r>
      <w:r>
        <w:rPr>
          <w:rFonts w:asciiTheme="minorBidi" w:hAnsiTheme="minorBidi" w:cstheme="minorBidi"/>
        </w:rPr>
        <w:t xml:space="preserve"> (</w:t>
      </w:r>
      <w:r w:rsidRPr="00207BD6">
        <w:rPr>
          <w:rFonts w:asciiTheme="minorBidi" w:hAnsiTheme="minorBidi" w:cstheme="minorBidi"/>
          <w:b/>
          <w:bCs/>
        </w:rPr>
        <w:t>D</w:t>
      </w:r>
      <w:r>
        <w:rPr>
          <w:rFonts w:asciiTheme="minorBidi" w:hAnsiTheme="minorBidi" w:cstheme="minorBidi"/>
        </w:rPr>
        <w:t xml:space="preserve">) </w:t>
      </w:r>
      <w:r w:rsidRPr="008F2CEC">
        <w:rPr>
          <w:rFonts w:asciiTheme="minorBidi" w:hAnsiTheme="minorBidi" w:cstheme="minorBidi"/>
        </w:rPr>
        <w:t xml:space="preserve">U87 cells were transfected with </w:t>
      </w:r>
      <w:r>
        <w:rPr>
          <w:rFonts w:asciiTheme="minorBidi" w:hAnsiTheme="minorBidi" w:cstheme="minorBidi"/>
        </w:rPr>
        <w:t xml:space="preserve">a siRNA control (NC) </w:t>
      </w:r>
      <w:r w:rsidRPr="008F2CEC">
        <w:rPr>
          <w:rFonts w:asciiTheme="minorBidi" w:hAnsiTheme="minorBidi" w:cstheme="minorBidi"/>
        </w:rPr>
        <w:t xml:space="preserve">or </w:t>
      </w:r>
      <w:r>
        <w:rPr>
          <w:rFonts w:asciiTheme="minorBidi" w:hAnsiTheme="minorBidi" w:cstheme="minorBidi"/>
        </w:rPr>
        <w:t>a pool of siRNAs (</w:t>
      </w:r>
      <w:proofErr w:type="spellStart"/>
      <w:r>
        <w:rPr>
          <w:rFonts w:asciiTheme="minorBidi" w:hAnsiTheme="minorBidi" w:cstheme="minorBidi"/>
        </w:rPr>
        <w:t>si</w:t>
      </w:r>
      <w:r w:rsidRPr="00207BD6">
        <w:rPr>
          <w:rFonts w:asciiTheme="minorBidi" w:hAnsiTheme="minorBidi" w:cstheme="minorBidi"/>
          <w:i/>
          <w:iCs/>
        </w:rPr>
        <w:t>SETX</w:t>
      </w:r>
      <w:r>
        <w:rPr>
          <w:rFonts w:asciiTheme="minorBidi" w:hAnsiTheme="minorBidi" w:cstheme="minorBidi"/>
        </w:rPr>
        <w:t>s</w:t>
      </w:r>
      <w:proofErr w:type="spellEnd"/>
      <w:r>
        <w:rPr>
          <w:rFonts w:asciiTheme="minorBidi" w:hAnsiTheme="minorBidi" w:cstheme="minorBidi"/>
        </w:rPr>
        <w:t>)</w:t>
      </w:r>
      <w:r w:rsidRPr="00A00E13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for 72 h. Cells were untreated (NT) or starved for 6 h and stained for endogenous WIPI2 (green). </w:t>
      </w:r>
      <w:r w:rsidRPr="008F2CEC">
        <w:rPr>
          <w:rFonts w:asciiTheme="minorBidi" w:hAnsiTheme="minorBidi" w:cstheme="minorBidi"/>
        </w:rPr>
        <w:t>Scale bar:</w:t>
      </w:r>
      <w:r>
        <w:rPr>
          <w:rFonts w:asciiTheme="minorBidi" w:hAnsiTheme="minorBidi" w:cstheme="minorBidi"/>
        </w:rPr>
        <w:t xml:space="preserve"> </w:t>
      </w:r>
      <w:r w:rsidRPr="008F2CEC">
        <w:rPr>
          <w:rFonts w:asciiTheme="minorBidi" w:hAnsiTheme="minorBidi" w:cstheme="minorBidi"/>
        </w:rPr>
        <w:t>1</w:t>
      </w:r>
      <w:r>
        <w:rPr>
          <w:rFonts w:asciiTheme="minorBidi" w:hAnsiTheme="minorBidi" w:cstheme="minorBidi"/>
        </w:rPr>
        <w:t xml:space="preserve">5 </w:t>
      </w:r>
      <w:r w:rsidRPr="006E5AC7">
        <w:rPr>
          <w:rFonts w:asciiTheme="minorBidi" w:hAnsiTheme="minorBidi" w:cstheme="minorBidi"/>
        </w:rPr>
        <w:t>µ</w:t>
      </w:r>
      <w:r>
        <w:rPr>
          <w:rFonts w:asciiTheme="minorBidi" w:hAnsiTheme="minorBidi" w:cstheme="minorBidi"/>
        </w:rPr>
        <w:t>m.</w:t>
      </w:r>
      <w:r w:rsidDel="00C95174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E</w:t>
      </w:r>
      <w:r>
        <w:rPr>
          <w:rFonts w:asciiTheme="minorBidi" w:hAnsiTheme="minorBidi" w:cstheme="minorBidi"/>
        </w:rPr>
        <w:t>) Quantification of WIPI2 foci per cell as shown in D. S</w:t>
      </w:r>
      <w:r w:rsidRPr="00BA5097">
        <w:rPr>
          <w:rFonts w:asciiTheme="minorBidi" w:hAnsiTheme="minorBidi" w:cstheme="minorBidi"/>
        </w:rPr>
        <w:t xml:space="preserve">ignificance was analyzed by </w:t>
      </w:r>
      <w:r>
        <w:rPr>
          <w:rFonts w:asciiTheme="minorBidi" w:hAnsiTheme="minorBidi" w:cstheme="minorBidi"/>
        </w:rPr>
        <w:t>a s</w:t>
      </w:r>
      <w:r w:rsidRPr="00BA5097">
        <w:rPr>
          <w:rFonts w:asciiTheme="minorBidi" w:hAnsiTheme="minorBidi" w:cstheme="minorBidi"/>
        </w:rPr>
        <w:t>tudent</w:t>
      </w:r>
      <w:r>
        <w:rPr>
          <w:rFonts w:asciiTheme="minorBidi" w:hAnsiTheme="minorBidi" w:cstheme="minorBidi"/>
        </w:rPr>
        <w:t>’s</w:t>
      </w:r>
      <w:r w:rsidRPr="00BA5097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>t-</w:t>
      </w:r>
      <w:r w:rsidRPr="00BA5097">
        <w:rPr>
          <w:rFonts w:asciiTheme="minorBidi" w:hAnsiTheme="minorBidi" w:cstheme="minorBidi"/>
        </w:rPr>
        <w:t>test</w:t>
      </w:r>
      <w:r>
        <w:rPr>
          <w:rFonts w:asciiTheme="minorBidi" w:hAnsiTheme="minorBidi" w:cstheme="minorBidi"/>
        </w:rPr>
        <w:t xml:space="preserve">, </w:t>
      </w:r>
      <w:r w:rsidRPr="001C5F88">
        <w:rPr>
          <w:rFonts w:asciiTheme="minorBidi" w:hAnsiTheme="minorBidi" w:cstheme="minorBidi"/>
        </w:rPr>
        <w:t>*</w:t>
      </w:r>
      <w:r>
        <w:rPr>
          <w:rFonts w:asciiTheme="minorBidi" w:hAnsiTheme="minorBidi" w:cstheme="minorBidi"/>
        </w:rPr>
        <w:t>*</w:t>
      </w:r>
      <w:r w:rsidRPr="001C5F88">
        <w:rPr>
          <w:rFonts w:asciiTheme="minorBidi" w:hAnsiTheme="minorBidi" w:cstheme="minorBidi"/>
        </w:rPr>
        <w:t>*p &lt; 0.0</w:t>
      </w:r>
      <w:r>
        <w:rPr>
          <w:rFonts w:asciiTheme="minorBidi" w:hAnsiTheme="minorBidi" w:cstheme="minorBidi"/>
        </w:rPr>
        <w:t xml:space="preserve">01. </w:t>
      </w:r>
      <w:r w:rsidDel="00C95174">
        <w:rPr>
          <w:rFonts w:asciiTheme="minorBidi" w:hAnsiTheme="minorBidi" w:cstheme="minorBidi"/>
        </w:rPr>
        <w:t xml:space="preserve"> </w:t>
      </w:r>
    </w:p>
    <w:p w14:paraId="08950DC9" w14:textId="77777777" w:rsidR="00594B1E" w:rsidRPr="004810BC" w:rsidRDefault="00594B1E" w:rsidP="00594B1E">
      <w:pPr>
        <w:pStyle w:val="NormalWeb"/>
        <w:shd w:val="clear" w:color="auto" w:fill="FFFFFF"/>
        <w:spacing w:line="480" w:lineRule="auto"/>
        <w:ind w:left="720" w:right="630"/>
        <w:jc w:val="both"/>
        <w:rPr>
          <w:rFonts w:asciiTheme="minorBidi" w:hAnsiTheme="minorBidi" w:cstheme="minorBidi"/>
        </w:rPr>
      </w:pPr>
    </w:p>
    <w:p w14:paraId="7A0C6BAB" w14:textId="592F0056" w:rsidR="00E67116" w:rsidRPr="00594B1E" w:rsidRDefault="00594B1E" w:rsidP="00594B1E">
      <w:pPr>
        <w:spacing w:line="480" w:lineRule="auto"/>
        <w:ind w:left="720" w:right="630"/>
        <w:jc w:val="both"/>
        <w:rPr>
          <w:rFonts w:asciiTheme="minorBidi" w:hAnsiTheme="minorBidi" w:cstheme="minorBidi"/>
        </w:rPr>
      </w:pPr>
      <w:r w:rsidRPr="006B36D9">
        <w:rPr>
          <w:rFonts w:asciiTheme="minorBidi" w:hAnsiTheme="minorBidi" w:cstheme="minorBidi"/>
          <w:b/>
          <w:bCs/>
        </w:rPr>
        <w:t>Figure S7</w:t>
      </w:r>
      <w:r w:rsidRPr="00207BD6">
        <w:rPr>
          <w:rFonts w:asciiTheme="minorBidi" w:hAnsiTheme="minorBidi" w:cstheme="minorBidi"/>
          <w:b/>
          <w:bCs/>
        </w:rPr>
        <w:t xml:space="preserve">. </w:t>
      </w:r>
      <w:r w:rsidRPr="00207BD6">
        <w:rPr>
          <w:rFonts w:asciiTheme="minorBidi" w:hAnsiTheme="minorBidi" w:cstheme="minorBidi"/>
          <w:bCs/>
        </w:rPr>
        <w:t>Characterization of control and AOA2 patients’ fibroblasts and the corresponding iPSCs and EBs</w:t>
      </w:r>
      <w:r w:rsidRPr="006B36D9">
        <w:rPr>
          <w:rFonts w:asciiTheme="minorBidi" w:hAnsiTheme="minorBidi" w:cstheme="minorBidi"/>
          <w:bCs/>
        </w:rPr>
        <w:t>.</w:t>
      </w:r>
      <w:r w:rsidRPr="00207BD6">
        <w:rPr>
          <w:rFonts w:asciiTheme="minorBidi" w:hAnsiTheme="minorBidi" w:cstheme="minorBidi"/>
        </w:rPr>
        <w:t xml:space="preserve"> (</w:t>
      </w:r>
      <w:r w:rsidRPr="00207BD6">
        <w:rPr>
          <w:rFonts w:asciiTheme="minorBidi" w:hAnsiTheme="minorBidi" w:cstheme="minorBidi"/>
          <w:b/>
          <w:bCs/>
        </w:rPr>
        <w:t>A</w:t>
      </w:r>
      <w:r w:rsidRPr="006B36D9">
        <w:rPr>
          <w:rFonts w:asciiTheme="minorBidi" w:hAnsiTheme="minorBidi" w:cstheme="minorBidi"/>
        </w:rPr>
        <w:t xml:space="preserve">) Chromatogram of sequencing covering </w:t>
      </w:r>
      <w:r w:rsidRPr="00207BD6">
        <w:rPr>
          <w:rFonts w:asciiTheme="minorBidi" w:hAnsiTheme="minorBidi" w:cstheme="minorBidi"/>
          <w:i/>
          <w:iCs/>
        </w:rPr>
        <w:t>SETX</w:t>
      </w:r>
      <w:r w:rsidRPr="00207BD6">
        <w:rPr>
          <w:rFonts w:asciiTheme="minorBidi" w:hAnsiTheme="minorBidi" w:cstheme="minorBidi"/>
        </w:rPr>
        <w:t xml:space="preserve"> exons</w:t>
      </w:r>
      <w:r>
        <w:rPr>
          <w:rFonts w:asciiTheme="minorBidi" w:hAnsiTheme="minorBidi" w:cstheme="minorBidi"/>
        </w:rPr>
        <w:t xml:space="preserve"> 10 (top) and 21 (bottom) of AOA2 patient #032 that carry new mutations. </w:t>
      </w:r>
      <w:r w:rsidRPr="002320D1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B</w:t>
      </w:r>
      <w:r w:rsidRPr="002320D1">
        <w:rPr>
          <w:rFonts w:asciiTheme="minorBidi" w:hAnsiTheme="minorBidi" w:cstheme="minorBidi"/>
        </w:rPr>
        <w:t>) SETX protein level in control</w:t>
      </w:r>
      <w:r w:rsidRPr="00D554EA">
        <w:rPr>
          <w:rFonts w:asciiTheme="minorBidi" w:hAnsiTheme="minorBidi" w:cstheme="minorBidi"/>
        </w:rPr>
        <w:t xml:space="preserve"> (green) and AOA2 (red) fibroblasts. CSTF</w:t>
      </w:r>
      <w:r w:rsidR="00F55A4D">
        <w:rPr>
          <w:rFonts w:asciiTheme="minorBidi" w:hAnsiTheme="minorBidi" w:cstheme="minorBidi"/>
        </w:rPr>
        <w:t>3</w:t>
      </w:r>
      <w:r w:rsidRPr="00D554EA">
        <w:rPr>
          <w:rFonts w:asciiTheme="minorBidi" w:hAnsiTheme="minorBidi" w:cstheme="minorBidi"/>
        </w:rPr>
        <w:t xml:space="preserve"> </w:t>
      </w:r>
      <w:r w:rsidR="001100A2">
        <w:rPr>
          <w:rFonts w:asciiTheme="minorBidi" w:hAnsiTheme="minorBidi" w:cstheme="minorBidi"/>
        </w:rPr>
        <w:t xml:space="preserve">(cleavage stimulation factor subunit 3) </w:t>
      </w:r>
      <w:r w:rsidRPr="00D554EA">
        <w:rPr>
          <w:rFonts w:asciiTheme="minorBidi" w:hAnsiTheme="minorBidi" w:cstheme="minorBidi"/>
        </w:rPr>
        <w:t>is used a</w:t>
      </w:r>
      <w:r>
        <w:rPr>
          <w:rFonts w:asciiTheme="minorBidi" w:hAnsiTheme="minorBidi" w:cstheme="minorBidi"/>
        </w:rPr>
        <w:t>s</w:t>
      </w:r>
      <w:r w:rsidRPr="00D554EA">
        <w:rPr>
          <w:rFonts w:asciiTheme="minorBidi" w:hAnsiTheme="minorBidi" w:cstheme="minorBidi"/>
        </w:rPr>
        <w:t xml:space="preserve"> loading control. </w:t>
      </w:r>
      <w:r>
        <w:rPr>
          <w:rFonts w:asciiTheme="minorBidi" w:hAnsiTheme="minorBidi" w:cstheme="minorBidi"/>
        </w:rPr>
        <w:t xml:space="preserve">* indicates non-specific band.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C</w:t>
      </w:r>
      <w:r w:rsidRPr="00D554EA">
        <w:rPr>
          <w:rFonts w:asciiTheme="minorBidi" w:hAnsiTheme="minorBidi" w:cstheme="minorBidi"/>
        </w:rPr>
        <w:t xml:space="preserve">) </w:t>
      </w:r>
      <w:r w:rsidRPr="00001C0D">
        <w:rPr>
          <w:rFonts w:asciiTheme="minorBidi" w:hAnsiTheme="minorBidi" w:cstheme="minorBidi"/>
          <w:i/>
          <w:iCs/>
        </w:rPr>
        <w:t>SETX</w:t>
      </w:r>
      <w:r w:rsidRPr="00D554EA">
        <w:rPr>
          <w:rFonts w:asciiTheme="minorBidi" w:hAnsiTheme="minorBidi" w:cstheme="minorBidi"/>
        </w:rPr>
        <w:t xml:space="preserve"> mRNA quantification by RT-qPCR in control (033, 034, 082) and AOA2 fibroblasts (032 and 083), n = 10, SE shown. (</w:t>
      </w:r>
      <w:r w:rsidRPr="00207BD6">
        <w:rPr>
          <w:rFonts w:asciiTheme="minorBidi" w:hAnsiTheme="minorBidi" w:cstheme="minorBidi"/>
          <w:b/>
          <w:bCs/>
        </w:rPr>
        <w:t>D</w:t>
      </w:r>
      <w:r w:rsidRPr="00D554EA">
        <w:rPr>
          <w:rFonts w:asciiTheme="minorBidi" w:hAnsiTheme="minorBidi" w:cstheme="minorBidi"/>
        </w:rPr>
        <w:t xml:space="preserve">) Steady-state levels of LC3 in WT (green) and AOA2 (red) lymphoblastic cells in normal condition (Ctrl) and after H2O2 treatment at 0.5 </w:t>
      </w:r>
      <w:proofErr w:type="spellStart"/>
      <w:r w:rsidRPr="00D554EA">
        <w:rPr>
          <w:rFonts w:asciiTheme="minorBidi" w:hAnsiTheme="minorBidi" w:cstheme="minorBidi"/>
        </w:rPr>
        <w:t>mM</w:t>
      </w:r>
      <w:proofErr w:type="spellEnd"/>
      <w:r w:rsidRPr="00D554EA">
        <w:rPr>
          <w:rFonts w:asciiTheme="minorBidi" w:hAnsiTheme="minorBidi" w:cstheme="minorBidi"/>
        </w:rPr>
        <w:t xml:space="preserve"> for 30 min. The graph shows LC3</w:t>
      </w:r>
      <w:r>
        <w:rPr>
          <w:rFonts w:asciiTheme="minorBidi" w:hAnsiTheme="minorBidi" w:cstheme="minorBidi"/>
        </w:rPr>
        <w:t>-</w:t>
      </w:r>
      <w:r w:rsidRPr="00D554EA">
        <w:rPr>
          <w:rFonts w:asciiTheme="minorBidi" w:hAnsiTheme="minorBidi" w:cstheme="minorBidi"/>
        </w:rPr>
        <w:t>II</w:t>
      </w:r>
      <w:r>
        <w:rPr>
          <w:rFonts w:asciiTheme="minorBidi" w:hAnsiTheme="minorBidi" w:cstheme="minorBidi"/>
        </w:rPr>
        <w:t>:LC3-</w:t>
      </w:r>
      <w:r w:rsidRPr="00D554EA">
        <w:rPr>
          <w:rFonts w:asciiTheme="minorBidi" w:hAnsiTheme="minorBidi" w:cstheme="minorBidi"/>
        </w:rPr>
        <w:t>I quantification and the lower WB shows SETX protein level in each cell line</w:t>
      </w:r>
      <w:r>
        <w:rPr>
          <w:rFonts w:asciiTheme="minorBidi" w:hAnsiTheme="minorBidi" w:cstheme="minorBidi"/>
        </w:rPr>
        <w:t>.</w:t>
      </w:r>
      <w:r w:rsidRPr="00D554EA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* indicates non-specific band.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E</w:t>
      </w:r>
      <w:r w:rsidRPr="00D554EA">
        <w:rPr>
          <w:rFonts w:asciiTheme="minorBidi" w:hAnsiTheme="minorBidi" w:cstheme="minorBidi"/>
        </w:rPr>
        <w:t xml:space="preserve">) </w:t>
      </w:r>
      <w:r w:rsidRPr="002A6C37">
        <w:rPr>
          <w:rFonts w:asciiTheme="minorBidi" w:hAnsiTheme="minorBidi" w:cstheme="minorBidi"/>
        </w:rPr>
        <w:t>Representative brightfield pictures of iPSC</w:t>
      </w:r>
      <w:r>
        <w:rPr>
          <w:rFonts w:asciiTheme="minorBidi" w:hAnsiTheme="minorBidi" w:cstheme="minorBidi"/>
        </w:rPr>
        <w:t>s</w:t>
      </w:r>
      <w:r w:rsidRPr="002A6C37">
        <w:rPr>
          <w:rFonts w:asciiTheme="minorBidi" w:hAnsiTheme="minorBidi" w:cstheme="minorBidi"/>
        </w:rPr>
        <w:t xml:space="preserve"> colonies obtained </w:t>
      </w:r>
      <w:r w:rsidRPr="00D554EA">
        <w:rPr>
          <w:rFonts w:asciiTheme="minorBidi" w:hAnsiTheme="minorBidi" w:cstheme="minorBidi"/>
        </w:rPr>
        <w:t>from the 3 asymptomatic individual</w:t>
      </w:r>
      <w:r w:rsidR="006E39BE">
        <w:rPr>
          <w:rFonts w:asciiTheme="minorBidi" w:hAnsiTheme="minorBidi" w:cstheme="minorBidi"/>
        </w:rPr>
        <w:t>s</w:t>
      </w:r>
      <w:r w:rsidRPr="00D554EA">
        <w:rPr>
          <w:rFonts w:asciiTheme="minorBidi" w:hAnsiTheme="minorBidi" w:cstheme="minorBidi"/>
        </w:rPr>
        <w:t xml:space="preserve"> (033, 034, 082) and 2 AOA2 patients (032 and 083) from the same family. </w:t>
      </w:r>
      <w:r w:rsidRPr="00760668">
        <w:rPr>
          <w:rFonts w:asciiTheme="minorBidi" w:hAnsiTheme="minorBidi" w:cstheme="minorBidi"/>
        </w:rPr>
        <w:t>All five iPSC cell lines presented a normal morphology</w:t>
      </w:r>
      <w:r w:rsidR="006E39BE">
        <w:rPr>
          <w:rFonts w:asciiTheme="minorBidi" w:hAnsiTheme="minorBidi" w:cstheme="minorBidi"/>
        </w:rPr>
        <w:t>,</w:t>
      </w:r>
      <w:r w:rsidRPr="00760668">
        <w:rPr>
          <w:rFonts w:asciiTheme="minorBidi" w:hAnsiTheme="minorBidi" w:cstheme="minorBidi"/>
        </w:rPr>
        <w:t xml:space="preserve"> and they were also positive </w:t>
      </w:r>
      <w:r>
        <w:rPr>
          <w:rFonts w:asciiTheme="minorBidi" w:hAnsiTheme="minorBidi" w:cstheme="minorBidi"/>
        </w:rPr>
        <w:t>for</w:t>
      </w:r>
      <w:r w:rsidRPr="00760668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specific stem cell </w:t>
      </w:r>
      <w:r w:rsidRPr="00760668">
        <w:rPr>
          <w:rFonts w:asciiTheme="minorBidi" w:hAnsiTheme="minorBidi" w:cstheme="minorBidi"/>
        </w:rPr>
        <w:t xml:space="preserve">markers. </w:t>
      </w:r>
      <w:r w:rsidRPr="002A6C37">
        <w:rPr>
          <w:rFonts w:asciiTheme="minorBidi" w:hAnsiTheme="minorBidi" w:cstheme="minorBidi"/>
        </w:rPr>
        <w:t>Scale bar</w:t>
      </w:r>
      <w:r w:rsidR="00E45C8F">
        <w:rPr>
          <w:rFonts w:asciiTheme="minorBidi" w:hAnsiTheme="minorBidi" w:cstheme="minorBidi"/>
        </w:rPr>
        <w:t>:</w:t>
      </w:r>
      <w:r w:rsidRPr="002A6C37">
        <w:rPr>
          <w:rFonts w:asciiTheme="minorBidi" w:hAnsiTheme="minorBidi" w:cstheme="minorBidi"/>
        </w:rPr>
        <w:t xml:space="preserve"> </w:t>
      </w:r>
      <w:r w:rsidRPr="002A6C37">
        <w:rPr>
          <w:rFonts w:asciiTheme="minorBidi" w:hAnsiTheme="minorBidi" w:cstheme="minorBidi"/>
        </w:rPr>
        <w:lastRenderedPageBreak/>
        <w:t>50</w:t>
      </w:r>
      <w:r>
        <w:rPr>
          <w:rFonts w:asciiTheme="minorBidi" w:hAnsiTheme="minorBidi" w:cstheme="minorBidi"/>
        </w:rPr>
        <w:t xml:space="preserve"> </w:t>
      </w:r>
      <w:r w:rsidRPr="002A6C37">
        <w:rPr>
          <w:rFonts w:asciiTheme="minorBidi" w:hAnsiTheme="minorBidi" w:cstheme="minorBidi"/>
        </w:rPr>
        <w:t>µm</w:t>
      </w:r>
      <w:r>
        <w:rPr>
          <w:rFonts w:asciiTheme="minorBidi" w:hAnsiTheme="minorBidi" w:cstheme="minorBidi"/>
        </w:rPr>
        <w:t>. (</w:t>
      </w:r>
      <w:r w:rsidRPr="00207BD6">
        <w:rPr>
          <w:rFonts w:asciiTheme="minorBidi" w:hAnsiTheme="minorBidi" w:cstheme="minorBidi"/>
          <w:b/>
          <w:bCs/>
        </w:rPr>
        <w:t>F</w:t>
      </w:r>
      <w:r>
        <w:rPr>
          <w:rFonts w:asciiTheme="minorBidi" w:hAnsiTheme="minorBidi" w:cstheme="minorBidi"/>
        </w:rPr>
        <w:t xml:space="preserve">) </w:t>
      </w:r>
      <w:r w:rsidRPr="006E5AC7">
        <w:rPr>
          <w:rFonts w:asciiTheme="minorBidi" w:hAnsiTheme="minorBidi" w:cstheme="minorBidi"/>
        </w:rPr>
        <w:t xml:space="preserve">Characterization of </w:t>
      </w:r>
      <w:r>
        <w:rPr>
          <w:rFonts w:asciiTheme="minorBidi" w:hAnsiTheme="minorBidi" w:cstheme="minorBidi"/>
        </w:rPr>
        <w:t xml:space="preserve">the </w:t>
      </w:r>
      <w:r w:rsidRPr="006E5AC7">
        <w:rPr>
          <w:rFonts w:asciiTheme="minorBidi" w:hAnsiTheme="minorBidi" w:cstheme="minorBidi"/>
        </w:rPr>
        <w:t xml:space="preserve">iPSC colonies with specific stem cell markers, </w:t>
      </w:r>
      <w:r w:rsidR="001100A2">
        <w:rPr>
          <w:rFonts w:asciiTheme="minorBidi" w:hAnsiTheme="minorBidi" w:cstheme="minorBidi"/>
        </w:rPr>
        <w:t xml:space="preserve">POU5F1 (POU class 5 homeobox 1) </w:t>
      </w:r>
      <w:r>
        <w:rPr>
          <w:rFonts w:asciiTheme="minorBidi" w:hAnsiTheme="minorBidi" w:cstheme="minorBidi"/>
        </w:rPr>
        <w:t xml:space="preserve">in </w:t>
      </w:r>
      <w:r w:rsidRPr="006E5AC7">
        <w:rPr>
          <w:rFonts w:asciiTheme="minorBidi" w:hAnsiTheme="minorBidi" w:cstheme="minorBidi"/>
        </w:rPr>
        <w:t>green, S</w:t>
      </w:r>
      <w:r>
        <w:rPr>
          <w:rFonts w:asciiTheme="minorBidi" w:hAnsiTheme="minorBidi" w:cstheme="minorBidi"/>
        </w:rPr>
        <w:t>OX</w:t>
      </w:r>
      <w:r w:rsidRPr="006E5AC7">
        <w:rPr>
          <w:rFonts w:asciiTheme="minorBidi" w:hAnsiTheme="minorBidi" w:cstheme="minorBidi"/>
        </w:rPr>
        <w:t xml:space="preserve">2 </w:t>
      </w:r>
      <w:r w:rsidR="001100A2">
        <w:rPr>
          <w:rFonts w:asciiTheme="minorBidi" w:hAnsiTheme="minorBidi" w:cstheme="minorBidi"/>
        </w:rPr>
        <w:t xml:space="preserve">(SRY-box transcription factor 2) </w:t>
      </w:r>
      <w:r>
        <w:rPr>
          <w:rFonts w:asciiTheme="minorBidi" w:hAnsiTheme="minorBidi" w:cstheme="minorBidi"/>
        </w:rPr>
        <w:t xml:space="preserve">in </w:t>
      </w:r>
      <w:r w:rsidRPr="006E5AC7">
        <w:rPr>
          <w:rFonts w:asciiTheme="minorBidi" w:hAnsiTheme="minorBidi" w:cstheme="minorBidi"/>
        </w:rPr>
        <w:t>red and nuclear staining in blue (DAPI). Scale bar</w:t>
      </w:r>
      <w:r>
        <w:rPr>
          <w:rFonts w:asciiTheme="minorBidi" w:hAnsiTheme="minorBidi" w:cstheme="minorBidi"/>
        </w:rPr>
        <w:t>:</w:t>
      </w:r>
      <w:r w:rsidRPr="006E5AC7">
        <w:rPr>
          <w:rFonts w:asciiTheme="minorBidi" w:hAnsiTheme="minorBidi" w:cstheme="minorBidi"/>
        </w:rPr>
        <w:t xml:space="preserve"> 50</w:t>
      </w:r>
      <w:r>
        <w:rPr>
          <w:rFonts w:asciiTheme="minorBidi" w:hAnsiTheme="minorBidi" w:cstheme="minorBidi"/>
        </w:rPr>
        <w:t xml:space="preserve"> </w:t>
      </w:r>
      <w:r w:rsidRPr="006E5AC7">
        <w:rPr>
          <w:rFonts w:asciiTheme="minorBidi" w:hAnsiTheme="minorBidi" w:cstheme="minorBidi"/>
        </w:rPr>
        <w:t>µm.</w:t>
      </w:r>
      <w:r w:rsidRPr="00A437F3">
        <w:rPr>
          <w:rFonts w:asciiTheme="minorBidi" w:hAnsiTheme="minorBidi" w:cstheme="minorBidi"/>
        </w:rPr>
        <w:t xml:space="preserve"> </w:t>
      </w:r>
      <w:r w:rsidRPr="00D554EA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G</w:t>
      </w:r>
      <w:r w:rsidRPr="00D554EA">
        <w:rPr>
          <w:rFonts w:asciiTheme="minorBidi" w:hAnsiTheme="minorBidi" w:cstheme="minorBidi"/>
        </w:rPr>
        <w:t xml:space="preserve">) </w:t>
      </w:r>
      <w:r w:rsidRPr="00357F6A">
        <w:rPr>
          <w:rFonts w:asciiTheme="minorBidi" w:hAnsiTheme="minorBidi" w:cstheme="minorBidi"/>
        </w:rPr>
        <w:t xml:space="preserve">Brightfield representative images of EBs during </w:t>
      </w:r>
      <w:r>
        <w:rPr>
          <w:rFonts w:asciiTheme="minorBidi" w:hAnsiTheme="minorBidi" w:cstheme="minorBidi"/>
        </w:rPr>
        <w:t xml:space="preserve">the </w:t>
      </w:r>
      <w:r w:rsidRPr="00357F6A">
        <w:rPr>
          <w:rFonts w:asciiTheme="minorBidi" w:hAnsiTheme="minorBidi" w:cstheme="minorBidi"/>
        </w:rPr>
        <w:t>differentiation process</w:t>
      </w:r>
      <w:r>
        <w:rPr>
          <w:rFonts w:asciiTheme="minorBidi" w:hAnsiTheme="minorBidi" w:cstheme="minorBidi"/>
        </w:rPr>
        <w:t xml:space="preserve">. </w:t>
      </w:r>
      <w:r w:rsidR="00656BAA">
        <w:rPr>
          <w:rFonts w:asciiTheme="minorBidi" w:hAnsiTheme="minorBidi" w:cstheme="minorBidi"/>
        </w:rPr>
        <w:t xml:space="preserve">Scale bar: </w:t>
      </w:r>
      <w:r w:rsidR="00656BAA" w:rsidRPr="006E5AC7">
        <w:rPr>
          <w:rFonts w:asciiTheme="minorBidi" w:hAnsiTheme="minorBidi" w:cstheme="minorBidi"/>
        </w:rPr>
        <w:t>50</w:t>
      </w:r>
      <w:r w:rsidR="00656BAA">
        <w:rPr>
          <w:rFonts w:asciiTheme="minorBidi" w:hAnsiTheme="minorBidi" w:cstheme="minorBidi"/>
        </w:rPr>
        <w:t xml:space="preserve"> </w:t>
      </w:r>
      <w:r w:rsidR="00656BAA" w:rsidRPr="006E5AC7">
        <w:rPr>
          <w:rFonts w:asciiTheme="minorBidi" w:hAnsiTheme="minorBidi" w:cstheme="minorBidi"/>
        </w:rPr>
        <w:t>µm</w:t>
      </w:r>
      <w:r w:rsidR="00656BAA" w:rsidRPr="00760668">
        <w:rPr>
          <w:rFonts w:asciiTheme="minorBidi" w:hAnsiTheme="minorBidi" w:cstheme="minorBidi"/>
        </w:rPr>
        <w:t xml:space="preserve"> </w:t>
      </w:r>
      <w:r w:rsidR="004905DA">
        <w:rPr>
          <w:rFonts w:asciiTheme="minorBidi" w:hAnsiTheme="minorBidi" w:cstheme="minorBidi"/>
        </w:rPr>
        <w:t>(</w:t>
      </w:r>
      <w:r w:rsidR="00656BAA">
        <w:rPr>
          <w:rFonts w:asciiTheme="minorBidi" w:hAnsiTheme="minorBidi" w:cstheme="minorBidi"/>
        </w:rPr>
        <w:t>DAY 0 to DAY 4</w:t>
      </w:r>
      <w:r w:rsidR="004905DA">
        <w:rPr>
          <w:rFonts w:asciiTheme="minorBidi" w:hAnsiTheme="minorBidi" w:cstheme="minorBidi"/>
        </w:rPr>
        <w:t>)</w:t>
      </w:r>
      <w:r w:rsidR="00FE55F0">
        <w:rPr>
          <w:rFonts w:asciiTheme="minorBidi" w:hAnsiTheme="minorBidi" w:cstheme="minorBidi"/>
        </w:rPr>
        <w:t>;</w:t>
      </w:r>
      <w:r w:rsidR="00656BAA">
        <w:rPr>
          <w:rFonts w:asciiTheme="minorBidi" w:hAnsiTheme="minorBidi" w:cstheme="minorBidi"/>
        </w:rPr>
        <w:t xml:space="preserve"> 25 </w:t>
      </w:r>
      <w:r w:rsidR="00656BAA" w:rsidRPr="006E5AC7">
        <w:rPr>
          <w:rFonts w:asciiTheme="minorBidi" w:hAnsiTheme="minorBidi" w:cstheme="minorBidi"/>
        </w:rPr>
        <w:t>µm</w:t>
      </w:r>
      <w:r w:rsidR="00656BAA" w:rsidRPr="00760668">
        <w:rPr>
          <w:rFonts w:asciiTheme="minorBidi" w:hAnsiTheme="minorBidi" w:cstheme="minorBidi"/>
        </w:rPr>
        <w:t xml:space="preserve"> </w:t>
      </w:r>
      <w:r w:rsidR="004905DA">
        <w:rPr>
          <w:rFonts w:asciiTheme="minorBidi" w:hAnsiTheme="minorBidi" w:cstheme="minorBidi"/>
        </w:rPr>
        <w:t>(</w:t>
      </w:r>
      <w:r w:rsidR="00656BAA">
        <w:rPr>
          <w:rFonts w:asciiTheme="minorBidi" w:hAnsiTheme="minorBidi" w:cstheme="minorBidi"/>
        </w:rPr>
        <w:t>DAY 4 to DAY 9</w:t>
      </w:r>
      <w:r w:rsidR="004905DA">
        <w:rPr>
          <w:rFonts w:asciiTheme="minorBidi" w:hAnsiTheme="minorBidi" w:cstheme="minorBidi"/>
        </w:rPr>
        <w:t>)</w:t>
      </w:r>
      <w:r w:rsidR="00E45C8F">
        <w:rPr>
          <w:rFonts w:asciiTheme="minorBidi" w:hAnsiTheme="minorBidi" w:cstheme="minorBidi"/>
        </w:rPr>
        <w:t>.</w:t>
      </w:r>
      <w:r w:rsidR="00656BAA">
        <w:rPr>
          <w:rFonts w:asciiTheme="minorBidi" w:hAnsiTheme="minorBidi" w:cstheme="minorBidi"/>
        </w:rPr>
        <w:t xml:space="preserve"> </w:t>
      </w:r>
      <w:r w:rsidRPr="00760668">
        <w:rPr>
          <w:rFonts w:asciiTheme="minorBidi" w:hAnsiTheme="minorBidi" w:cstheme="minorBidi"/>
        </w:rPr>
        <w:t>(</w:t>
      </w:r>
      <w:r w:rsidRPr="00207BD6">
        <w:rPr>
          <w:rFonts w:asciiTheme="minorBidi" w:hAnsiTheme="minorBidi" w:cstheme="minorBidi"/>
          <w:b/>
          <w:bCs/>
        </w:rPr>
        <w:t>H</w:t>
      </w:r>
      <w:r w:rsidRPr="00760668">
        <w:rPr>
          <w:rFonts w:asciiTheme="minorBidi" w:hAnsiTheme="minorBidi" w:cstheme="minorBidi"/>
        </w:rPr>
        <w:t xml:space="preserve">) </w:t>
      </w:r>
      <w:r>
        <w:rPr>
          <w:rFonts w:asciiTheme="minorBidi" w:hAnsiTheme="minorBidi" w:cstheme="minorBidi"/>
        </w:rPr>
        <w:t xml:space="preserve">MNs count at day 1, 3, 5 and 7 after plating. </w:t>
      </w:r>
    </w:p>
    <w:sectPr w:rsidR="00E67116" w:rsidRPr="00594B1E" w:rsidSect="00594B1E">
      <w:headerReference w:type="default" r:id="rId6"/>
      <w:footerReference w:type="default" r:id="rId7"/>
      <w:pgSz w:w="12240" w:h="15840" w:code="1"/>
      <w:pgMar w:top="0" w:right="810" w:bottom="720" w:left="720" w:header="547" w:footer="28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EAF18" w16cex:dateUtc="2020-06-01T03:32:00Z"/>
  <w16cex:commentExtensible w16cex:durableId="227EAF80" w16cex:dateUtc="2020-06-01T03:34:00Z"/>
  <w16cex:commentExtensible w16cex:durableId="227EAFDB" w16cex:dateUtc="2020-06-01T03:36:00Z"/>
  <w16cex:commentExtensible w16cex:durableId="227EAFFD" w16cex:dateUtc="2020-06-01T03:36:00Z"/>
  <w16cex:commentExtensible w16cex:durableId="227EB01C" w16cex:dateUtc="2020-06-01T03:37:00Z"/>
  <w16cex:commentExtensible w16cex:durableId="227EB073" w16cex:dateUtc="2020-06-01T03:38:00Z"/>
  <w16cex:commentExtensible w16cex:durableId="227EB0A1" w16cex:dateUtc="2020-06-01T03:39:00Z"/>
  <w16cex:commentExtensible w16cex:durableId="227EB0B9" w16cex:dateUtc="2020-06-01T03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E7B1C" w14:textId="77777777" w:rsidR="00762EDD" w:rsidRDefault="00762EDD">
      <w:r>
        <w:separator/>
      </w:r>
    </w:p>
  </w:endnote>
  <w:endnote w:type="continuationSeparator" w:id="0">
    <w:p w14:paraId="40D89D93" w14:textId="77777777" w:rsidR="00762EDD" w:rsidRDefault="0076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544556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4422A4" w14:textId="77777777" w:rsidR="00080990" w:rsidRDefault="00594B1E" w:rsidP="001327A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D71E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5F1C58B" w14:textId="77777777" w:rsidR="00080990" w:rsidRDefault="00762EDD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2B1F1" w14:textId="77777777" w:rsidR="00762EDD" w:rsidRDefault="00762EDD">
      <w:r>
        <w:separator/>
      </w:r>
    </w:p>
  </w:footnote>
  <w:footnote w:type="continuationSeparator" w:id="0">
    <w:p w14:paraId="22401978" w14:textId="77777777" w:rsidR="00762EDD" w:rsidRDefault="00762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6DD0" w14:textId="77777777" w:rsidR="00080990" w:rsidRDefault="00762E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xNTU3MjY2MjOwMDJT0lEKTi0uzszPAykwqgUAfOcWdCwAAAA="/>
  </w:docVars>
  <w:rsids>
    <w:rsidRoot w:val="00594B1E"/>
    <w:rsid w:val="00001C0D"/>
    <w:rsid w:val="000744EA"/>
    <w:rsid w:val="000D06BE"/>
    <w:rsid w:val="000D67CC"/>
    <w:rsid w:val="000D6CA1"/>
    <w:rsid w:val="001100A2"/>
    <w:rsid w:val="0018203B"/>
    <w:rsid w:val="001B2CE9"/>
    <w:rsid w:val="001B7AC2"/>
    <w:rsid w:val="00226441"/>
    <w:rsid w:val="0028786E"/>
    <w:rsid w:val="002B7777"/>
    <w:rsid w:val="002C05D8"/>
    <w:rsid w:val="002D18D9"/>
    <w:rsid w:val="002F4026"/>
    <w:rsid w:val="00330877"/>
    <w:rsid w:val="003C5CA2"/>
    <w:rsid w:val="003F45CE"/>
    <w:rsid w:val="004079F9"/>
    <w:rsid w:val="0041639B"/>
    <w:rsid w:val="004765B2"/>
    <w:rsid w:val="00477E36"/>
    <w:rsid w:val="004905DA"/>
    <w:rsid w:val="004C4807"/>
    <w:rsid w:val="00503D13"/>
    <w:rsid w:val="00505436"/>
    <w:rsid w:val="00522A71"/>
    <w:rsid w:val="00536266"/>
    <w:rsid w:val="00537D9E"/>
    <w:rsid w:val="0054623C"/>
    <w:rsid w:val="005466EB"/>
    <w:rsid w:val="00557CD5"/>
    <w:rsid w:val="00561CE3"/>
    <w:rsid w:val="00591039"/>
    <w:rsid w:val="00594B1E"/>
    <w:rsid w:val="005A349F"/>
    <w:rsid w:val="005A4A25"/>
    <w:rsid w:val="005A5B4B"/>
    <w:rsid w:val="005D71E4"/>
    <w:rsid w:val="00601A56"/>
    <w:rsid w:val="00607F86"/>
    <w:rsid w:val="006234A5"/>
    <w:rsid w:val="006463CF"/>
    <w:rsid w:val="00655E2B"/>
    <w:rsid w:val="00656BAA"/>
    <w:rsid w:val="006B4A2F"/>
    <w:rsid w:val="006C11D4"/>
    <w:rsid w:val="006E39BE"/>
    <w:rsid w:val="006E45A4"/>
    <w:rsid w:val="00710B10"/>
    <w:rsid w:val="007233FF"/>
    <w:rsid w:val="007320DE"/>
    <w:rsid w:val="00762496"/>
    <w:rsid w:val="00762EDD"/>
    <w:rsid w:val="007A6304"/>
    <w:rsid w:val="007C3B61"/>
    <w:rsid w:val="007D635F"/>
    <w:rsid w:val="007E175F"/>
    <w:rsid w:val="007F0C04"/>
    <w:rsid w:val="00810032"/>
    <w:rsid w:val="008448E2"/>
    <w:rsid w:val="00846695"/>
    <w:rsid w:val="00893BF7"/>
    <w:rsid w:val="008C6C35"/>
    <w:rsid w:val="008C78EA"/>
    <w:rsid w:val="008D584E"/>
    <w:rsid w:val="008E4909"/>
    <w:rsid w:val="008F587B"/>
    <w:rsid w:val="0091110D"/>
    <w:rsid w:val="0091128E"/>
    <w:rsid w:val="009461F8"/>
    <w:rsid w:val="0095467D"/>
    <w:rsid w:val="00981C6D"/>
    <w:rsid w:val="00992936"/>
    <w:rsid w:val="009A5AB6"/>
    <w:rsid w:val="009D4135"/>
    <w:rsid w:val="00A057BA"/>
    <w:rsid w:val="00A10D14"/>
    <w:rsid w:val="00A21AB7"/>
    <w:rsid w:val="00A53F32"/>
    <w:rsid w:val="00A57AA0"/>
    <w:rsid w:val="00A876CE"/>
    <w:rsid w:val="00A93DDB"/>
    <w:rsid w:val="00AB4DDD"/>
    <w:rsid w:val="00AE6B2C"/>
    <w:rsid w:val="00AF5A37"/>
    <w:rsid w:val="00B109BC"/>
    <w:rsid w:val="00B96363"/>
    <w:rsid w:val="00BB2D9C"/>
    <w:rsid w:val="00BC6027"/>
    <w:rsid w:val="00BD4E9B"/>
    <w:rsid w:val="00BF7030"/>
    <w:rsid w:val="00C20694"/>
    <w:rsid w:val="00C25CDB"/>
    <w:rsid w:val="00C7792F"/>
    <w:rsid w:val="00CC0642"/>
    <w:rsid w:val="00CD588A"/>
    <w:rsid w:val="00D31484"/>
    <w:rsid w:val="00D42410"/>
    <w:rsid w:val="00D4520B"/>
    <w:rsid w:val="00D46C08"/>
    <w:rsid w:val="00D50464"/>
    <w:rsid w:val="00D53F41"/>
    <w:rsid w:val="00D55D87"/>
    <w:rsid w:val="00D908FC"/>
    <w:rsid w:val="00D964E7"/>
    <w:rsid w:val="00DA6B7D"/>
    <w:rsid w:val="00DB590D"/>
    <w:rsid w:val="00DC642F"/>
    <w:rsid w:val="00DE2D62"/>
    <w:rsid w:val="00E45C8F"/>
    <w:rsid w:val="00E541A2"/>
    <w:rsid w:val="00E70321"/>
    <w:rsid w:val="00E73CFE"/>
    <w:rsid w:val="00E77460"/>
    <w:rsid w:val="00E90820"/>
    <w:rsid w:val="00EA2F2C"/>
    <w:rsid w:val="00EA7F39"/>
    <w:rsid w:val="00ED0B56"/>
    <w:rsid w:val="00ED3855"/>
    <w:rsid w:val="00EE0AFC"/>
    <w:rsid w:val="00F55A4D"/>
    <w:rsid w:val="00FA7B92"/>
    <w:rsid w:val="00FB4A88"/>
    <w:rsid w:val="00FC1259"/>
    <w:rsid w:val="00FE0CEC"/>
    <w:rsid w:val="00FE55F0"/>
    <w:rsid w:val="00FE5F2F"/>
    <w:rsid w:val="00FF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88E4A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4B1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94B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94B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594B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94B1E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594B1E"/>
    <w:pPr>
      <w:autoSpaceDE w:val="0"/>
      <w:autoSpaceDN w:val="0"/>
    </w:pPr>
    <w:rPr>
      <w:rFonts w:ascii="Times" w:hAnsi="Times" w:cs="Times"/>
    </w:rPr>
  </w:style>
  <w:style w:type="character" w:styleId="PageNumber">
    <w:name w:val="page number"/>
    <w:basedOn w:val="DefaultParagraphFont"/>
    <w:rsid w:val="00594B1E"/>
  </w:style>
  <w:style w:type="character" w:styleId="CommentReference">
    <w:name w:val="annotation reference"/>
    <w:basedOn w:val="DefaultParagraphFont"/>
    <w:uiPriority w:val="99"/>
    <w:semiHidden/>
    <w:unhideWhenUsed/>
    <w:rsid w:val="002D1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8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8D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8D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8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8D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2020-06-01T20:29:00Z</dcterms:created>
  <dcterms:modified xsi:type="dcterms:W3CDTF">2020-06-12T17:17:00Z</dcterms:modified>
</cp:coreProperties>
</file>