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8D2D3" w14:textId="128BBB8D" w:rsidR="00E9595A" w:rsidRPr="00F86AEF" w:rsidRDefault="002771B0" w:rsidP="00F86AEF">
      <w:pPr>
        <w:spacing w:after="0"/>
        <w:jc w:val="both"/>
        <w:rPr>
          <w:rFonts w:ascii="Times New Roman" w:hAnsi="Times New Roman" w:cs="Times New Roman"/>
          <w:lang w:val="en-GB"/>
        </w:rPr>
      </w:pPr>
      <w:r w:rsidRPr="00F86AEF">
        <w:rPr>
          <w:rFonts w:ascii="Times New Roman" w:hAnsi="Times New Roman" w:cs="Times New Roman"/>
          <w:lang w:val="en-GB"/>
        </w:rPr>
        <w:t xml:space="preserve">Figure 1. Results of literature search. Exclusion criteria are mentioned as well as the numbers of studies included and excluded. For more information on the screening procedure, see </w:t>
      </w:r>
      <w:r w:rsidR="008545A0" w:rsidRPr="00F86AEF">
        <w:rPr>
          <w:rFonts w:ascii="Times New Roman" w:hAnsi="Times New Roman" w:cs="Times New Roman"/>
          <w:lang w:val="en-GB"/>
        </w:rPr>
        <w:t>supplemental files</w:t>
      </w:r>
      <w:r w:rsidRPr="00F86AEF">
        <w:rPr>
          <w:rFonts w:ascii="Times New Roman" w:hAnsi="Times New Roman" w:cs="Times New Roman"/>
          <w:lang w:val="en-GB"/>
        </w:rPr>
        <w:t>.</w:t>
      </w:r>
    </w:p>
    <w:p w14:paraId="15A6B970" w14:textId="77777777" w:rsidR="00F86AEF" w:rsidRPr="00F86AEF" w:rsidRDefault="00F86AEF" w:rsidP="00F86AEF">
      <w:pPr>
        <w:spacing w:after="0"/>
        <w:jc w:val="both"/>
        <w:rPr>
          <w:rFonts w:ascii="Times New Roman" w:hAnsi="Times New Roman" w:cs="Times New Roman"/>
          <w:lang w:val="en-GB"/>
        </w:rPr>
      </w:pPr>
    </w:p>
    <w:p w14:paraId="037CB6A8" w14:textId="77777777" w:rsidR="002771B0" w:rsidRPr="00F86AEF" w:rsidRDefault="002771B0" w:rsidP="00F86AEF">
      <w:pPr>
        <w:spacing w:after="0"/>
        <w:jc w:val="both"/>
        <w:rPr>
          <w:rFonts w:ascii="Times New Roman" w:hAnsi="Times New Roman" w:cs="Times New Roman"/>
          <w:lang w:val="en-GB"/>
        </w:rPr>
      </w:pPr>
    </w:p>
    <w:p w14:paraId="627801E1" w14:textId="77777777" w:rsidR="001F0AFE" w:rsidRPr="00F86AEF" w:rsidRDefault="001F0AFE" w:rsidP="00F86AEF">
      <w:pPr>
        <w:pStyle w:val="CommentText"/>
        <w:jc w:val="both"/>
        <w:rPr>
          <w:rFonts w:ascii="Times New Roman" w:hAnsi="Times New Roman" w:cs="Times New Roman"/>
          <w:sz w:val="22"/>
          <w:szCs w:val="22"/>
          <w:lang w:val="en-GB"/>
        </w:rPr>
      </w:pPr>
      <w:r w:rsidRPr="00F86AEF">
        <w:rPr>
          <w:rFonts w:ascii="Times New Roman" w:hAnsi="Times New Roman" w:cs="Times New Roman"/>
          <w:sz w:val="22"/>
          <w:szCs w:val="22"/>
          <w:lang w:val="en-GB"/>
        </w:rPr>
        <w:t>Table 1. The sample consists of females unless stated otherwise. The TAS20 global scores are used and scores on the different factors are not included in this review. Unknown data is noted in this table using the abbreviation UNK. The diagnostic instruments include the Diagnostic and Statistic Manual (DSM-III and DSM-IV), the Structured Clinical Interview for DSM (SCID, SCID-I/P, SCID-I, SCID-II), the Mini-International Neuropsychiatric Interview (MINI, MINI-4.1), the Eating Disorder Examination (EDE, EDE-12ed, EDE-16), the Eating Disorder Examination Questionnaire (EDE-Q), the Binge Eating Disorder Clinical interview (BEDCI), the Eating Disorder Inventory (EDI, EDI-2, EDI-3), the Binge Eating Scale (BES), the Eating Attitude Test (EAT), the Body Uneasiness Test (BUT), the Night Eating Questionnaire (NEQ), the Questionnaire on Eating and Weight patterns (QEWP), the  international Classification of Diseases and Related Health Problems (ICD-10). 1 The sample consists of mixed sexes, 2 eating disorder diagnoses not specified, 3 ED sample consists of both anorexia nervosa, bulimia nervosa and binge eating disorder, 4 AN group consists of both anorexia nervosa restrictive subtype and anorexia nervosa binge-purge subtype, 5 ED sample consists of both anorexia nervosa and bulimi</w:t>
      </w:r>
      <w:bookmarkStart w:id="0" w:name="_GoBack"/>
      <w:bookmarkEnd w:id="0"/>
      <w:r w:rsidRPr="00F86AEF">
        <w:rPr>
          <w:rFonts w:ascii="Times New Roman" w:hAnsi="Times New Roman" w:cs="Times New Roman"/>
          <w:sz w:val="22"/>
          <w:szCs w:val="22"/>
          <w:lang w:val="en-GB"/>
        </w:rPr>
        <w:t>a nervosa, 6 information on unmatched HC group, male HC group or otherwise irrelevant comparison group omitted in this review, 7 age noted as a mean for all included ED-patient groups in study, 8 sample consists of anorexia nervosa, bulimia nervosa and eating disorders not otherwise specified, 9 sample consists of males only, 10 RME total score measured as % items answered correctly, 11 ED sample consists of both anorexia nervosa, bulimia nervosa, binge eating disorder and eating disorders not otherwise specified, 12 Age manually calculated, 13 AN group consists of anorexia nervosa restrictive subtype, anorexia nervosa binge-purge subtype and eating disorder not otherwise specified where not all criteria for anorexia nervosa are met, 14 BN group consists of bulimia nervosa purging subtype, bulimia nervosa non-purging subtype and eating disorder not otherwise specified where not all criteria for bulimia nervosa are met.</w:t>
      </w:r>
    </w:p>
    <w:p w14:paraId="30ECED14" w14:textId="3824AD6B" w:rsidR="002771B0" w:rsidRPr="00F86AEF" w:rsidRDefault="002771B0" w:rsidP="00F86AEF">
      <w:pPr>
        <w:pStyle w:val="CommentText"/>
        <w:jc w:val="both"/>
        <w:rPr>
          <w:rFonts w:ascii="Times New Roman" w:hAnsi="Times New Roman" w:cs="Times New Roman"/>
          <w:sz w:val="22"/>
          <w:szCs w:val="22"/>
          <w:lang w:val="en-GB"/>
        </w:rPr>
      </w:pPr>
    </w:p>
    <w:p w14:paraId="721DB065" w14:textId="77777777" w:rsidR="00F86AEF" w:rsidRPr="00F86AEF" w:rsidRDefault="00F86AEF" w:rsidP="00F86AEF">
      <w:pPr>
        <w:pStyle w:val="CommentText"/>
        <w:jc w:val="both"/>
        <w:rPr>
          <w:rFonts w:ascii="Times New Roman" w:hAnsi="Times New Roman" w:cs="Times New Roman"/>
          <w:sz w:val="22"/>
          <w:szCs w:val="22"/>
          <w:lang w:val="en-GB"/>
        </w:rPr>
      </w:pPr>
    </w:p>
    <w:p w14:paraId="0C4FF807" w14:textId="77777777" w:rsidR="002771B0" w:rsidRPr="00F86AEF" w:rsidRDefault="002771B0" w:rsidP="00F86AEF">
      <w:pPr>
        <w:pStyle w:val="CommentText"/>
        <w:jc w:val="both"/>
        <w:rPr>
          <w:rFonts w:ascii="Times New Roman" w:hAnsi="Times New Roman" w:cs="Times New Roman"/>
          <w:sz w:val="22"/>
          <w:szCs w:val="22"/>
          <w:lang w:val="en-GB"/>
        </w:rPr>
      </w:pPr>
      <w:r w:rsidRPr="00F86AEF">
        <w:rPr>
          <w:rFonts w:ascii="Times New Roman" w:hAnsi="Times New Roman" w:cs="Times New Roman"/>
          <w:sz w:val="22"/>
          <w:szCs w:val="22"/>
          <w:lang w:val="en-GB"/>
        </w:rPr>
        <w:t xml:space="preserve">Figure 2. </w:t>
      </w:r>
      <w:r w:rsidR="008545A0" w:rsidRPr="00F86AEF">
        <w:rPr>
          <w:rFonts w:ascii="Times New Roman" w:hAnsi="Times New Roman" w:cs="Times New Roman"/>
          <w:sz w:val="22"/>
          <w:szCs w:val="22"/>
          <w:lang w:val="en-GB"/>
        </w:rPr>
        <w:t>Funnel plot used for investigating the possibility for publication bias.</w:t>
      </w:r>
    </w:p>
    <w:p w14:paraId="72EADD43" w14:textId="7804FA50" w:rsidR="002771B0" w:rsidRPr="00F86AEF" w:rsidRDefault="002771B0" w:rsidP="00F86AEF">
      <w:pPr>
        <w:pStyle w:val="CommentText"/>
        <w:jc w:val="both"/>
        <w:rPr>
          <w:rFonts w:ascii="Times New Roman" w:hAnsi="Times New Roman" w:cs="Times New Roman"/>
          <w:sz w:val="22"/>
          <w:szCs w:val="22"/>
          <w:lang w:val="en-GB"/>
        </w:rPr>
      </w:pPr>
    </w:p>
    <w:p w14:paraId="7203D75B" w14:textId="77777777" w:rsidR="00F86AEF" w:rsidRPr="00F86AEF" w:rsidRDefault="00F86AEF" w:rsidP="00F86AEF">
      <w:pPr>
        <w:pStyle w:val="CommentText"/>
        <w:jc w:val="both"/>
        <w:rPr>
          <w:rFonts w:ascii="Times New Roman" w:hAnsi="Times New Roman" w:cs="Times New Roman"/>
          <w:sz w:val="22"/>
          <w:szCs w:val="22"/>
          <w:lang w:val="en-GB"/>
        </w:rPr>
      </w:pPr>
    </w:p>
    <w:p w14:paraId="37374070" w14:textId="77777777" w:rsidR="002771B0" w:rsidRPr="00F86AEF" w:rsidRDefault="002771B0" w:rsidP="00F86AEF">
      <w:pPr>
        <w:pStyle w:val="CommentText"/>
        <w:jc w:val="both"/>
        <w:rPr>
          <w:sz w:val="24"/>
          <w:szCs w:val="24"/>
          <w:lang w:val="en-GB"/>
        </w:rPr>
      </w:pPr>
      <w:r w:rsidRPr="00F86AEF">
        <w:rPr>
          <w:rFonts w:ascii="Times New Roman" w:hAnsi="Times New Roman" w:cs="Times New Roman"/>
          <w:sz w:val="22"/>
          <w:szCs w:val="22"/>
          <w:lang w:val="en-GB"/>
        </w:rPr>
        <w:t xml:space="preserve">Figure 3. </w:t>
      </w:r>
      <w:r w:rsidR="008545A0" w:rsidRPr="00F86AEF">
        <w:rPr>
          <w:rFonts w:ascii="Times New Roman" w:hAnsi="Times New Roman" w:cs="Times New Roman"/>
          <w:sz w:val="22"/>
          <w:szCs w:val="22"/>
          <w:lang w:val="en-GB"/>
        </w:rPr>
        <w:t>Meta-analysis on the mentalization ability about others measured with TAS-20 and TAS-26 test scores in patients with anorexia nervosa compared to healthy controls.</w:t>
      </w:r>
    </w:p>
    <w:sectPr w:rsidR="002771B0" w:rsidRPr="00F86AE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71B0"/>
    <w:rsid w:val="00116CF6"/>
    <w:rsid w:val="001F0AFE"/>
    <w:rsid w:val="002771B0"/>
    <w:rsid w:val="002F1DF8"/>
    <w:rsid w:val="003134B4"/>
    <w:rsid w:val="008545A0"/>
    <w:rsid w:val="00862413"/>
    <w:rsid w:val="00DF7B8E"/>
    <w:rsid w:val="00E9595A"/>
    <w:rsid w:val="00F86AE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449E4"/>
  <w15:chartTrackingRefBased/>
  <w15:docId w15:val="{D6AEB09A-026A-4A27-AFE4-50AE2BF13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2771B0"/>
    <w:pPr>
      <w:spacing w:after="0" w:line="240" w:lineRule="auto"/>
    </w:pPr>
    <w:rPr>
      <w:rFonts w:ascii="Arial" w:eastAsia="Arial" w:hAnsi="Arial" w:cs="Arial"/>
      <w:sz w:val="20"/>
      <w:szCs w:val="20"/>
      <w:lang w:eastAsia="da-DK"/>
    </w:rPr>
  </w:style>
  <w:style w:type="character" w:customStyle="1" w:styleId="CommentTextChar">
    <w:name w:val="Comment Text Char"/>
    <w:basedOn w:val="DefaultParagraphFont"/>
    <w:link w:val="CommentText"/>
    <w:uiPriority w:val="99"/>
    <w:rsid w:val="002771B0"/>
    <w:rPr>
      <w:rFonts w:ascii="Arial" w:eastAsia="Arial" w:hAnsi="Arial" w:cs="Arial"/>
      <w:sz w:val="20"/>
      <w:szCs w:val="20"/>
      <w:lang w:eastAsia="da-DK"/>
    </w:rPr>
  </w:style>
  <w:style w:type="character" w:styleId="CommentReference">
    <w:name w:val="annotation reference"/>
    <w:basedOn w:val="DefaultParagraphFont"/>
    <w:uiPriority w:val="99"/>
    <w:semiHidden/>
    <w:unhideWhenUsed/>
    <w:rsid w:val="002771B0"/>
    <w:rPr>
      <w:sz w:val="16"/>
      <w:szCs w:val="16"/>
    </w:rPr>
  </w:style>
  <w:style w:type="paragraph" w:styleId="BalloonText">
    <w:name w:val="Balloon Text"/>
    <w:basedOn w:val="Normal"/>
    <w:link w:val="BalloonTextChar"/>
    <w:uiPriority w:val="99"/>
    <w:semiHidden/>
    <w:unhideWhenUsed/>
    <w:rsid w:val="002771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1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2290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Region Nordjylland</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Bach / Region Nordjylland</dc:creator>
  <cp:keywords/>
  <dc:description/>
  <cp:lastModifiedBy>Jovie Anne Francisco</cp:lastModifiedBy>
  <cp:revision>3</cp:revision>
  <dcterms:created xsi:type="dcterms:W3CDTF">2019-12-18T07:56:00Z</dcterms:created>
  <dcterms:modified xsi:type="dcterms:W3CDTF">2019-12-18T12:31:00Z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