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263DC" w14:textId="77777777" w:rsidR="00333F2A" w:rsidRPr="00333F2A" w:rsidRDefault="00333F2A" w:rsidP="00333F2A">
      <w:pPr>
        <w:spacing w:line="480" w:lineRule="auto"/>
        <w:jc w:val="center"/>
        <w:rPr>
          <w:rFonts w:ascii="Arial" w:hAnsi="Arial"/>
          <w:b/>
        </w:rPr>
      </w:pPr>
      <w:r w:rsidRPr="00333F2A">
        <w:rPr>
          <w:rFonts w:ascii="Arial" w:hAnsi="Arial"/>
          <w:b/>
        </w:rPr>
        <w:t>Supplementary Material</w:t>
      </w:r>
    </w:p>
    <w:p w14:paraId="2D4D9E47" w14:textId="3AF65B32" w:rsidR="00333F2A" w:rsidRPr="00C751DA" w:rsidRDefault="00C751DA" w:rsidP="00333F2A">
      <w:pPr>
        <w:spacing w:line="480" w:lineRule="auto"/>
        <w:rPr>
          <w:rFonts w:ascii="Arial" w:hAnsi="Arial"/>
          <w:sz w:val="22"/>
          <w:szCs w:val="22"/>
        </w:rPr>
      </w:pPr>
      <w:r w:rsidRPr="00C751DA">
        <w:rPr>
          <w:rFonts w:ascii="Arial" w:hAnsi="Arial"/>
          <w:sz w:val="22"/>
          <w:szCs w:val="22"/>
        </w:rPr>
        <w:t>MATERIALS AND METHODS</w:t>
      </w:r>
    </w:p>
    <w:p w14:paraId="2B22617B" w14:textId="77777777" w:rsidR="00C751DA" w:rsidRDefault="00D55D03" w:rsidP="00D55D03">
      <w:pPr>
        <w:spacing w:line="480" w:lineRule="auto"/>
        <w:rPr>
          <w:rFonts w:ascii="Arial" w:hAnsi="Arial" w:cs="Arial"/>
          <w:b/>
          <w:i/>
          <w:sz w:val="22"/>
          <w:szCs w:val="22"/>
        </w:rPr>
      </w:pPr>
      <w:r w:rsidRPr="00C751DA">
        <w:rPr>
          <w:rFonts w:ascii="Arial" w:hAnsi="Arial" w:cs="Arial"/>
          <w:b/>
          <w:i/>
          <w:sz w:val="22"/>
          <w:szCs w:val="22"/>
        </w:rPr>
        <w:t>Real time RT-PCR</w:t>
      </w:r>
    </w:p>
    <w:p w14:paraId="1423BFC2" w14:textId="77777777" w:rsidR="001F1218" w:rsidRDefault="001F1218" w:rsidP="00D55D03">
      <w:pPr>
        <w:spacing w:line="480" w:lineRule="auto"/>
        <w:rPr>
          <w:rFonts w:ascii="Arial" w:hAnsi="Arial" w:cs="Arial"/>
        </w:rPr>
      </w:pPr>
      <w:r w:rsidRPr="00045606">
        <w:rPr>
          <w:rFonts w:ascii="Arial" w:hAnsi="Arial" w:cs="Arial"/>
        </w:rPr>
        <w:t xml:space="preserve">An </w:t>
      </w:r>
      <w:proofErr w:type="spellStart"/>
      <w:r w:rsidRPr="00045606">
        <w:rPr>
          <w:rFonts w:ascii="Arial" w:hAnsi="Arial" w:cs="Arial"/>
        </w:rPr>
        <w:t>iScript</w:t>
      </w:r>
      <w:proofErr w:type="spellEnd"/>
      <w:r w:rsidRPr="00045606">
        <w:rPr>
          <w:rFonts w:ascii="Arial" w:hAnsi="Arial" w:cs="Arial"/>
        </w:rPr>
        <w:t xml:space="preserve"> cDNA Synthesis kit (Bio-Rad), and </w:t>
      </w:r>
      <w:proofErr w:type="spellStart"/>
      <w:r w:rsidRPr="00045606">
        <w:rPr>
          <w:rFonts w:ascii="Arial" w:hAnsi="Arial" w:cs="Arial"/>
        </w:rPr>
        <w:t>iTaq</w:t>
      </w:r>
      <w:proofErr w:type="spellEnd"/>
      <w:r w:rsidRPr="00045606">
        <w:rPr>
          <w:rFonts w:ascii="Arial" w:hAnsi="Arial" w:cs="Arial"/>
        </w:rPr>
        <w:t xml:space="preserve"> SYBR Green </w:t>
      </w:r>
      <w:proofErr w:type="spellStart"/>
      <w:r w:rsidRPr="00045606">
        <w:rPr>
          <w:rFonts w:ascii="Arial" w:hAnsi="Arial" w:cs="Arial"/>
        </w:rPr>
        <w:t>Supermix</w:t>
      </w:r>
      <w:proofErr w:type="spellEnd"/>
      <w:r w:rsidRPr="00045606">
        <w:rPr>
          <w:rFonts w:ascii="Arial" w:hAnsi="Arial" w:cs="Arial"/>
        </w:rPr>
        <w:t xml:space="preserve"> with ROX (Bio-Rad) were used for reverse transcription of RNA and real-time PCR amplification of cDNA. The sequences of the primers used for PCR are shown in </w:t>
      </w:r>
      <w:r w:rsidRPr="00045606">
        <w:rPr>
          <w:rFonts w:ascii="Arial" w:hAnsi="Arial" w:cs="Arial"/>
          <w:i/>
        </w:rPr>
        <w:t>SM</w:t>
      </w:r>
      <w:r w:rsidRPr="00045606">
        <w:rPr>
          <w:rFonts w:ascii="Arial" w:hAnsi="Arial" w:cs="Arial"/>
        </w:rPr>
        <w:t>. Changes in mRNA levels were calculated by the 2</w:t>
      </w:r>
      <w:r w:rsidRPr="00045606">
        <w:rPr>
          <w:rFonts w:ascii="Arial" w:hAnsi="Arial" w:cs="Arial"/>
          <w:vertAlign w:val="superscript"/>
        </w:rPr>
        <w:t>-ΔΔC</w:t>
      </w:r>
      <w:r w:rsidRPr="00045606">
        <w:rPr>
          <w:rFonts w:ascii="Arial" w:hAnsi="Arial" w:cs="Arial"/>
          <w:i/>
          <w:vertAlign w:val="subscript"/>
        </w:rPr>
        <w:t>T</w:t>
      </w:r>
      <w:r w:rsidRPr="00045606">
        <w:rPr>
          <w:rFonts w:ascii="Arial" w:hAnsi="Arial" w:cs="Arial"/>
        </w:rPr>
        <w:t xml:space="preserve"> method using GAPDH or 18S </w:t>
      </w:r>
      <w:proofErr w:type="spellStart"/>
      <w:r w:rsidRPr="00045606">
        <w:rPr>
          <w:rFonts w:ascii="Arial" w:hAnsi="Arial" w:cs="Arial"/>
        </w:rPr>
        <w:t>rRNA</w:t>
      </w:r>
      <w:proofErr w:type="spellEnd"/>
      <w:r w:rsidRPr="00045606">
        <w:rPr>
          <w:rFonts w:ascii="Arial" w:hAnsi="Arial" w:cs="Arial"/>
        </w:rPr>
        <w:t xml:space="preserve"> for normalization.</w:t>
      </w:r>
    </w:p>
    <w:p w14:paraId="4D11BF3F" w14:textId="3A8026A1" w:rsidR="00FB616D" w:rsidRPr="007D34B5" w:rsidRDefault="00FB616D" w:rsidP="00D55D03">
      <w:pPr>
        <w:spacing w:line="480" w:lineRule="auto"/>
        <w:rPr>
          <w:rFonts w:ascii="Arial" w:hAnsi="Arial" w:cs="Arial"/>
          <w:i/>
          <w:sz w:val="22"/>
          <w:szCs w:val="22"/>
        </w:rPr>
      </w:pPr>
      <w:r w:rsidRPr="007D34B5">
        <w:rPr>
          <w:rFonts w:ascii="Times New Roman" w:hAnsi="Times New Roman" w:cs="Times New Roman"/>
          <w:sz w:val="22"/>
          <w:szCs w:val="22"/>
        </w:rPr>
        <w:t xml:space="preserve">Sequences of the primers used for </w:t>
      </w:r>
      <w:proofErr w:type="spellStart"/>
      <w:r w:rsidRPr="007D34B5">
        <w:rPr>
          <w:rFonts w:ascii="Times New Roman" w:hAnsi="Times New Roman" w:cs="Times New Roman"/>
          <w:sz w:val="22"/>
          <w:szCs w:val="22"/>
        </w:rPr>
        <w:t>qRT</w:t>
      </w:r>
      <w:proofErr w:type="spellEnd"/>
      <w:r w:rsidRPr="007D34B5">
        <w:rPr>
          <w:rFonts w:ascii="Times New Roman" w:hAnsi="Times New Roman" w:cs="Times New Roman"/>
          <w:sz w:val="22"/>
          <w:szCs w:val="22"/>
        </w:rPr>
        <w:t>-PCR (5’ to 3’ direction).</w:t>
      </w:r>
    </w:p>
    <w:tbl>
      <w:tblPr>
        <w:tblStyle w:val="TableGrid"/>
        <w:tblW w:w="0" w:type="auto"/>
        <w:tblInd w:w="-27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9"/>
        <w:gridCol w:w="3895"/>
        <w:gridCol w:w="3896"/>
      </w:tblGrid>
      <w:tr w:rsidR="00FB616D" w:rsidRPr="007D34B5" w14:paraId="0F4680A2" w14:textId="77777777" w:rsidTr="005B6BE8">
        <w:tc>
          <w:tcPr>
            <w:tcW w:w="1319" w:type="dxa"/>
            <w:tcBorders>
              <w:top w:val="single" w:sz="4" w:space="0" w:color="auto"/>
              <w:bottom w:val="single" w:sz="4" w:space="0" w:color="auto"/>
            </w:tcBorders>
          </w:tcPr>
          <w:p w14:paraId="1A90626D"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 xml:space="preserve">Gene </w:t>
            </w:r>
          </w:p>
        </w:tc>
        <w:tc>
          <w:tcPr>
            <w:tcW w:w="3795" w:type="dxa"/>
            <w:tcBorders>
              <w:top w:val="single" w:sz="4" w:space="0" w:color="auto"/>
              <w:bottom w:val="single" w:sz="4" w:space="0" w:color="auto"/>
            </w:tcBorders>
          </w:tcPr>
          <w:p w14:paraId="301CB86E"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Forward</w:t>
            </w:r>
          </w:p>
        </w:tc>
        <w:tc>
          <w:tcPr>
            <w:tcW w:w="3796" w:type="dxa"/>
            <w:tcBorders>
              <w:top w:val="single" w:sz="4" w:space="0" w:color="auto"/>
              <w:bottom w:val="single" w:sz="4" w:space="0" w:color="auto"/>
            </w:tcBorders>
          </w:tcPr>
          <w:p w14:paraId="58DC1CB7"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Reverse</w:t>
            </w:r>
          </w:p>
        </w:tc>
      </w:tr>
      <w:tr w:rsidR="00FB616D" w:rsidRPr="007D34B5" w14:paraId="06175121" w14:textId="77777777" w:rsidTr="005B6BE8">
        <w:tc>
          <w:tcPr>
            <w:tcW w:w="1319" w:type="dxa"/>
            <w:tcBorders>
              <w:top w:val="single" w:sz="4" w:space="0" w:color="auto"/>
            </w:tcBorders>
          </w:tcPr>
          <w:p w14:paraId="1EC18CC3"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 xml:space="preserve">DNMT1 </w:t>
            </w:r>
          </w:p>
        </w:tc>
        <w:tc>
          <w:tcPr>
            <w:tcW w:w="3795" w:type="dxa"/>
            <w:tcBorders>
              <w:top w:val="single" w:sz="4" w:space="0" w:color="auto"/>
            </w:tcBorders>
          </w:tcPr>
          <w:p w14:paraId="0241DA61"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 xml:space="preserve"> AAGGGAAGGGCAAGGGAAAAGG</w:t>
            </w:r>
          </w:p>
        </w:tc>
        <w:tc>
          <w:tcPr>
            <w:tcW w:w="3796" w:type="dxa"/>
            <w:tcBorders>
              <w:top w:val="single" w:sz="4" w:space="0" w:color="auto"/>
            </w:tcBorders>
          </w:tcPr>
          <w:p w14:paraId="33635DEE"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AGAAAACACATCCAGGGTCCGCAG</w:t>
            </w:r>
          </w:p>
        </w:tc>
      </w:tr>
      <w:tr w:rsidR="00FB616D" w:rsidRPr="007D34B5" w14:paraId="48237BC7" w14:textId="77777777" w:rsidTr="005B6BE8">
        <w:tc>
          <w:tcPr>
            <w:tcW w:w="1319" w:type="dxa"/>
          </w:tcPr>
          <w:p w14:paraId="4790050D"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DNMT3A</w:t>
            </w:r>
          </w:p>
        </w:tc>
        <w:tc>
          <w:tcPr>
            <w:tcW w:w="3795" w:type="dxa"/>
          </w:tcPr>
          <w:p w14:paraId="7B1EA80C"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CCATAAAGCAGGGCAAAGAC</w:t>
            </w:r>
          </w:p>
        </w:tc>
        <w:tc>
          <w:tcPr>
            <w:tcW w:w="3796" w:type="dxa"/>
          </w:tcPr>
          <w:p w14:paraId="6221DCE1"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AGTGGACTGGGAAACCAAATAC</w:t>
            </w:r>
          </w:p>
        </w:tc>
      </w:tr>
      <w:tr w:rsidR="00FB616D" w:rsidRPr="007D34B5" w14:paraId="0A402FAC" w14:textId="77777777" w:rsidTr="005B6BE8">
        <w:tc>
          <w:tcPr>
            <w:tcW w:w="1319" w:type="dxa"/>
          </w:tcPr>
          <w:p w14:paraId="14506B8B"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 xml:space="preserve">DNMT3B </w:t>
            </w:r>
          </w:p>
        </w:tc>
        <w:tc>
          <w:tcPr>
            <w:tcW w:w="3795" w:type="dxa"/>
          </w:tcPr>
          <w:p w14:paraId="6C3A7CB3"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AATGTGAATCCAGCCAGGAAAGGC</w:t>
            </w:r>
          </w:p>
        </w:tc>
        <w:tc>
          <w:tcPr>
            <w:tcW w:w="3796" w:type="dxa"/>
          </w:tcPr>
          <w:p w14:paraId="1ACECAA1"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ACTGGATTACACTCCAGGAACCGT</w:t>
            </w:r>
          </w:p>
        </w:tc>
      </w:tr>
      <w:tr w:rsidR="00FB616D" w:rsidRPr="007D34B5" w14:paraId="0A10135C" w14:textId="77777777" w:rsidTr="005B6BE8">
        <w:tc>
          <w:tcPr>
            <w:tcW w:w="1319" w:type="dxa"/>
          </w:tcPr>
          <w:p w14:paraId="5B71A144"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EVI2A</w:t>
            </w:r>
          </w:p>
        </w:tc>
        <w:tc>
          <w:tcPr>
            <w:tcW w:w="3795" w:type="dxa"/>
          </w:tcPr>
          <w:p w14:paraId="314487FE"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TACAAATGTCAGCCAATGAC</w:t>
            </w:r>
          </w:p>
        </w:tc>
        <w:tc>
          <w:tcPr>
            <w:tcW w:w="3796" w:type="dxa"/>
          </w:tcPr>
          <w:p w14:paraId="2D21F065"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TCTAGCTAGTATAGGTAGGGC</w:t>
            </w:r>
          </w:p>
        </w:tc>
      </w:tr>
      <w:tr w:rsidR="00FB616D" w:rsidRPr="007D34B5" w14:paraId="3B58B5BF" w14:textId="77777777" w:rsidTr="005B6BE8">
        <w:tc>
          <w:tcPr>
            <w:tcW w:w="1319" w:type="dxa"/>
          </w:tcPr>
          <w:p w14:paraId="25C35A89"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CCL19</w:t>
            </w:r>
          </w:p>
        </w:tc>
        <w:tc>
          <w:tcPr>
            <w:tcW w:w="3795" w:type="dxa"/>
          </w:tcPr>
          <w:p w14:paraId="5274F064"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CCAACTCTGAGTGGCACCAA</w:t>
            </w:r>
          </w:p>
        </w:tc>
        <w:tc>
          <w:tcPr>
            <w:tcW w:w="3796" w:type="dxa"/>
          </w:tcPr>
          <w:p w14:paraId="6B371620"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TGAACACTACAGCAGGCACC</w:t>
            </w:r>
          </w:p>
        </w:tc>
      </w:tr>
      <w:tr w:rsidR="00FB616D" w:rsidRPr="007D34B5" w14:paraId="64703A16" w14:textId="77777777" w:rsidTr="005B6BE8">
        <w:tc>
          <w:tcPr>
            <w:tcW w:w="1319" w:type="dxa"/>
          </w:tcPr>
          <w:p w14:paraId="55413E6C"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PDHX</w:t>
            </w:r>
          </w:p>
        </w:tc>
        <w:tc>
          <w:tcPr>
            <w:tcW w:w="3795" w:type="dxa"/>
          </w:tcPr>
          <w:p w14:paraId="43048D80"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GCAAATGCCAGATGTTAATG</w:t>
            </w:r>
          </w:p>
        </w:tc>
        <w:tc>
          <w:tcPr>
            <w:tcW w:w="3796" w:type="dxa"/>
          </w:tcPr>
          <w:p w14:paraId="20B5404B"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GCAATTTCCTGGATACCTTTAG</w:t>
            </w:r>
          </w:p>
        </w:tc>
      </w:tr>
      <w:tr w:rsidR="00FB616D" w:rsidRPr="007D34B5" w14:paraId="4BAFADDB" w14:textId="77777777" w:rsidTr="005B6BE8">
        <w:tc>
          <w:tcPr>
            <w:tcW w:w="1319" w:type="dxa"/>
          </w:tcPr>
          <w:p w14:paraId="40714AB7"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UBE4A</w:t>
            </w:r>
          </w:p>
        </w:tc>
        <w:tc>
          <w:tcPr>
            <w:tcW w:w="3795" w:type="dxa"/>
          </w:tcPr>
          <w:p w14:paraId="554C1776"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GAGAATCAAGTCTCTTGCAG</w:t>
            </w:r>
          </w:p>
        </w:tc>
        <w:tc>
          <w:tcPr>
            <w:tcW w:w="3796" w:type="dxa"/>
          </w:tcPr>
          <w:p w14:paraId="632CE08F"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ACTACGGTTAAAGGGATCTG</w:t>
            </w:r>
          </w:p>
        </w:tc>
      </w:tr>
      <w:tr w:rsidR="00FB616D" w:rsidRPr="007D34B5" w14:paraId="7E62B592" w14:textId="77777777" w:rsidTr="005B6BE8">
        <w:tc>
          <w:tcPr>
            <w:tcW w:w="1319" w:type="dxa"/>
          </w:tcPr>
          <w:p w14:paraId="2DAD9795"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IRF9</w:t>
            </w:r>
          </w:p>
        </w:tc>
        <w:tc>
          <w:tcPr>
            <w:tcW w:w="3795" w:type="dxa"/>
          </w:tcPr>
          <w:p w14:paraId="779CED9E"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CTCAGAAAGTACCATCAAAGC</w:t>
            </w:r>
          </w:p>
        </w:tc>
        <w:tc>
          <w:tcPr>
            <w:tcW w:w="3796" w:type="dxa"/>
          </w:tcPr>
          <w:p w14:paraId="5A54B2F8"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TCATTATTGAGGGAGTCCTG</w:t>
            </w:r>
          </w:p>
        </w:tc>
      </w:tr>
      <w:tr w:rsidR="00FB616D" w:rsidRPr="007D34B5" w14:paraId="44554775" w14:textId="77777777" w:rsidTr="005B6BE8">
        <w:tc>
          <w:tcPr>
            <w:tcW w:w="1319" w:type="dxa"/>
            <w:tcBorders>
              <w:bottom w:val="nil"/>
            </w:tcBorders>
          </w:tcPr>
          <w:p w14:paraId="2BDCAE4E"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FXYD6</w:t>
            </w:r>
          </w:p>
        </w:tc>
        <w:tc>
          <w:tcPr>
            <w:tcW w:w="3795" w:type="dxa"/>
            <w:tcBorders>
              <w:bottom w:val="nil"/>
            </w:tcBorders>
          </w:tcPr>
          <w:p w14:paraId="4C17C160"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TATGATTACCAGACCCTGAG</w:t>
            </w:r>
          </w:p>
        </w:tc>
        <w:tc>
          <w:tcPr>
            <w:tcW w:w="3796" w:type="dxa"/>
            <w:tcBorders>
              <w:bottom w:val="nil"/>
            </w:tcBorders>
          </w:tcPr>
          <w:p w14:paraId="46624DF3"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CTGCGACTTAGGATAAGGAG</w:t>
            </w:r>
          </w:p>
        </w:tc>
      </w:tr>
      <w:tr w:rsidR="00FB616D" w:rsidRPr="007D34B5" w14:paraId="4AF65F1C" w14:textId="77777777" w:rsidTr="005B6BE8">
        <w:tc>
          <w:tcPr>
            <w:tcW w:w="1319" w:type="dxa"/>
            <w:tcBorders>
              <w:top w:val="nil"/>
              <w:bottom w:val="single" w:sz="4" w:space="0" w:color="auto"/>
            </w:tcBorders>
          </w:tcPr>
          <w:p w14:paraId="16A327BA" w14:textId="77777777" w:rsidR="00FB616D" w:rsidRPr="007D34B5" w:rsidRDefault="00FB616D" w:rsidP="00275D4F">
            <w:pPr>
              <w:spacing w:line="360" w:lineRule="auto"/>
              <w:rPr>
                <w:rFonts w:ascii="Times New Roman" w:hAnsi="Times New Roman" w:cs="Times New Roman"/>
                <w:i/>
              </w:rPr>
            </w:pPr>
            <w:r w:rsidRPr="007D34B5">
              <w:rPr>
                <w:rFonts w:ascii="Times New Roman" w:hAnsi="Times New Roman" w:cs="Times New Roman"/>
                <w:i/>
              </w:rPr>
              <w:t>GAPDH</w:t>
            </w:r>
          </w:p>
        </w:tc>
        <w:tc>
          <w:tcPr>
            <w:tcW w:w="3795" w:type="dxa"/>
            <w:tcBorders>
              <w:top w:val="nil"/>
              <w:bottom w:val="single" w:sz="4" w:space="0" w:color="auto"/>
            </w:tcBorders>
          </w:tcPr>
          <w:p w14:paraId="0C37C458"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AGCCACATCGCTCAGACAC</w:t>
            </w:r>
          </w:p>
        </w:tc>
        <w:tc>
          <w:tcPr>
            <w:tcW w:w="3796" w:type="dxa"/>
            <w:tcBorders>
              <w:top w:val="nil"/>
              <w:bottom w:val="single" w:sz="4" w:space="0" w:color="auto"/>
            </w:tcBorders>
          </w:tcPr>
          <w:p w14:paraId="5274192B" w14:textId="77777777" w:rsidR="00FB616D" w:rsidRPr="007D34B5" w:rsidRDefault="00FB616D" w:rsidP="00275D4F">
            <w:pPr>
              <w:spacing w:line="360" w:lineRule="auto"/>
              <w:rPr>
                <w:rFonts w:ascii="Times New Roman" w:hAnsi="Times New Roman" w:cs="Times New Roman"/>
              </w:rPr>
            </w:pPr>
            <w:r w:rsidRPr="007D34B5">
              <w:rPr>
                <w:rFonts w:ascii="Times New Roman" w:hAnsi="Times New Roman" w:cs="Times New Roman"/>
              </w:rPr>
              <w:t>GCCCAATACGACCAAATCC</w:t>
            </w:r>
          </w:p>
        </w:tc>
      </w:tr>
    </w:tbl>
    <w:p w14:paraId="6B4C7E08" w14:textId="77777777" w:rsidR="000F3C8B" w:rsidRPr="007D34B5" w:rsidRDefault="000F3C8B" w:rsidP="00D55D03">
      <w:pPr>
        <w:spacing w:line="480" w:lineRule="auto"/>
        <w:rPr>
          <w:rFonts w:ascii="Arial" w:hAnsi="Arial" w:cs="Arial"/>
          <w:b/>
          <w:sz w:val="22"/>
          <w:szCs w:val="22"/>
        </w:rPr>
      </w:pPr>
    </w:p>
    <w:p w14:paraId="611EFE34" w14:textId="77777777" w:rsidR="00C751DA" w:rsidRPr="00C751DA" w:rsidRDefault="00D55D03" w:rsidP="00D55D03">
      <w:pPr>
        <w:spacing w:line="480" w:lineRule="auto"/>
        <w:rPr>
          <w:rFonts w:ascii="Arial" w:hAnsi="Arial" w:cs="Arial"/>
          <w:b/>
          <w:i/>
          <w:sz w:val="22"/>
          <w:szCs w:val="22"/>
        </w:rPr>
      </w:pPr>
      <w:r w:rsidRPr="00C751DA">
        <w:rPr>
          <w:rFonts w:ascii="Arial" w:hAnsi="Arial" w:cs="Arial"/>
          <w:b/>
          <w:i/>
          <w:sz w:val="22"/>
          <w:szCs w:val="22"/>
        </w:rPr>
        <w:t>Cell culture</w:t>
      </w:r>
    </w:p>
    <w:p w14:paraId="2D223C6D" w14:textId="1694380E" w:rsidR="00D55D03" w:rsidRDefault="00D55D03" w:rsidP="00D55D03">
      <w:pPr>
        <w:spacing w:line="480" w:lineRule="auto"/>
        <w:rPr>
          <w:rFonts w:ascii="Arial" w:hAnsi="Arial" w:cs="Arial"/>
          <w:sz w:val="22"/>
          <w:szCs w:val="22"/>
        </w:rPr>
      </w:pPr>
      <w:r w:rsidRPr="007D34B5">
        <w:rPr>
          <w:rFonts w:ascii="Arial" w:hAnsi="Arial" w:cs="Arial"/>
          <w:sz w:val="22"/>
          <w:szCs w:val="22"/>
        </w:rPr>
        <w:t>SKOV3 cells were maintained in media containing 1:1 MCDB 105 (Sigma-Aldrich, St. Louis, MO) and M199 (</w:t>
      </w:r>
      <w:proofErr w:type="spellStart"/>
      <w:r w:rsidRPr="007D34B5">
        <w:rPr>
          <w:rFonts w:ascii="Arial" w:hAnsi="Arial" w:cs="Arial"/>
          <w:sz w:val="22"/>
          <w:szCs w:val="22"/>
        </w:rPr>
        <w:t>Cellgro</w:t>
      </w:r>
      <w:proofErr w:type="spellEnd"/>
      <w:r w:rsidRPr="007D34B5">
        <w:rPr>
          <w:rFonts w:ascii="Arial" w:hAnsi="Arial" w:cs="Arial"/>
          <w:sz w:val="22"/>
          <w:szCs w:val="22"/>
        </w:rPr>
        <w:t xml:space="preserve">, Herndon, VA, USA). OVCAR5 cells were cultured in DMEM, </w:t>
      </w:r>
      <w:r w:rsidR="005C256C" w:rsidRPr="007D34B5">
        <w:rPr>
          <w:rFonts w:ascii="Arial" w:hAnsi="Arial" w:cs="Arial"/>
          <w:sz w:val="22"/>
          <w:szCs w:val="22"/>
        </w:rPr>
        <w:t xml:space="preserve">A2780 and </w:t>
      </w:r>
      <w:r w:rsidRPr="007D34B5">
        <w:rPr>
          <w:rFonts w:ascii="Arial" w:hAnsi="Arial" w:cs="Arial"/>
          <w:sz w:val="22"/>
          <w:szCs w:val="22"/>
        </w:rPr>
        <w:t xml:space="preserve">OVCAR3 in RPMI-1640 (ATCC # 30-2001). Media were supplemented with 10% (20% for RPMI-1640) fetal bovine serum, 100 units/mL penicillin, and 100 </w:t>
      </w:r>
      <w:r w:rsidRPr="007D34B5">
        <w:rPr>
          <w:rFonts w:ascii="Calibri" w:hAnsi="Calibri" w:cs="Calibri"/>
          <w:sz w:val="22"/>
          <w:szCs w:val="22"/>
        </w:rPr>
        <w:t>μ</w:t>
      </w:r>
      <w:r w:rsidRPr="007D34B5">
        <w:rPr>
          <w:rFonts w:ascii="Arial" w:hAnsi="Arial" w:cs="Arial"/>
          <w:sz w:val="22"/>
          <w:szCs w:val="22"/>
        </w:rPr>
        <w:t xml:space="preserve">g/mL streptomycin. </w:t>
      </w:r>
      <w:r w:rsidR="001F1218" w:rsidRPr="00045606">
        <w:rPr>
          <w:rFonts w:ascii="Arial" w:hAnsi="Arial" w:cs="Arial"/>
        </w:rPr>
        <w:t xml:space="preserve">Cisplatin resistant </w:t>
      </w:r>
      <w:r w:rsidR="001F1218">
        <w:rPr>
          <w:rFonts w:ascii="Arial" w:hAnsi="Arial" w:cs="Arial"/>
        </w:rPr>
        <w:t xml:space="preserve">A2780, </w:t>
      </w:r>
      <w:r w:rsidR="001F1218" w:rsidRPr="00045606">
        <w:rPr>
          <w:rFonts w:ascii="Arial" w:hAnsi="Arial" w:cs="Arial"/>
        </w:rPr>
        <w:t xml:space="preserve">SKOV3 and OVCAR5 cells were developed by treating parental cells with increasing </w:t>
      </w:r>
      <w:r w:rsidR="001F1218" w:rsidRPr="00045606">
        <w:rPr>
          <w:rFonts w:ascii="Arial" w:hAnsi="Arial" w:cs="Arial"/>
        </w:rPr>
        <w:lastRenderedPageBreak/>
        <w:t>concentrations of cisplatin. Cells received 3 rounds of cisplatin treatment and were given 3-4 weeks of recovery after each treatment. To estimate IC50 values, cells were exposed to cisplatin for 24 h, cisplatin was removed from the media (wash off), and cell survival was measured 72 h later using a CCK8 kit (</w:t>
      </w:r>
      <w:proofErr w:type="spellStart"/>
      <w:r w:rsidR="001F1218" w:rsidRPr="00045606">
        <w:rPr>
          <w:rFonts w:ascii="Arial" w:hAnsi="Arial" w:cs="Arial"/>
        </w:rPr>
        <w:t>Dojindo</w:t>
      </w:r>
      <w:proofErr w:type="spellEnd"/>
      <w:r w:rsidR="001F1218" w:rsidRPr="00045606">
        <w:rPr>
          <w:rFonts w:ascii="Arial" w:hAnsi="Arial" w:cs="Arial"/>
        </w:rPr>
        <w:t xml:space="preserve"> Molecular Technologies, Rockville MD). The IC50 values for parental and cisplatin-resistant SKOV3 cells were 3.98 µM, and 6.30 µM, A2780 cells were 7.24 µM and 53.85 µM, and for OVCAR5 1.35 µM and 6.94 µM, respectively. </w:t>
      </w:r>
      <w:r w:rsidRPr="007D34B5">
        <w:rPr>
          <w:rFonts w:ascii="Arial" w:hAnsi="Arial" w:cs="Arial"/>
          <w:sz w:val="22"/>
          <w:szCs w:val="22"/>
        </w:rPr>
        <w:t xml:space="preserve">Cells were treated with </w:t>
      </w:r>
      <w:proofErr w:type="spellStart"/>
      <w:r w:rsidR="005C256C" w:rsidRPr="007D34B5">
        <w:rPr>
          <w:rFonts w:ascii="Arial" w:hAnsi="Arial" w:cs="Arial"/>
          <w:sz w:val="22"/>
          <w:szCs w:val="22"/>
        </w:rPr>
        <w:t>gua</w:t>
      </w:r>
      <w:r w:rsidRPr="007D34B5">
        <w:rPr>
          <w:rFonts w:ascii="Arial" w:hAnsi="Arial" w:cs="Arial"/>
          <w:sz w:val="22"/>
          <w:szCs w:val="22"/>
        </w:rPr>
        <w:t>decitabine</w:t>
      </w:r>
      <w:proofErr w:type="spellEnd"/>
      <w:r w:rsidRPr="007D34B5">
        <w:rPr>
          <w:rFonts w:ascii="Arial" w:hAnsi="Arial" w:cs="Arial"/>
          <w:sz w:val="22"/>
          <w:szCs w:val="22"/>
        </w:rPr>
        <w:t xml:space="preserve"> (</w:t>
      </w:r>
      <w:proofErr w:type="spellStart"/>
      <w:r w:rsidR="005C256C" w:rsidRPr="007D34B5">
        <w:rPr>
          <w:rFonts w:ascii="Arial" w:hAnsi="Arial" w:cs="Arial"/>
          <w:sz w:val="22"/>
          <w:szCs w:val="22"/>
        </w:rPr>
        <w:t>Astex</w:t>
      </w:r>
      <w:proofErr w:type="spellEnd"/>
      <w:r w:rsidR="005C256C" w:rsidRPr="007D34B5">
        <w:rPr>
          <w:rFonts w:ascii="Arial" w:hAnsi="Arial" w:cs="Arial"/>
          <w:sz w:val="22"/>
          <w:szCs w:val="22"/>
        </w:rPr>
        <w:t xml:space="preserve"> Pharmaceuticals, Inc.</w:t>
      </w:r>
      <w:r w:rsidRPr="007D34B5">
        <w:rPr>
          <w:rFonts w:ascii="Arial" w:hAnsi="Arial" w:cs="Arial"/>
          <w:sz w:val="22"/>
          <w:szCs w:val="22"/>
        </w:rPr>
        <w:t xml:space="preserve">) </w:t>
      </w:r>
      <w:r w:rsidR="005C256C" w:rsidRPr="007D34B5">
        <w:rPr>
          <w:rFonts w:ascii="Arial" w:hAnsi="Arial" w:cs="Arial"/>
          <w:sz w:val="22"/>
          <w:szCs w:val="22"/>
        </w:rPr>
        <w:t xml:space="preserve">at 100 </w:t>
      </w:r>
      <w:proofErr w:type="spellStart"/>
      <w:r w:rsidR="007D34B5" w:rsidRPr="007D34B5">
        <w:rPr>
          <w:rFonts w:ascii="Arial" w:hAnsi="Arial" w:cs="Arial"/>
          <w:sz w:val="22"/>
          <w:szCs w:val="22"/>
        </w:rPr>
        <w:t>n</w:t>
      </w:r>
      <w:r w:rsidR="005C256C" w:rsidRPr="007D34B5">
        <w:rPr>
          <w:rFonts w:ascii="Arial" w:hAnsi="Arial" w:cs="Arial"/>
          <w:sz w:val="22"/>
          <w:szCs w:val="22"/>
        </w:rPr>
        <w:t>M</w:t>
      </w:r>
      <w:proofErr w:type="spellEnd"/>
      <w:r w:rsidR="005C256C" w:rsidRPr="007D34B5">
        <w:rPr>
          <w:rFonts w:ascii="Arial" w:hAnsi="Arial" w:cs="Arial"/>
          <w:sz w:val="22"/>
          <w:szCs w:val="22"/>
        </w:rPr>
        <w:t xml:space="preserve"> for 3 days before harvest for specific gene expression validation</w:t>
      </w:r>
      <w:r w:rsidRPr="007D34B5">
        <w:rPr>
          <w:rFonts w:ascii="Arial" w:hAnsi="Arial" w:cs="Arial"/>
          <w:sz w:val="22"/>
          <w:szCs w:val="22"/>
        </w:rPr>
        <w:t xml:space="preserve">.   </w:t>
      </w:r>
    </w:p>
    <w:p w14:paraId="3AC504A8" w14:textId="77777777" w:rsidR="001F1218" w:rsidRPr="00045606" w:rsidRDefault="001F1218" w:rsidP="001F1218">
      <w:pPr>
        <w:spacing w:line="480" w:lineRule="auto"/>
        <w:jc w:val="both"/>
        <w:rPr>
          <w:rFonts w:ascii="Arial" w:hAnsi="Arial" w:cs="Arial"/>
          <w:b/>
          <w:i/>
        </w:rPr>
      </w:pPr>
      <w:r w:rsidRPr="00045606">
        <w:rPr>
          <w:rFonts w:ascii="Arial" w:hAnsi="Arial" w:cs="Arial"/>
          <w:b/>
          <w:i/>
        </w:rPr>
        <w:t>DNA and RNA extraction</w:t>
      </w:r>
    </w:p>
    <w:p w14:paraId="335067FD" w14:textId="77777777" w:rsidR="001F1218" w:rsidRPr="00045606" w:rsidRDefault="001F1218" w:rsidP="001F1218">
      <w:pPr>
        <w:spacing w:line="480" w:lineRule="auto"/>
        <w:jc w:val="both"/>
        <w:rPr>
          <w:rFonts w:ascii="Arial" w:hAnsi="Arial" w:cs="Arial"/>
        </w:rPr>
      </w:pPr>
      <w:r w:rsidRPr="00045606">
        <w:rPr>
          <w:rFonts w:ascii="Arial" w:hAnsi="Arial" w:cs="Arial"/>
        </w:rPr>
        <w:t xml:space="preserve">DNA and total RNA were extracted from approximately 25 mg tumor tissue or 5 million cultured cells using </w:t>
      </w:r>
      <w:proofErr w:type="spellStart"/>
      <w:r w:rsidRPr="00045606">
        <w:rPr>
          <w:rFonts w:ascii="Arial" w:hAnsi="Arial" w:cs="Arial"/>
        </w:rPr>
        <w:t>AllPrep</w:t>
      </w:r>
      <w:proofErr w:type="spellEnd"/>
      <w:r w:rsidRPr="00045606">
        <w:rPr>
          <w:rFonts w:ascii="Arial" w:hAnsi="Arial" w:cs="Arial"/>
        </w:rPr>
        <w:t xml:space="preserve"> DNA/RNA/Protein Mini kit (</w:t>
      </w:r>
      <w:proofErr w:type="spellStart"/>
      <w:r w:rsidRPr="00045606">
        <w:rPr>
          <w:rFonts w:ascii="Arial" w:hAnsi="Arial" w:cs="Arial"/>
        </w:rPr>
        <w:t>Qiagen</w:t>
      </w:r>
      <w:proofErr w:type="spellEnd"/>
      <w:r w:rsidRPr="00045606">
        <w:rPr>
          <w:rFonts w:ascii="Arial" w:hAnsi="Arial" w:cs="Arial"/>
        </w:rPr>
        <w:t xml:space="preserve">, Valencia CA). Alternatively, DNA was extracted using a </w:t>
      </w:r>
      <w:proofErr w:type="spellStart"/>
      <w:r w:rsidRPr="00045606">
        <w:rPr>
          <w:rFonts w:ascii="Arial" w:hAnsi="Arial" w:cs="Arial"/>
        </w:rPr>
        <w:t>QIAamp</w:t>
      </w:r>
      <w:proofErr w:type="spellEnd"/>
      <w:r w:rsidRPr="00045606">
        <w:rPr>
          <w:rFonts w:ascii="Arial" w:hAnsi="Arial" w:cs="Arial"/>
        </w:rPr>
        <w:t xml:space="preserve"> DNA Mini kit (</w:t>
      </w:r>
      <w:proofErr w:type="spellStart"/>
      <w:r w:rsidRPr="00045606">
        <w:rPr>
          <w:rFonts w:ascii="Arial" w:hAnsi="Arial" w:cs="Arial"/>
        </w:rPr>
        <w:t>Qiagen</w:t>
      </w:r>
      <w:proofErr w:type="spellEnd"/>
      <w:r w:rsidRPr="00045606">
        <w:rPr>
          <w:rFonts w:ascii="Arial" w:hAnsi="Arial" w:cs="Arial"/>
        </w:rPr>
        <w:t xml:space="preserve">) and total RNA with </w:t>
      </w:r>
      <w:proofErr w:type="spellStart"/>
      <w:r w:rsidRPr="00045606">
        <w:rPr>
          <w:rFonts w:ascii="Arial" w:hAnsi="Arial" w:cs="Arial"/>
        </w:rPr>
        <w:t>TriReagent</w:t>
      </w:r>
      <w:proofErr w:type="spellEnd"/>
      <w:r w:rsidRPr="00045606">
        <w:rPr>
          <w:rFonts w:ascii="Arial" w:hAnsi="Arial" w:cs="Arial"/>
        </w:rPr>
        <w:t xml:space="preserve"> (Sigma-Aldrich) in some experiments. The procedures employed followed the manufacturers’ instructions. DNA and RNA concentrations were determined by using the absorbance at 260 nm, and purity was assessed based on the 260/280 nm absorbance ratio.</w:t>
      </w:r>
    </w:p>
    <w:p w14:paraId="23FC162C" w14:textId="77777777" w:rsidR="00940EF2" w:rsidRPr="007D34B5" w:rsidRDefault="00940EF2" w:rsidP="005C46BF">
      <w:pPr>
        <w:rPr>
          <w:rFonts w:ascii="Arial" w:eastAsia="SimSun" w:hAnsi="Arial" w:cs="Arial"/>
          <w:sz w:val="22"/>
          <w:szCs w:val="22"/>
          <w:lang w:eastAsia="zh-CN"/>
        </w:rPr>
      </w:pPr>
    </w:p>
    <w:p w14:paraId="1CD8DB35" w14:textId="77777777" w:rsidR="005B6BE8" w:rsidRDefault="005B6BE8" w:rsidP="00940EF2">
      <w:pPr>
        <w:spacing w:line="480" w:lineRule="auto"/>
        <w:rPr>
          <w:rFonts w:ascii="Arial" w:eastAsia="SimSun" w:hAnsi="Arial" w:cs="Arial"/>
          <w:sz w:val="22"/>
          <w:szCs w:val="22"/>
          <w:lang w:eastAsia="zh-CN"/>
        </w:rPr>
      </w:pPr>
    </w:p>
    <w:p w14:paraId="35E89271" w14:textId="1C171826" w:rsidR="005C46BF" w:rsidRPr="00003E67" w:rsidRDefault="00003E67" w:rsidP="00940EF2">
      <w:pPr>
        <w:spacing w:line="480" w:lineRule="auto"/>
        <w:rPr>
          <w:rFonts w:ascii="Arial" w:hAnsi="Arial" w:cs="Arial"/>
          <w:b/>
          <w:sz w:val="22"/>
          <w:szCs w:val="22"/>
        </w:rPr>
      </w:pPr>
      <w:r w:rsidRPr="00003E67">
        <w:rPr>
          <w:rFonts w:ascii="Arial" w:eastAsia="SimSun" w:hAnsi="Arial" w:cs="Arial"/>
          <w:b/>
          <w:sz w:val="22"/>
          <w:szCs w:val="22"/>
          <w:lang w:eastAsia="zh-CN"/>
        </w:rPr>
        <w:t>Figure legends</w:t>
      </w:r>
      <w:r w:rsidR="005C46BF" w:rsidRPr="00003E67">
        <w:rPr>
          <w:rFonts w:ascii="Arial" w:eastAsia="DengXian" w:hAnsi="Arial" w:cs="Arial"/>
          <w:b/>
          <w:noProof/>
          <w:kern w:val="2"/>
          <w:sz w:val="22"/>
          <w:szCs w:val="22"/>
          <w:lang w:eastAsia="zh-CN"/>
        </w:rPr>
        <w:fldChar w:fldCharType="begin"/>
      </w:r>
      <w:r w:rsidR="005C46BF" w:rsidRPr="00003E67">
        <w:rPr>
          <w:rFonts w:ascii="Arial" w:hAnsi="Arial" w:cs="Arial"/>
          <w:b/>
          <w:sz w:val="22"/>
          <w:szCs w:val="22"/>
        </w:rPr>
        <w:instrText xml:space="preserve"> ADDIN EN.REFLIST </w:instrText>
      </w:r>
      <w:r w:rsidR="005C46BF" w:rsidRPr="00003E67">
        <w:rPr>
          <w:rFonts w:ascii="Arial" w:eastAsia="DengXian" w:hAnsi="Arial" w:cs="Arial"/>
          <w:b/>
          <w:noProof/>
          <w:kern w:val="2"/>
          <w:sz w:val="22"/>
          <w:szCs w:val="22"/>
          <w:lang w:eastAsia="zh-CN"/>
        </w:rPr>
        <w:fldChar w:fldCharType="end"/>
      </w:r>
    </w:p>
    <w:p w14:paraId="3646D13F" w14:textId="56923545" w:rsidR="005C46BF" w:rsidRPr="007D34B5" w:rsidRDefault="00940EF2" w:rsidP="00D55D03">
      <w:pPr>
        <w:spacing w:line="480" w:lineRule="auto"/>
        <w:rPr>
          <w:rFonts w:ascii="Arial" w:hAnsi="Arial" w:cs="Arial"/>
          <w:sz w:val="22"/>
          <w:szCs w:val="22"/>
        </w:rPr>
      </w:pPr>
      <w:r w:rsidRPr="007D34B5">
        <w:rPr>
          <w:rFonts w:ascii="Arial" w:hAnsi="Arial" w:cs="Arial"/>
          <w:b/>
          <w:sz w:val="22"/>
          <w:szCs w:val="22"/>
        </w:rPr>
        <w:t xml:space="preserve">Figure </w:t>
      </w:r>
      <w:r w:rsidR="00A3151D" w:rsidRPr="007D34B5">
        <w:rPr>
          <w:rFonts w:ascii="Arial" w:hAnsi="Arial" w:cs="Arial"/>
          <w:b/>
          <w:sz w:val="22"/>
          <w:szCs w:val="22"/>
        </w:rPr>
        <w:t>S</w:t>
      </w:r>
      <w:r w:rsidRPr="007D34B5">
        <w:rPr>
          <w:rFonts w:ascii="Arial" w:hAnsi="Arial" w:cs="Arial"/>
          <w:b/>
          <w:sz w:val="22"/>
          <w:szCs w:val="22"/>
        </w:rPr>
        <w:t>1.</w:t>
      </w:r>
      <w:r w:rsidRPr="007D34B5">
        <w:rPr>
          <w:rFonts w:ascii="Arial" w:hAnsi="Arial" w:cs="Arial"/>
          <w:sz w:val="22"/>
          <w:szCs w:val="22"/>
        </w:rPr>
        <w:t xml:space="preserve"> (</w:t>
      </w:r>
      <w:r w:rsidR="008E7685">
        <w:rPr>
          <w:rFonts w:ascii="Arial" w:hAnsi="Arial" w:cs="Arial"/>
          <w:sz w:val="22"/>
          <w:szCs w:val="22"/>
        </w:rPr>
        <w:t>a</w:t>
      </w:r>
      <w:r w:rsidRPr="007D34B5">
        <w:rPr>
          <w:rFonts w:ascii="Arial" w:hAnsi="Arial" w:cs="Arial"/>
          <w:sz w:val="22"/>
          <w:szCs w:val="22"/>
        </w:rPr>
        <w:t>)  Treatment administration schema and timing of tumor biopsies. (</w:t>
      </w:r>
      <w:r w:rsidR="008E7685">
        <w:rPr>
          <w:rFonts w:ascii="Arial" w:hAnsi="Arial" w:cs="Arial"/>
          <w:sz w:val="22"/>
          <w:szCs w:val="22"/>
        </w:rPr>
        <w:t>b</w:t>
      </w:r>
      <w:r w:rsidRPr="007D34B5">
        <w:rPr>
          <w:rFonts w:ascii="Arial" w:hAnsi="Arial" w:cs="Arial"/>
          <w:sz w:val="22"/>
          <w:szCs w:val="22"/>
        </w:rPr>
        <w:t>) A flow chart of data analysis and sample comparisons</w:t>
      </w:r>
      <w:r w:rsidR="00615602" w:rsidRPr="007D34B5">
        <w:rPr>
          <w:rFonts w:ascii="Arial" w:hAnsi="Arial" w:cs="Arial"/>
          <w:sz w:val="22"/>
          <w:szCs w:val="22"/>
        </w:rPr>
        <w:t>.</w:t>
      </w:r>
    </w:p>
    <w:p w14:paraId="1CAF1152" w14:textId="5D7D2AB0" w:rsidR="00615602" w:rsidRPr="007D34B5" w:rsidRDefault="00615602" w:rsidP="00615602">
      <w:pPr>
        <w:spacing w:line="480" w:lineRule="auto"/>
        <w:rPr>
          <w:rFonts w:ascii="Arial" w:hAnsi="Arial" w:cs="Arial"/>
          <w:sz w:val="22"/>
          <w:szCs w:val="22"/>
        </w:rPr>
      </w:pPr>
      <w:r w:rsidRPr="007D34B5">
        <w:rPr>
          <w:rFonts w:ascii="Arial" w:hAnsi="Arial" w:cs="Arial"/>
          <w:b/>
          <w:sz w:val="22"/>
          <w:szCs w:val="22"/>
        </w:rPr>
        <w:t>Figure S2</w:t>
      </w:r>
      <w:r w:rsidRPr="007D34B5">
        <w:rPr>
          <w:rFonts w:ascii="Arial" w:hAnsi="Arial" w:cs="Arial"/>
          <w:sz w:val="22"/>
          <w:szCs w:val="22"/>
        </w:rPr>
        <w:t>. (</w:t>
      </w:r>
      <w:r w:rsidR="008E7685">
        <w:rPr>
          <w:rFonts w:ascii="Arial" w:hAnsi="Arial" w:cs="Arial"/>
          <w:sz w:val="22"/>
          <w:szCs w:val="22"/>
        </w:rPr>
        <w:t>a</w:t>
      </w:r>
      <w:r w:rsidRPr="007D34B5">
        <w:rPr>
          <w:rFonts w:ascii="Arial" w:hAnsi="Arial" w:cs="Arial"/>
          <w:sz w:val="22"/>
          <w:szCs w:val="22"/>
        </w:rPr>
        <w:t>) Pathways and (</w:t>
      </w:r>
      <w:r w:rsidR="008E7685">
        <w:rPr>
          <w:rFonts w:ascii="Arial" w:hAnsi="Arial" w:cs="Arial"/>
          <w:sz w:val="22"/>
          <w:szCs w:val="22"/>
        </w:rPr>
        <w:t>b</w:t>
      </w:r>
      <w:r w:rsidRPr="007D34B5">
        <w:rPr>
          <w:rFonts w:ascii="Arial" w:hAnsi="Arial" w:cs="Arial"/>
          <w:sz w:val="22"/>
          <w:szCs w:val="22"/>
        </w:rPr>
        <w:t>) networks</w:t>
      </w:r>
      <w:r w:rsidR="00933870" w:rsidRPr="007D34B5">
        <w:rPr>
          <w:rFonts w:ascii="Arial" w:hAnsi="Arial" w:cs="Arial"/>
          <w:sz w:val="22"/>
          <w:szCs w:val="22"/>
        </w:rPr>
        <w:t xml:space="preserve"> (red molecules represent </w:t>
      </w:r>
      <w:proofErr w:type="spellStart"/>
      <w:r w:rsidR="00933870" w:rsidRPr="007D34B5">
        <w:rPr>
          <w:rFonts w:ascii="Arial" w:hAnsi="Arial" w:cs="Arial"/>
          <w:sz w:val="22"/>
          <w:szCs w:val="22"/>
        </w:rPr>
        <w:t>hypermethylated</w:t>
      </w:r>
      <w:proofErr w:type="spellEnd"/>
      <w:r w:rsidR="00933870" w:rsidRPr="007D34B5">
        <w:rPr>
          <w:rFonts w:ascii="Arial" w:hAnsi="Arial" w:cs="Arial"/>
          <w:sz w:val="22"/>
          <w:szCs w:val="22"/>
        </w:rPr>
        <w:t xml:space="preserve">, while the green molecules represent </w:t>
      </w:r>
      <w:proofErr w:type="spellStart"/>
      <w:r w:rsidR="00933870" w:rsidRPr="007D34B5">
        <w:rPr>
          <w:rFonts w:ascii="Arial" w:hAnsi="Arial" w:cs="Arial"/>
          <w:sz w:val="22"/>
          <w:szCs w:val="22"/>
        </w:rPr>
        <w:t>hypomethylated</w:t>
      </w:r>
      <w:proofErr w:type="spellEnd"/>
      <w:r w:rsidR="00933870" w:rsidRPr="007D34B5">
        <w:rPr>
          <w:rFonts w:ascii="Arial" w:hAnsi="Arial" w:cs="Arial"/>
          <w:sz w:val="22"/>
          <w:szCs w:val="22"/>
        </w:rPr>
        <w:t>)</w:t>
      </w:r>
      <w:r w:rsidR="007D34B5">
        <w:rPr>
          <w:rFonts w:ascii="Arial" w:hAnsi="Arial" w:cs="Arial"/>
          <w:sz w:val="22"/>
          <w:szCs w:val="22"/>
        </w:rPr>
        <w:t xml:space="preserve"> </w:t>
      </w:r>
      <w:r w:rsidRPr="007D34B5">
        <w:rPr>
          <w:rFonts w:ascii="Arial" w:hAnsi="Arial" w:cs="Arial"/>
          <w:sz w:val="22"/>
          <w:szCs w:val="22"/>
        </w:rPr>
        <w:t xml:space="preserve">enriched/altered by differentially </w:t>
      </w:r>
      <w:r w:rsidRPr="007D34B5">
        <w:rPr>
          <w:rFonts w:ascii="Arial" w:hAnsi="Arial" w:cs="Arial"/>
          <w:sz w:val="22"/>
          <w:szCs w:val="22"/>
        </w:rPr>
        <w:lastRenderedPageBreak/>
        <w:t>methylated genes (</w:t>
      </w:r>
      <w:proofErr w:type="spellStart"/>
      <w:r w:rsidRPr="007D34B5">
        <w:rPr>
          <w:rFonts w:ascii="Arial" w:hAnsi="Arial" w:cs="Arial"/>
          <w:i/>
          <w:sz w:val="22"/>
          <w:szCs w:val="22"/>
        </w:rPr>
        <w:t>P</w:t>
      </w:r>
      <w:r w:rsidRPr="007D34B5">
        <w:rPr>
          <w:rFonts w:ascii="Arial" w:hAnsi="Arial" w:cs="Arial"/>
          <w:sz w:val="22"/>
          <w:szCs w:val="22"/>
          <w:vertAlign w:val="subscript"/>
        </w:rPr>
        <w:t>adj</w:t>
      </w:r>
      <w:proofErr w:type="spellEnd"/>
      <w:r w:rsidR="00526BB0">
        <w:rPr>
          <w:rFonts w:ascii="Arial" w:hAnsi="Arial" w:cs="Arial"/>
          <w:sz w:val="22"/>
          <w:szCs w:val="22"/>
        </w:rPr>
        <w:t>&lt;0.05, |Δβ|&gt;0.1</w:t>
      </w:r>
      <w:r w:rsidRPr="007D34B5">
        <w:rPr>
          <w:rFonts w:ascii="Arial" w:hAnsi="Arial" w:cs="Arial"/>
          <w:sz w:val="22"/>
          <w:szCs w:val="22"/>
        </w:rPr>
        <w:t xml:space="preserve">) between primary </w:t>
      </w:r>
      <w:r w:rsidR="00F34236">
        <w:rPr>
          <w:rFonts w:ascii="Arial" w:hAnsi="Arial" w:cs="Arial"/>
          <w:sz w:val="22"/>
          <w:szCs w:val="22"/>
        </w:rPr>
        <w:t>OC</w:t>
      </w:r>
      <w:r w:rsidR="00C55FB9" w:rsidRPr="007D34B5">
        <w:rPr>
          <w:rFonts w:ascii="Arial" w:hAnsi="Arial" w:cs="Arial"/>
          <w:sz w:val="22"/>
          <w:szCs w:val="22"/>
        </w:rPr>
        <w:t xml:space="preserve"> and human ovarian surface epithelia cells</w:t>
      </w:r>
      <w:r w:rsidR="00F34236">
        <w:rPr>
          <w:rFonts w:ascii="Arial" w:hAnsi="Arial" w:cs="Arial"/>
          <w:sz w:val="22"/>
          <w:szCs w:val="22"/>
        </w:rPr>
        <w:t xml:space="preserve"> (HOSE)</w:t>
      </w:r>
      <w:r w:rsidRPr="007D34B5">
        <w:rPr>
          <w:rFonts w:ascii="Arial" w:hAnsi="Arial" w:cs="Arial"/>
          <w:sz w:val="22"/>
          <w:szCs w:val="22"/>
        </w:rPr>
        <w:t xml:space="preserve">. </w:t>
      </w:r>
    </w:p>
    <w:p w14:paraId="03383B47" w14:textId="1810C2C7" w:rsidR="00615602" w:rsidRPr="00F34236" w:rsidRDefault="00615602" w:rsidP="00615602">
      <w:pPr>
        <w:spacing w:line="480" w:lineRule="auto"/>
        <w:rPr>
          <w:rFonts w:ascii="Arial" w:hAnsi="Arial" w:cs="Arial"/>
          <w:i/>
          <w:sz w:val="22"/>
          <w:szCs w:val="22"/>
        </w:rPr>
      </w:pPr>
      <w:r w:rsidRPr="00F34236">
        <w:rPr>
          <w:rFonts w:ascii="Arial" w:hAnsi="Arial" w:cs="Arial" w:hint="eastAsia"/>
          <w:i/>
          <w:sz w:val="22"/>
          <w:szCs w:val="22"/>
        </w:rPr>
        <w:t>(</w:t>
      </w:r>
      <w:r w:rsidRPr="00F34236">
        <w:rPr>
          <w:rFonts w:ascii="Arial" w:hAnsi="Arial" w:cs="Arial"/>
          <w:i/>
          <w:sz w:val="22"/>
          <w:szCs w:val="22"/>
        </w:rPr>
        <w:t>Related data Supplementary Table 1. Differentially methylated gene list between primary OC and HOSE</w:t>
      </w:r>
      <w:r w:rsidRPr="00F34236">
        <w:rPr>
          <w:rFonts w:ascii="Arial" w:hAnsi="Arial" w:cs="Arial" w:hint="eastAsia"/>
          <w:i/>
          <w:sz w:val="22"/>
          <w:szCs w:val="22"/>
        </w:rPr>
        <w:t>)</w:t>
      </w:r>
    </w:p>
    <w:p w14:paraId="1F46C705" w14:textId="147A9506" w:rsidR="00615602" w:rsidRPr="007D34B5" w:rsidRDefault="00615602" w:rsidP="00615602">
      <w:pPr>
        <w:spacing w:line="480" w:lineRule="auto"/>
        <w:rPr>
          <w:rFonts w:ascii="Arial" w:hAnsi="Arial" w:cs="Arial"/>
          <w:sz w:val="22"/>
          <w:szCs w:val="22"/>
        </w:rPr>
      </w:pPr>
      <w:r w:rsidRPr="007D34B5">
        <w:rPr>
          <w:rFonts w:ascii="Arial" w:hAnsi="Arial" w:cs="Arial"/>
          <w:b/>
          <w:sz w:val="22"/>
          <w:szCs w:val="22"/>
        </w:rPr>
        <w:t>Figure S3</w:t>
      </w:r>
      <w:r w:rsidRPr="007D34B5">
        <w:rPr>
          <w:rFonts w:ascii="Arial" w:hAnsi="Arial" w:cs="Arial"/>
          <w:sz w:val="22"/>
          <w:szCs w:val="22"/>
        </w:rPr>
        <w:t>. (</w:t>
      </w:r>
      <w:r w:rsidR="008E7685">
        <w:rPr>
          <w:rFonts w:ascii="Arial" w:hAnsi="Arial" w:cs="Arial"/>
          <w:sz w:val="22"/>
          <w:szCs w:val="22"/>
        </w:rPr>
        <w:t>a</w:t>
      </w:r>
      <w:r w:rsidRPr="007D34B5">
        <w:rPr>
          <w:rFonts w:ascii="Arial" w:hAnsi="Arial" w:cs="Arial"/>
          <w:sz w:val="22"/>
          <w:szCs w:val="22"/>
        </w:rPr>
        <w:t>) Pathways and (</w:t>
      </w:r>
      <w:r w:rsidR="008E7685">
        <w:rPr>
          <w:rFonts w:ascii="Arial" w:hAnsi="Arial" w:cs="Arial"/>
          <w:sz w:val="22"/>
          <w:szCs w:val="22"/>
        </w:rPr>
        <w:t>b</w:t>
      </w:r>
      <w:r w:rsidRPr="007D34B5">
        <w:rPr>
          <w:rFonts w:ascii="Arial" w:hAnsi="Arial" w:cs="Arial"/>
          <w:sz w:val="22"/>
          <w:szCs w:val="22"/>
        </w:rPr>
        <w:t>) networks</w:t>
      </w:r>
      <w:r w:rsidR="00933870" w:rsidRPr="007D34B5">
        <w:rPr>
          <w:rFonts w:ascii="Arial" w:hAnsi="Arial" w:cs="Arial"/>
          <w:sz w:val="22"/>
          <w:szCs w:val="22"/>
        </w:rPr>
        <w:t xml:space="preserve"> (red molecules represent </w:t>
      </w:r>
      <w:proofErr w:type="spellStart"/>
      <w:r w:rsidR="00933870" w:rsidRPr="007D34B5">
        <w:rPr>
          <w:rFonts w:ascii="Arial" w:hAnsi="Arial" w:cs="Arial"/>
          <w:sz w:val="22"/>
          <w:szCs w:val="22"/>
        </w:rPr>
        <w:t>hypermethylated</w:t>
      </w:r>
      <w:proofErr w:type="spellEnd"/>
      <w:r w:rsidR="00933870" w:rsidRPr="007D34B5">
        <w:rPr>
          <w:rFonts w:ascii="Arial" w:hAnsi="Arial" w:cs="Arial"/>
          <w:sz w:val="22"/>
          <w:szCs w:val="22"/>
        </w:rPr>
        <w:t xml:space="preserve">, while the green molecules represent </w:t>
      </w:r>
      <w:proofErr w:type="spellStart"/>
      <w:r w:rsidR="00933870" w:rsidRPr="007D34B5">
        <w:rPr>
          <w:rFonts w:ascii="Arial" w:hAnsi="Arial" w:cs="Arial"/>
          <w:sz w:val="22"/>
          <w:szCs w:val="22"/>
        </w:rPr>
        <w:t>hypomethylated</w:t>
      </w:r>
      <w:proofErr w:type="spellEnd"/>
      <w:r w:rsidR="00933870" w:rsidRPr="007D34B5">
        <w:rPr>
          <w:rFonts w:ascii="Arial" w:hAnsi="Arial" w:cs="Arial"/>
          <w:sz w:val="22"/>
          <w:szCs w:val="22"/>
        </w:rPr>
        <w:t>)</w:t>
      </w:r>
      <w:r w:rsidRPr="007D34B5">
        <w:rPr>
          <w:rFonts w:ascii="Arial" w:hAnsi="Arial" w:cs="Arial"/>
          <w:sz w:val="22"/>
          <w:szCs w:val="22"/>
        </w:rPr>
        <w:t xml:space="preserve"> enriched by differentially methylated genes (</w:t>
      </w:r>
      <w:proofErr w:type="spellStart"/>
      <w:r w:rsidRPr="007D34B5">
        <w:rPr>
          <w:rFonts w:ascii="Arial" w:hAnsi="Arial" w:cs="Arial"/>
          <w:i/>
          <w:sz w:val="22"/>
          <w:szCs w:val="22"/>
        </w:rPr>
        <w:t>P</w:t>
      </w:r>
      <w:r w:rsidRPr="007D34B5">
        <w:rPr>
          <w:rFonts w:ascii="Arial" w:hAnsi="Arial" w:cs="Arial"/>
          <w:sz w:val="22"/>
          <w:szCs w:val="22"/>
          <w:vertAlign w:val="subscript"/>
        </w:rPr>
        <w:t>adj</w:t>
      </w:r>
      <w:proofErr w:type="spellEnd"/>
      <w:r w:rsidRPr="007D34B5">
        <w:rPr>
          <w:rFonts w:ascii="Arial" w:hAnsi="Arial" w:cs="Arial"/>
          <w:sz w:val="22"/>
          <w:szCs w:val="22"/>
        </w:rPr>
        <w:t>&lt;0.05, |Δβ|&gt;</w:t>
      </w:r>
      <w:r w:rsidR="00526BB0">
        <w:rPr>
          <w:rFonts w:ascii="Arial" w:hAnsi="Arial" w:cs="Arial"/>
          <w:sz w:val="22"/>
          <w:szCs w:val="22"/>
        </w:rPr>
        <w:t>0.1</w:t>
      </w:r>
      <w:r w:rsidRPr="007D34B5">
        <w:rPr>
          <w:rFonts w:ascii="Arial" w:hAnsi="Arial" w:cs="Arial"/>
          <w:sz w:val="22"/>
          <w:szCs w:val="22"/>
        </w:rPr>
        <w:t xml:space="preserve">) between recurrent </w:t>
      </w:r>
      <w:r w:rsidR="00F34236">
        <w:rPr>
          <w:rFonts w:ascii="Arial" w:hAnsi="Arial" w:cs="Arial"/>
          <w:sz w:val="22"/>
          <w:szCs w:val="22"/>
        </w:rPr>
        <w:t>OC</w:t>
      </w:r>
      <w:r w:rsidR="00C55FB9" w:rsidRPr="007D34B5">
        <w:rPr>
          <w:rFonts w:ascii="Arial" w:hAnsi="Arial" w:cs="Arial"/>
          <w:sz w:val="22"/>
          <w:szCs w:val="22"/>
        </w:rPr>
        <w:t xml:space="preserve"> and human ovarian surface epithelia cells</w:t>
      </w:r>
      <w:r w:rsidR="00F34236">
        <w:rPr>
          <w:rFonts w:ascii="Arial" w:hAnsi="Arial" w:cs="Arial"/>
          <w:sz w:val="22"/>
          <w:szCs w:val="22"/>
        </w:rPr>
        <w:t xml:space="preserve"> (HOSE)</w:t>
      </w:r>
      <w:r w:rsidRPr="007D34B5">
        <w:rPr>
          <w:rFonts w:ascii="Arial" w:hAnsi="Arial" w:cs="Arial"/>
          <w:sz w:val="22"/>
          <w:szCs w:val="22"/>
        </w:rPr>
        <w:t>.</w:t>
      </w:r>
    </w:p>
    <w:p w14:paraId="794DD572" w14:textId="6602E4CF" w:rsidR="00615602" w:rsidRPr="00F34236" w:rsidRDefault="00615602" w:rsidP="00615602">
      <w:pPr>
        <w:spacing w:line="480" w:lineRule="auto"/>
        <w:rPr>
          <w:rFonts w:ascii="Arial" w:hAnsi="Arial" w:cs="Arial"/>
          <w:i/>
          <w:sz w:val="22"/>
          <w:szCs w:val="22"/>
        </w:rPr>
      </w:pPr>
      <w:r w:rsidRPr="00F34236">
        <w:rPr>
          <w:rFonts w:ascii="Arial" w:hAnsi="Arial" w:cs="Arial" w:hint="eastAsia"/>
          <w:i/>
          <w:sz w:val="22"/>
          <w:szCs w:val="22"/>
        </w:rPr>
        <w:t>(</w:t>
      </w:r>
      <w:r w:rsidRPr="00F34236">
        <w:rPr>
          <w:rFonts w:ascii="Arial" w:hAnsi="Arial" w:cs="Arial"/>
          <w:i/>
          <w:sz w:val="22"/>
          <w:szCs w:val="22"/>
        </w:rPr>
        <w:t>Related data Supplementary Table 2. Differentially methylated gene list between platinum resistant OC and HOSE</w:t>
      </w:r>
      <w:r w:rsidRPr="00F34236">
        <w:rPr>
          <w:rFonts w:ascii="Arial" w:hAnsi="Arial" w:cs="Arial" w:hint="eastAsia"/>
          <w:i/>
          <w:sz w:val="22"/>
          <w:szCs w:val="22"/>
        </w:rPr>
        <w:t>)</w:t>
      </w:r>
    </w:p>
    <w:p w14:paraId="3A0263F6" w14:textId="2C1F7641" w:rsidR="00615602" w:rsidRPr="007D34B5" w:rsidRDefault="00615602" w:rsidP="00615602">
      <w:pPr>
        <w:spacing w:line="480" w:lineRule="auto"/>
        <w:rPr>
          <w:rFonts w:ascii="Arial" w:hAnsi="Arial" w:cs="Arial"/>
          <w:sz w:val="22"/>
          <w:szCs w:val="22"/>
        </w:rPr>
      </w:pPr>
      <w:r w:rsidRPr="007D34B5">
        <w:rPr>
          <w:rFonts w:ascii="Arial" w:hAnsi="Arial" w:cs="Arial"/>
          <w:b/>
          <w:sz w:val="22"/>
          <w:szCs w:val="22"/>
        </w:rPr>
        <w:t>Figure S4</w:t>
      </w:r>
      <w:r w:rsidRPr="007D34B5">
        <w:rPr>
          <w:rFonts w:ascii="Arial" w:hAnsi="Arial" w:cs="Arial"/>
          <w:sz w:val="22"/>
          <w:szCs w:val="22"/>
        </w:rPr>
        <w:t>. (</w:t>
      </w:r>
      <w:r w:rsidR="008E7685">
        <w:rPr>
          <w:rFonts w:ascii="Arial" w:hAnsi="Arial" w:cs="Arial"/>
          <w:sz w:val="22"/>
          <w:szCs w:val="22"/>
        </w:rPr>
        <w:t>a</w:t>
      </w:r>
      <w:r w:rsidRPr="007D34B5">
        <w:rPr>
          <w:rFonts w:ascii="Arial" w:hAnsi="Arial" w:cs="Arial"/>
          <w:sz w:val="22"/>
          <w:szCs w:val="22"/>
        </w:rPr>
        <w:t xml:space="preserve">) Pathways and </w:t>
      </w:r>
      <w:r w:rsidRPr="007D34B5">
        <w:rPr>
          <w:rFonts w:ascii="Arial" w:hAnsi="Arial" w:cs="Arial" w:hint="eastAsia"/>
          <w:sz w:val="22"/>
          <w:szCs w:val="22"/>
        </w:rPr>
        <w:t>(</w:t>
      </w:r>
      <w:r w:rsidR="008E7685">
        <w:rPr>
          <w:rFonts w:ascii="Arial" w:hAnsi="Arial" w:cs="Arial"/>
          <w:sz w:val="22"/>
          <w:szCs w:val="22"/>
        </w:rPr>
        <w:t>b</w:t>
      </w:r>
      <w:r w:rsidRPr="007D34B5">
        <w:rPr>
          <w:rFonts w:ascii="Arial" w:hAnsi="Arial" w:cs="Arial"/>
          <w:sz w:val="22"/>
          <w:szCs w:val="22"/>
        </w:rPr>
        <w:t>) networks</w:t>
      </w:r>
      <w:r w:rsidR="00933870" w:rsidRPr="007D34B5">
        <w:rPr>
          <w:rFonts w:ascii="Arial" w:hAnsi="Arial" w:cs="Arial"/>
          <w:sz w:val="22"/>
          <w:szCs w:val="22"/>
        </w:rPr>
        <w:t xml:space="preserve"> (red molecules represent </w:t>
      </w:r>
      <w:proofErr w:type="spellStart"/>
      <w:r w:rsidR="00933870" w:rsidRPr="007D34B5">
        <w:rPr>
          <w:rFonts w:ascii="Arial" w:hAnsi="Arial" w:cs="Arial"/>
          <w:sz w:val="22"/>
          <w:szCs w:val="22"/>
        </w:rPr>
        <w:t>hypermethylated</w:t>
      </w:r>
      <w:proofErr w:type="spellEnd"/>
      <w:r w:rsidR="00933870" w:rsidRPr="007D34B5">
        <w:rPr>
          <w:rFonts w:ascii="Arial" w:hAnsi="Arial" w:cs="Arial"/>
          <w:sz w:val="22"/>
          <w:szCs w:val="22"/>
        </w:rPr>
        <w:t xml:space="preserve">, while the green molecules represent </w:t>
      </w:r>
      <w:proofErr w:type="spellStart"/>
      <w:r w:rsidR="00933870" w:rsidRPr="007D34B5">
        <w:rPr>
          <w:rFonts w:ascii="Arial" w:hAnsi="Arial" w:cs="Arial"/>
          <w:sz w:val="22"/>
          <w:szCs w:val="22"/>
        </w:rPr>
        <w:t>hypomethylated</w:t>
      </w:r>
      <w:proofErr w:type="spellEnd"/>
      <w:r w:rsidR="00933870" w:rsidRPr="007D34B5">
        <w:rPr>
          <w:rFonts w:ascii="Arial" w:hAnsi="Arial" w:cs="Arial"/>
          <w:sz w:val="22"/>
          <w:szCs w:val="22"/>
        </w:rPr>
        <w:t xml:space="preserve">) </w:t>
      </w:r>
      <w:r w:rsidRPr="007D34B5">
        <w:rPr>
          <w:rFonts w:ascii="Arial" w:hAnsi="Arial" w:cs="Arial"/>
          <w:sz w:val="22"/>
          <w:szCs w:val="22"/>
        </w:rPr>
        <w:t>enriched by differentially methylated genes (</w:t>
      </w:r>
      <w:proofErr w:type="spellStart"/>
      <w:r w:rsidRPr="007D34B5">
        <w:rPr>
          <w:rFonts w:ascii="Arial" w:hAnsi="Arial" w:cs="Arial"/>
          <w:i/>
          <w:sz w:val="22"/>
          <w:szCs w:val="22"/>
        </w:rPr>
        <w:t>P</w:t>
      </w:r>
      <w:r w:rsidRPr="007D34B5">
        <w:rPr>
          <w:rFonts w:ascii="Arial" w:hAnsi="Arial" w:cs="Arial"/>
          <w:sz w:val="22"/>
          <w:szCs w:val="22"/>
          <w:vertAlign w:val="subscript"/>
        </w:rPr>
        <w:t>adj</w:t>
      </w:r>
      <w:proofErr w:type="spellEnd"/>
      <w:r w:rsidRPr="007D34B5">
        <w:rPr>
          <w:rFonts w:ascii="Arial" w:hAnsi="Arial" w:cs="Arial"/>
          <w:sz w:val="22"/>
          <w:szCs w:val="22"/>
        </w:rPr>
        <w:t>&lt;0.05, |Δβ|&gt;</w:t>
      </w:r>
      <w:r w:rsidR="00C55FB9" w:rsidRPr="007D34B5">
        <w:rPr>
          <w:rFonts w:ascii="Arial" w:hAnsi="Arial" w:cs="Arial"/>
          <w:sz w:val="22"/>
          <w:szCs w:val="22"/>
        </w:rPr>
        <w:t>0.1</w:t>
      </w:r>
      <w:r w:rsidRPr="007D34B5">
        <w:rPr>
          <w:rFonts w:ascii="Arial" w:hAnsi="Arial" w:cs="Arial"/>
          <w:sz w:val="22"/>
          <w:szCs w:val="22"/>
        </w:rPr>
        <w:t xml:space="preserve">) between </w:t>
      </w:r>
      <w:proofErr w:type="spellStart"/>
      <w:r w:rsidRPr="007D34B5">
        <w:rPr>
          <w:rFonts w:ascii="Arial" w:hAnsi="Arial" w:cs="Arial"/>
          <w:sz w:val="22"/>
          <w:szCs w:val="22"/>
        </w:rPr>
        <w:t>guad</w:t>
      </w:r>
      <w:r w:rsidR="00F34236">
        <w:rPr>
          <w:rFonts w:ascii="Arial" w:hAnsi="Arial" w:cs="Arial"/>
          <w:sz w:val="22"/>
          <w:szCs w:val="22"/>
        </w:rPr>
        <w:t>ecitabine</w:t>
      </w:r>
      <w:proofErr w:type="spellEnd"/>
      <w:r w:rsidRPr="007D34B5">
        <w:rPr>
          <w:rFonts w:ascii="Arial" w:hAnsi="Arial" w:cs="Arial"/>
          <w:sz w:val="22"/>
          <w:szCs w:val="22"/>
        </w:rPr>
        <w:t xml:space="preserve">-treated </w:t>
      </w:r>
      <w:r w:rsidR="00F34236">
        <w:rPr>
          <w:rFonts w:ascii="Arial" w:hAnsi="Arial" w:cs="Arial"/>
          <w:sz w:val="22"/>
          <w:szCs w:val="22"/>
        </w:rPr>
        <w:t>OC</w:t>
      </w:r>
      <w:r w:rsidRPr="007D34B5">
        <w:rPr>
          <w:rFonts w:ascii="Arial" w:hAnsi="Arial" w:cs="Arial"/>
          <w:sz w:val="22"/>
          <w:szCs w:val="22"/>
        </w:rPr>
        <w:t xml:space="preserve"> and </w:t>
      </w:r>
      <w:r w:rsidR="00C55FB9" w:rsidRPr="007D34B5">
        <w:rPr>
          <w:rFonts w:ascii="Arial" w:hAnsi="Arial" w:cs="Arial"/>
          <w:sz w:val="22"/>
          <w:szCs w:val="22"/>
        </w:rPr>
        <w:t>human ovarian surface epithelia cells</w:t>
      </w:r>
      <w:r w:rsidR="00F34236">
        <w:rPr>
          <w:rFonts w:ascii="Arial" w:hAnsi="Arial" w:cs="Arial"/>
          <w:sz w:val="22"/>
          <w:szCs w:val="22"/>
        </w:rPr>
        <w:t xml:space="preserve"> (HOSE)</w:t>
      </w:r>
      <w:r w:rsidR="00C55FB9" w:rsidRPr="007D34B5">
        <w:rPr>
          <w:rFonts w:ascii="Arial" w:hAnsi="Arial" w:cs="Arial"/>
          <w:sz w:val="22"/>
          <w:szCs w:val="22"/>
        </w:rPr>
        <w:t>.</w:t>
      </w:r>
    </w:p>
    <w:p w14:paraId="08C19D6D" w14:textId="560D1426" w:rsidR="00615602" w:rsidRDefault="00615602" w:rsidP="00615602">
      <w:pPr>
        <w:spacing w:line="480" w:lineRule="auto"/>
        <w:rPr>
          <w:rFonts w:ascii="Arial" w:hAnsi="Arial" w:cs="Arial"/>
          <w:i/>
          <w:sz w:val="22"/>
          <w:szCs w:val="22"/>
        </w:rPr>
      </w:pPr>
      <w:r w:rsidRPr="00F34236">
        <w:rPr>
          <w:rFonts w:ascii="Arial" w:hAnsi="Arial" w:cs="Arial" w:hint="eastAsia"/>
          <w:i/>
          <w:sz w:val="22"/>
          <w:szCs w:val="22"/>
        </w:rPr>
        <w:t>(</w:t>
      </w:r>
      <w:r w:rsidRPr="00F34236">
        <w:rPr>
          <w:rFonts w:ascii="Arial" w:hAnsi="Arial" w:cs="Arial"/>
          <w:i/>
          <w:sz w:val="22"/>
          <w:szCs w:val="22"/>
        </w:rPr>
        <w:t xml:space="preserve">Related data Supplementary Table 3. Differentially methylated gene list between </w:t>
      </w:r>
      <w:proofErr w:type="spellStart"/>
      <w:r w:rsidRPr="00F34236">
        <w:rPr>
          <w:rFonts w:ascii="Arial" w:hAnsi="Arial" w:cs="Arial"/>
          <w:i/>
          <w:sz w:val="22"/>
          <w:szCs w:val="22"/>
        </w:rPr>
        <w:t>guad</w:t>
      </w:r>
      <w:r w:rsidR="00F34236">
        <w:rPr>
          <w:rFonts w:ascii="Arial" w:hAnsi="Arial" w:cs="Arial"/>
          <w:i/>
          <w:sz w:val="22"/>
          <w:szCs w:val="22"/>
        </w:rPr>
        <w:t>ecitabine</w:t>
      </w:r>
      <w:proofErr w:type="spellEnd"/>
      <w:r w:rsidRPr="00F34236">
        <w:rPr>
          <w:rFonts w:ascii="Arial" w:hAnsi="Arial" w:cs="Arial"/>
          <w:i/>
          <w:sz w:val="22"/>
          <w:szCs w:val="22"/>
        </w:rPr>
        <w:t>-treated OC and HOSE</w:t>
      </w:r>
      <w:r w:rsidRPr="00F34236">
        <w:rPr>
          <w:rFonts w:ascii="Arial" w:hAnsi="Arial" w:cs="Arial" w:hint="eastAsia"/>
          <w:i/>
          <w:sz w:val="22"/>
          <w:szCs w:val="22"/>
        </w:rPr>
        <w:t>)</w:t>
      </w:r>
      <w:r w:rsidRPr="00F34236">
        <w:rPr>
          <w:rFonts w:ascii="Arial" w:hAnsi="Arial" w:cs="Arial"/>
          <w:i/>
          <w:sz w:val="22"/>
          <w:szCs w:val="22"/>
        </w:rPr>
        <w:t xml:space="preserve"> </w:t>
      </w:r>
    </w:p>
    <w:p w14:paraId="407E1138" w14:textId="3C4781D4" w:rsidR="008A358C" w:rsidRPr="008A358C" w:rsidRDefault="008A358C" w:rsidP="00615602">
      <w:pPr>
        <w:spacing w:line="480" w:lineRule="auto"/>
        <w:rPr>
          <w:rFonts w:ascii="Arial" w:hAnsi="Arial" w:cs="Arial"/>
          <w:sz w:val="22"/>
          <w:szCs w:val="22"/>
        </w:rPr>
      </w:pPr>
      <w:r w:rsidRPr="008A358C">
        <w:rPr>
          <w:rFonts w:ascii="Arial" w:hAnsi="Arial" w:cs="Arial"/>
          <w:b/>
          <w:sz w:val="22"/>
          <w:szCs w:val="22"/>
        </w:rPr>
        <w:t>Figure S5</w:t>
      </w:r>
      <w:r w:rsidRPr="008A358C">
        <w:rPr>
          <w:rFonts w:ascii="Arial" w:hAnsi="Arial" w:cs="Arial"/>
          <w:sz w:val="22"/>
          <w:szCs w:val="22"/>
        </w:rPr>
        <w:t>.</w:t>
      </w:r>
      <w:r>
        <w:rPr>
          <w:rFonts w:ascii="Arial" w:hAnsi="Arial" w:cs="Arial"/>
          <w:sz w:val="22"/>
          <w:szCs w:val="22"/>
        </w:rPr>
        <w:t xml:space="preserve"> </w:t>
      </w:r>
      <w:r w:rsidRPr="008A358C">
        <w:rPr>
          <w:rFonts w:ascii="Arial" w:hAnsi="Arial" w:cs="Arial"/>
          <w:sz w:val="22"/>
          <w:szCs w:val="22"/>
        </w:rPr>
        <w:t xml:space="preserve">Estimations of half maximal inhibitory concentrations (IC50) of </w:t>
      </w:r>
      <w:proofErr w:type="spellStart"/>
      <w:r w:rsidRPr="008A358C">
        <w:rPr>
          <w:rFonts w:ascii="Arial" w:hAnsi="Arial" w:cs="Arial"/>
          <w:sz w:val="22"/>
          <w:szCs w:val="22"/>
        </w:rPr>
        <w:t>cisplatin</w:t>
      </w:r>
      <w:proofErr w:type="spellEnd"/>
      <w:r w:rsidRPr="008A358C">
        <w:rPr>
          <w:rFonts w:ascii="Arial" w:hAnsi="Arial" w:cs="Arial"/>
          <w:sz w:val="22"/>
          <w:szCs w:val="22"/>
        </w:rPr>
        <w:t xml:space="preserve"> in OVCAR5, SKOV3, and A2780 epithelial ovarian cancer cells. </w:t>
      </w:r>
    </w:p>
    <w:p w14:paraId="011172FB" w14:textId="27F48984" w:rsidR="00BC528E" w:rsidRPr="007D34B5" w:rsidRDefault="00BC528E" w:rsidP="00BC528E">
      <w:pPr>
        <w:spacing w:line="480" w:lineRule="auto"/>
        <w:rPr>
          <w:rFonts w:ascii="Arial" w:hAnsi="Arial" w:cs="Arial"/>
          <w:sz w:val="22"/>
          <w:szCs w:val="22"/>
        </w:rPr>
      </w:pPr>
      <w:r w:rsidRPr="007D34B5">
        <w:rPr>
          <w:rFonts w:ascii="Arial" w:hAnsi="Arial" w:cs="Arial"/>
          <w:b/>
          <w:sz w:val="22"/>
          <w:szCs w:val="22"/>
        </w:rPr>
        <w:t>Figure S</w:t>
      </w:r>
      <w:r w:rsidR="008A358C">
        <w:rPr>
          <w:rFonts w:ascii="Arial" w:hAnsi="Arial" w:cs="Arial"/>
          <w:b/>
          <w:sz w:val="22"/>
          <w:szCs w:val="22"/>
        </w:rPr>
        <w:t>6</w:t>
      </w:r>
      <w:r w:rsidRPr="007D34B5">
        <w:rPr>
          <w:rFonts w:ascii="Arial" w:hAnsi="Arial" w:cs="Arial"/>
          <w:sz w:val="22"/>
          <w:szCs w:val="22"/>
        </w:rPr>
        <w:t xml:space="preserve">. Baseline levels of DNMT1, DNMT3A, and DNMT3B mRNAs in </w:t>
      </w:r>
      <w:r w:rsidR="000F2C80">
        <w:rPr>
          <w:rFonts w:ascii="Arial" w:hAnsi="Arial" w:cs="Arial"/>
          <w:sz w:val="22"/>
          <w:szCs w:val="22"/>
        </w:rPr>
        <w:t>OC</w:t>
      </w:r>
      <w:r w:rsidRPr="007D34B5">
        <w:rPr>
          <w:rFonts w:ascii="Arial" w:hAnsi="Arial" w:cs="Arial"/>
          <w:sz w:val="22"/>
          <w:szCs w:val="22"/>
        </w:rPr>
        <w:t xml:space="preserve"> tumors (</w:t>
      </w:r>
      <w:r w:rsidR="008E7685">
        <w:rPr>
          <w:rFonts w:ascii="Arial" w:hAnsi="Arial" w:cs="Arial"/>
          <w:sz w:val="22"/>
          <w:szCs w:val="22"/>
        </w:rPr>
        <w:t>a</w:t>
      </w:r>
      <w:r w:rsidRPr="007D34B5">
        <w:rPr>
          <w:rFonts w:ascii="Arial" w:hAnsi="Arial" w:cs="Arial"/>
          <w:sz w:val="22"/>
          <w:szCs w:val="22"/>
        </w:rPr>
        <w:t>), and correlations between DNMT mRNA levels (</w:t>
      </w:r>
      <w:proofErr w:type="spellStart"/>
      <w:r w:rsidR="008E7685">
        <w:rPr>
          <w:rFonts w:ascii="Arial" w:hAnsi="Arial" w:cs="Arial"/>
          <w:sz w:val="22"/>
          <w:szCs w:val="22"/>
        </w:rPr>
        <w:t>b</w:t>
      </w:r>
      <w:proofErr w:type="gramStart"/>
      <w:r w:rsidRPr="007D34B5">
        <w:rPr>
          <w:rFonts w:ascii="Arial" w:hAnsi="Arial" w:cs="Arial"/>
          <w:sz w:val="22"/>
          <w:szCs w:val="22"/>
        </w:rPr>
        <w:t>,</w:t>
      </w:r>
      <w:r w:rsidR="008E7685">
        <w:rPr>
          <w:rFonts w:ascii="Arial" w:hAnsi="Arial" w:cs="Arial"/>
          <w:sz w:val="22"/>
          <w:szCs w:val="22"/>
        </w:rPr>
        <w:t>c</w:t>
      </w:r>
      <w:r w:rsidRPr="007D34B5">
        <w:rPr>
          <w:rFonts w:ascii="Arial" w:hAnsi="Arial" w:cs="Arial"/>
          <w:sz w:val="22"/>
          <w:szCs w:val="22"/>
        </w:rPr>
        <w:t>,</w:t>
      </w:r>
      <w:r w:rsidR="008E7685">
        <w:rPr>
          <w:rFonts w:ascii="Arial" w:hAnsi="Arial" w:cs="Arial"/>
          <w:sz w:val="22"/>
          <w:szCs w:val="22"/>
        </w:rPr>
        <w:t>d</w:t>
      </w:r>
      <w:proofErr w:type="spellEnd"/>
      <w:proofErr w:type="gramEnd"/>
      <w:r w:rsidRPr="007D34B5">
        <w:rPr>
          <w:rFonts w:ascii="Arial" w:hAnsi="Arial" w:cs="Arial"/>
          <w:sz w:val="22"/>
          <w:szCs w:val="22"/>
        </w:rPr>
        <w:t>) (n=19) .</w:t>
      </w:r>
    </w:p>
    <w:p w14:paraId="39F87FF2" w14:textId="77777777" w:rsidR="00BC528E" w:rsidRPr="007D34B5" w:rsidRDefault="00BC528E" w:rsidP="00BC528E">
      <w:pPr>
        <w:spacing w:line="480" w:lineRule="auto"/>
        <w:rPr>
          <w:rFonts w:ascii="Arial" w:hAnsi="Arial" w:cs="Arial"/>
          <w:sz w:val="22"/>
          <w:szCs w:val="22"/>
        </w:rPr>
      </w:pPr>
      <w:bookmarkStart w:id="0" w:name="_GoBack"/>
      <w:bookmarkEnd w:id="0"/>
    </w:p>
    <w:p w14:paraId="55D62059" w14:textId="44E43B12" w:rsidR="00EC2439" w:rsidRPr="007D34B5" w:rsidRDefault="00EC2439" w:rsidP="00333F2A">
      <w:pPr>
        <w:spacing w:line="480" w:lineRule="auto"/>
        <w:rPr>
          <w:rFonts w:ascii="Arial" w:hAnsi="Arial" w:cs="Arial"/>
          <w:sz w:val="22"/>
          <w:szCs w:val="22"/>
        </w:rPr>
      </w:pPr>
    </w:p>
    <w:sectPr w:rsidR="00EC2439" w:rsidRPr="007D34B5" w:rsidSect="00836D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DengXian">
    <w:altName w:val="等线"/>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ancer Research&lt;/Style&gt;&lt;LeftDelim&gt;{&lt;/LeftDelim&gt;&lt;RightDelim&gt;}&lt;/RightDelim&gt;&lt;FontName&gt;DengXi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srsts9zm95dfbewdv6pa5w6adeppx9a9dsr&quot;&gt;My EndNote Library_SGI phase2&lt;record-ids&gt;&lt;item&gt;54&lt;/item&gt;&lt;/record-ids&gt;&lt;/item&gt;&lt;/Libraries&gt;"/>
  </w:docVars>
  <w:rsids>
    <w:rsidRoot w:val="00333F2A"/>
    <w:rsid w:val="00003E67"/>
    <w:rsid w:val="000F2C80"/>
    <w:rsid w:val="000F3C8B"/>
    <w:rsid w:val="00126635"/>
    <w:rsid w:val="0015229B"/>
    <w:rsid w:val="0016490A"/>
    <w:rsid w:val="0017316D"/>
    <w:rsid w:val="001B5403"/>
    <w:rsid w:val="001F1218"/>
    <w:rsid w:val="001F7E26"/>
    <w:rsid w:val="00206EAF"/>
    <w:rsid w:val="00236FD9"/>
    <w:rsid w:val="002E17C4"/>
    <w:rsid w:val="00331FFA"/>
    <w:rsid w:val="00333761"/>
    <w:rsid w:val="00333F2A"/>
    <w:rsid w:val="0037404E"/>
    <w:rsid w:val="003B586F"/>
    <w:rsid w:val="003C0149"/>
    <w:rsid w:val="003F4606"/>
    <w:rsid w:val="00465C2B"/>
    <w:rsid w:val="00526BB0"/>
    <w:rsid w:val="00530FCD"/>
    <w:rsid w:val="0055177F"/>
    <w:rsid w:val="0059325D"/>
    <w:rsid w:val="005B6293"/>
    <w:rsid w:val="005B6BE8"/>
    <w:rsid w:val="005C256C"/>
    <w:rsid w:val="005C46BF"/>
    <w:rsid w:val="005D09F1"/>
    <w:rsid w:val="005E190C"/>
    <w:rsid w:val="00615602"/>
    <w:rsid w:val="006245F6"/>
    <w:rsid w:val="00627A2C"/>
    <w:rsid w:val="00674BB8"/>
    <w:rsid w:val="006968AE"/>
    <w:rsid w:val="006B0FDF"/>
    <w:rsid w:val="006E5E38"/>
    <w:rsid w:val="007313C2"/>
    <w:rsid w:val="0075178D"/>
    <w:rsid w:val="0076381A"/>
    <w:rsid w:val="00771550"/>
    <w:rsid w:val="007D34B5"/>
    <w:rsid w:val="007E038D"/>
    <w:rsid w:val="0080597C"/>
    <w:rsid w:val="00836D58"/>
    <w:rsid w:val="00892A1A"/>
    <w:rsid w:val="008A358C"/>
    <w:rsid w:val="008C74C5"/>
    <w:rsid w:val="008E7685"/>
    <w:rsid w:val="00933390"/>
    <w:rsid w:val="00933870"/>
    <w:rsid w:val="00940EF2"/>
    <w:rsid w:val="009C0BBF"/>
    <w:rsid w:val="009D3FF0"/>
    <w:rsid w:val="00A23246"/>
    <w:rsid w:val="00A3151D"/>
    <w:rsid w:val="00A4621C"/>
    <w:rsid w:val="00A64D28"/>
    <w:rsid w:val="00A712D2"/>
    <w:rsid w:val="00A76CAD"/>
    <w:rsid w:val="00AE22EA"/>
    <w:rsid w:val="00B059C0"/>
    <w:rsid w:val="00B24EA0"/>
    <w:rsid w:val="00B6433F"/>
    <w:rsid w:val="00B73143"/>
    <w:rsid w:val="00B87957"/>
    <w:rsid w:val="00B92E03"/>
    <w:rsid w:val="00BC1245"/>
    <w:rsid w:val="00BC528E"/>
    <w:rsid w:val="00C21A52"/>
    <w:rsid w:val="00C536B4"/>
    <w:rsid w:val="00C55FB9"/>
    <w:rsid w:val="00C751DA"/>
    <w:rsid w:val="00C7681A"/>
    <w:rsid w:val="00C95F24"/>
    <w:rsid w:val="00CE2722"/>
    <w:rsid w:val="00D061BC"/>
    <w:rsid w:val="00D36310"/>
    <w:rsid w:val="00D55D03"/>
    <w:rsid w:val="00D812C6"/>
    <w:rsid w:val="00D97682"/>
    <w:rsid w:val="00DE66C4"/>
    <w:rsid w:val="00E86EE8"/>
    <w:rsid w:val="00E96899"/>
    <w:rsid w:val="00EC2439"/>
    <w:rsid w:val="00F34236"/>
    <w:rsid w:val="00FA6BE2"/>
    <w:rsid w:val="00FB616D"/>
    <w:rsid w:val="00FC324D"/>
    <w:rsid w:val="00FF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DD28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33F2A"/>
    <w:rPr>
      <w:color w:val="0000FF"/>
      <w:u w:val="single"/>
    </w:rPr>
  </w:style>
  <w:style w:type="paragraph" w:styleId="BalloonText">
    <w:name w:val="Balloon Text"/>
    <w:basedOn w:val="Normal"/>
    <w:link w:val="BalloonTextChar"/>
    <w:uiPriority w:val="99"/>
    <w:semiHidden/>
    <w:unhideWhenUsed/>
    <w:rsid w:val="001F7E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7E26"/>
    <w:rPr>
      <w:rFonts w:ascii="Lucida Grande" w:hAnsi="Lucida Grande" w:cs="Lucida Grande"/>
      <w:sz w:val="18"/>
      <w:szCs w:val="18"/>
    </w:rPr>
  </w:style>
  <w:style w:type="paragraph" w:customStyle="1" w:styleId="EndNoteBibliography">
    <w:name w:val="EndNote Bibliography"/>
    <w:basedOn w:val="Normal"/>
    <w:link w:val="EndNoteBibliographyChar"/>
    <w:rsid w:val="005C46BF"/>
    <w:pPr>
      <w:widowControl w:val="0"/>
      <w:jc w:val="both"/>
    </w:pPr>
    <w:rPr>
      <w:rFonts w:ascii="DengXian" w:eastAsia="DengXian" w:hAnsi="DengXian"/>
      <w:noProof/>
      <w:kern w:val="2"/>
      <w:sz w:val="20"/>
      <w:szCs w:val="22"/>
      <w:lang w:eastAsia="zh-CN"/>
    </w:rPr>
  </w:style>
  <w:style w:type="character" w:customStyle="1" w:styleId="EndNoteBibliographyChar">
    <w:name w:val="EndNote Bibliography Char"/>
    <w:basedOn w:val="DefaultParagraphFont"/>
    <w:link w:val="EndNoteBibliography"/>
    <w:rsid w:val="005C46BF"/>
    <w:rPr>
      <w:rFonts w:ascii="DengXian" w:eastAsia="DengXian" w:hAnsi="DengXian"/>
      <w:noProof/>
      <w:kern w:val="2"/>
      <w:sz w:val="20"/>
      <w:szCs w:val="22"/>
      <w:lang w:eastAsia="zh-CN"/>
    </w:rPr>
  </w:style>
  <w:style w:type="character" w:styleId="CommentReference">
    <w:name w:val="annotation reference"/>
    <w:basedOn w:val="DefaultParagraphFont"/>
    <w:uiPriority w:val="99"/>
    <w:semiHidden/>
    <w:unhideWhenUsed/>
    <w:rsid w:val="00C21A52"/>
    <w:rPr>
      <w:sz w:val="16"/>
      <w:szCs w:val="16"/>
    </w:rPr>
  </w:style>
  <w:style w:type="paragraph" w:styleId="CommentText">
    <w:name w:val="annotation text"/>
    <w:basedOn w:val="Normal"/>
    <w:link w:val="CommentTextChar"/>
    <w:uiPriority w:val="99"/>
    <w:semiHidden/>
    <w:unhideWhenUsed/>
    <w:rsid w:val="00C21A52"/>
    <w:rPr>
      <w:sz w:val="20"/>
      <w:szCs w:val="20"/>
    </w:rPr>
  </w:style>
  <w:style w:type="character" w:customStyle="1" w:styleId="CommentTextChar">
    <w:name w:val="Comment Text Char"/>
    <w:basedOn w:val="DefaultParagraphFont"/>
    <w:link w:val="CommentText"/>
    <w:uiPriority w:val="99"/>
    <w:semiHidden/>
    <w:rsid w:val="00C21A52"/>
    <w:rPr>
      <w:sz w:val="20"/>
      <w:szCs w:val="20"/>
    </w:rPr>
  </w:style>
  <w:style w:type="paragraph" w:styleId="CommentSubject">
    <w:name w:val="annotation subject"/>
    <w:basedOn w:val="CommentText"/>
    <w:next w:val="CommentText"/>
    <w:link w:val="CommentSubjectChar"/>
    <w:uiPriority w:val="99"/>
    <w:semiHidden/>
    <w:unhideWhenUsed/>
    <w:rsid w:val="00C21A52"/>
    <w:rPr>
      <w:b/>
      <w:bCs/>
    </w:rPr>
  </w:style>
  <w:style w:type="character" w:customStyle="1" w:styleId="CommentSubjectChar">
    <w:name w:val="Comment Subject Char"/>
    <w:basedOn w:val="CommentTextChar"/>
    <w:link w:val="CommentSubject"/>
    <w:uiPriority w:val="99"/>
    <w:semiHidden/>
    <w:rsid w:val="00C21A52"/>
    <w:rPr>
      <w:b/>
      <w:bCs/>
      <w:sz w:val="20"/>
      <w:szCs w:val="20"/>
    </w:rPr>
  </w:style>
  <w:style w:type="paragraph" w:customStyle="1" w:styleId="EndNoteBibliographyTitle">
    <w:name w:val="EndNote Bibliography Title"/>
    <w:basedOn w:val="Normal"/>
    <w:link w:val="EndNoteBibliographyTitleChar"/>
    <w:rsid w:val="00A712D2"/>
    <w:pPr>
      <w:jc w:val="center"/>
    </w:pPr>
    <w:rPr>
      <w:rFonts w:ascii="DengXian" w:eastAsia="DengXian" w:hAnsi="DengXian"/>
      <w:noProof/>
      <w:sz w:val="20"/>
    </w:rPr>
  </w:style>
  <w:style w:type="character" w:customStyle="1" w:styleId="EndNoteBibliographyTitleChar">
    <w:name w:val="EndNote Bibliography Title Char"/>
    <w:basedOn w:val="DefaultParagraphFont"/>
    <w:link w:val="EndNoteBibliographyTitle"/>
    <w:rsid w:val="00A712D2"/>
    <w:rPr>
      <w:rFonts w:ascii="DengXian" w:eastAsia="DengXian" w:hAnsi="DengXian"/>
      <w:noProof/>
      <w:sz w:val="20"/>
    </w:rPr>
  </w:style>
  <w:style w:type="table" w:styleId="TableGrid">
    <w:name w:val="Table Grid"/>
    <w:basedOn w:val="TableNormal"/>
    <w:uiPriority w:val="39"/>
    <w:rsid w:val="00FB616D"/>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C528E"/>
    <w:pPr>
      <w:spacing w:before="100" w:beforeAutospacing="1" w:after="100" w:afterAutospacing="1"/>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33F2A"/>
    <w:rPr>
      <w:color w:val="0000FF"/>
      <w:u w:val="single"/>
    </w:rPr>
  </w:style>
  <w:style w:type="paragraph" w:styleId="BalloonText">
    <w:name w:val="Balloon Text"/>
    <w:basedOn w:val="Normal"/>
    <w:link w:val="BalloonTextChar"/>
    <w:uiPriority w:val="99"/>
    <w:semiHidden/>
    <w:unhideWhenUsed/>
    <w:rsid w:val="001F7E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7E26"/>
    <w:rPr>
      <w:rFonts w:ascii="Lucida Grande" w:hAnsi="Lucida Grande" w:cs="Lucida Grande"/>
      <w:sz w:val="18"/>
      <w:szCs w:val="18"/>
    </w:rPr>
  </w:style>
  <w:style w:type="paragraph" w:customStyle="1" w:styleId="EndNoteBibliography">
    <w:name w:val="EndNote Bibliography"/>
    <w:basedOn w:val="Normal"/>
    <w:link w:val="EndNoteBibliographyChar"/>
    <w:rsid w:val="005C46BF"/>
    <w:pPr>
      <w:widowControl w:val="0"/>
      <w:jc w:val="both"/>
    </w:pPr>
    <w:rPr>
      <w:rFonts w:ascii="DengXian" w:eastAsia="DengXian" w:hAnsi="DengXian"/>
      <w:noProof/>
      <w:kern w:val="2"/>
      <w:sz w:val="20"/>
      <w:szCs w:val="22"/>
      <w:lang w:eastAsia="zh-CN"/>
    </w:rPr>
  </w:style>
  <w:style w:type="character" w:customStyle="1" w:styleId="EndNoteBibliographyChar">
    <w:name w:val="EndNote Bibliography Char"/>
    <w:basedOn w:val="DefaultParagraphFont"/>
    <w:link w:val="EndNoteBibliography"/>
    <w:rsid w:val="005C46BF"/>
    <w:rPr>
      <w:rFonts w:ascii="DengXian" w:eastAsia="DengXian" w:hAnsi="DengXian"/>
      <w:noProof/>
      <w:kern w:val="2"/>
      <w:sz w:val="20"/>
      <w:szCs w:val="22"/>
      <w:lang w:eastAsia="zh-CN"/>
    </w:rPr>
  </w:style>
  <w:style w:type="character" w:styleId="CommentReference">
    <w:name w:val="annotation reference"/>
    <w:basedOn w:val="DefaultParagraphFont"/>
    <w:uiPriority w:val="99"/>
    <w:semiHidden/>
    <w:unhideWhenUsed/>
    <w:rsid w:val="00C21A52"/>
    <w:rPr>
      <w:sz w:val="16"/>
      <w:szCs w:val="16"/>
    </w:rPr>
  </w:style>
  <w:style w:type="paragraph" w:styleId="CommentText">
    <w:name w:val="annotation text"/>
    <w:basedOn w:val="Normal"/>
    <w:link w:val="CommentTextChar"/>
    <w:uiPriority w:val="99"/>
    <w:semiHidden/>
    <w:unhideWhenUsed/>
    <w:rsid w:val="00C21A52"/>
    <w:rPr>
      <w:sz w:val="20"/>
      <w:szCs w:val="20"/>
    </w:rPr>
  </w:style>
  <w:style w:type="character" w:customStyle="1" w:styleId="CommentTextChar">
    <w:name w:val="Comment Text Char"/>
    <w:basedOn w:val="DefaultParagraphFont"/>
    <w:link w:val="CommentText"/>
    <w:uiPriority w:val="99"/>
    <w:semiHidden/>
    <w:rsid w:val="00C21A52"/>
    <w:rPr>
      <w:sz w:val="20"/>
      <w:szCs w:val="20"/>
    </w:rPr>
  </w:style>
  <w:style w:type="paragraph" w:styleId="CommentSubject">
    <w:name w:val="annotation subject"/>
    <w:basedOn w:val="CommentText"/>
    <w:next w:val="CommentText"/>
    <w:link w:val="CommentSubjectChar"/>
    <w:uiPriority w:val="99"/>
    <w:semiHidden/>
    <w:unhideWhenUsed/>
    <w:rsid w:val="00C21A52"/>
    <w:rPr>
      <w:b/>
      <w:bCs/>
    </w:rPr>
  </w:style>
  <w:style w:type="character" w:customStyle="1" w:styleId="CommentSubjectChar">
    <w:name w:val="Comment Subject Char"/>
    <w:basedOn w:val="CommentTextChar"/>
    <w:link w:val="CommentSubject"/>
    <w:uiPriority w:val="99"/>
    <w:semiHidden/>
    <w:rsid w:val="00C21A52"/>
    <w:rPr>
      <w:b/>
      <w:bCs/>
      <w:sz w:val="20"/>
      <w:szCs w:val="20"/>
    </w:rPr>
  </w:style>
  <w:style w:type="paragraph" w:customStyle="1" w:styleId="EndNoteBibliographyTitle">
    <w:name w:val="EndNote Bibliography Title"/>
    <w:basedOn w:val="Normal"/>
    <w:link w:val="EndNoteBibliographyTitleChar"/>
    <w:rsid w:val="00A712D2"/>
    <w:pPr>
      <w:jc w:val="center"/>
    </w:pPr>
    <w:rPr>
      <w:rFonts w:ascii="DengXian" w:eastAsia="DengXian" w:hAnsi="DengXian"/>
      <w:noProof/>
      <w:sz w:val="20"/>
    </w:rPr>
  </w:style>
  <w:style w:type="character" w:customStyle="1" w:styleId="EndNoteBibliographyTitleChar">
    <w:name w:val="EndNote Bibliography Title Char"/>
    <w:basedOn w:val="DefaultParagraphFont"/>
    <w:link w:val="EndNoteBibliographyTitle"/>
    <w:rsid w:val="00A712D2"/>
    <w:rPr>
      <w:rFonts w:ascii="DengXian" w:eastAsia="DengXian" w:hAnsi="DengXian"/>
      <w:noProof/>
      <w:sz w:val="20"/>
    </w:rPr>
  </w:style>
  <w:style w:type="table" w:styleId="TableGrid">
    <w:name w:val="Table Grid"/>
    <w:basedOn w:val="TableNormal"/>
    <w:uiPriority w:val="39"/>
    <w:rsid w:val="00FB616D"/>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C528E"/>
    <w:pPr>
      <w:spacing w:before="100" w:beforeAutospacing="1" w:after="100" w:afterAutospacing="1"/>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9996">
      <w:bodyDiv w:val="1"/>
      <w:marLeft w:val="0"/>
      <w:marRight w:val="0"/>
      <w:marTop w:val="0"/>
      <w:marBottom w:val="0"/>
      <w:divBdr>
        <w:top w:val="none" w:sz="0" w:space="0" w:color="auto"/>
        <w:left w:val="none" w:sz="0" w:space="0" w:color="auto"/>
        <w:bottom w:val="none" w:sz="0" w:space="0" w:color="auto"/>
        <w:right w:val="none" w:sz="0" w:space="0" w:color="auto"/>
      </w:divBdr>
    </w:div>
    <w:div w:id="623460178">
      <w:bodyDiv w:val="1"/>
      <w:marLeft w:val="0"/>
      <w:marRight w:val="0"/>
      <w:marTop w:val="0"/>
      <w:marBottom w:val="0"/>
      <w:divBdr>
        <w:top w:val="none" w:sz="0" w:space="0" w:color="auto"/>
        <w:left w:val="none" w:sz="0" w:space="0" w:color="auto"/>
        <w:bottom w:val="none" w:sz="0" w:space="0" w:color="auto"/>
        <w:right w:val="none" w:sz="0" w:space="0" w:color="auto"/>
      </w:divBdr>
    </w:div>
    <w:div w:id="1201431023">
      <w:bodyDiv w:val="1"/>
      <w:marLeft w:val="0"/>
      <w:marRight w:val="0"/>
      <w:marTop w:val="0"/>
      <w:marBottom w:val="0"/>
      <w:divBdr>
        <w:top w:val="none" w:sz="0" w:space="0" w:color="auto"/>
        <w:left w:val="none" w:sz="0" w:space="0" w:color="auto"/>
        <w:bottom w:val="none" w:sz="0" w:space="0" w:color="auto"/>
        <w:right w:val="none" w:sz="0" w:space="0" w:color="auto"/>
      </w:divBdr>
    </w:div>
    <w:div w:id="1552689165">
      <w:bodyDiv w:val="1"/>
      <w:marLeft w:val="0"/>
      <w:marRight w:val="0"/>
      <w:marTop w:val="0"/>
      <w:marBottom w:val="0"/>
      <w:divBdr>
        <w:top w:val="none" w:sz="0" w:space="0" w:color="auto"/>
        <w:left w:val="none" w:sz="0" w:space="0" w:color="auto"/>
        <w:bottom w:val="none" w:sz="0" w:space="0" w:color="auto"/>
        <w:right w:val="none" w:sz="0" w:space="0" w:color="auto"/>
      </w:divBdr>
    </w:div>
    <w:div w:id="1800411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642</Words>
  <Characters>3661</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Matei</dc:creator>
  <cp:keywords/>
  <dc:description/>
  <cp:lastModifiedBy>Fang Fang</cp:lastModifiedBy>
  <cp:revision>11</cp:revision>
  <dcterms:created xsi:type="dcterms:W3CDTF">2019-10-16T16:22:00Z</dcterms:created>
  <dcterms:modified xsi:type="dcterms:W3CDTF">2020-07-30T20:04:00Z</dcterms:modified>
</cp:coreProperties>
</file>