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0D738" w14:textId="4DCC46E6" w:rsidR="002C5190" w:rsidRPr="00063833" w:rsidRDefault="008173CA" w:rsidP="002C5190">
      <w:pPr>
        <w:pStyle w:val="Caption"/>
        <w:keepNext/>
        <w:rPr>
          <w:sz w:val="24"/>
          <w:szCs w:val="24"/>
        </w:rPr>
      </w:pPr>
      <w:r>
        <w:rPr>
          <w:b/>
          <w:bCs/>
          <w:sz w:val="24"/>
          <w:szCs w:val="24"/>
        </w:rPr>
        <w:t>Supplementary material 1</w:t>
      </w:r>
      <w:r w:rsidR="006E51FE">
        <w:rPr>
          <w:b/>
          <w:bCs/>
          <w:sz w:val="24"/>
          <w:szCs w:val="24"/>
        </w:rPr>
        <w:t>.</w:t>
      </w:r>
      <w:r w:rsidR="00E93601">
        <w:rPr>
          <w:sz w:val="24"/>
          <w:szCs w:val="24"/>
        </w:rPr>
        <w:t xml:space="preserve"> Ha</w:t>
      </w:r>
      <w:r w:rsidR="00063833" w:rsidRPr="00063833">
        <w:rPr>
          <w:sz w:val="24"/>
          <w:szCs w:val="24"/>
        </w:rPr>
        <w:t>zard ratios</w:t>
      </w:r>
      <w:r w:rsidR="00734FC1">
        <w:rPr>
          <w:sz w:val="24"/>
          <w:szCs w:val="24"/>
        </w:rPr>
        <w:t xml:space="preserve"> (HRs)</w:t>
      </w:r>
      <w:r w:rsidR="007A5FAD">
        <w:rPr>
          <w:sz w:val="24"/>
          <w:szCs w:val="24"/>
        </w:rPr>
        <w:t xml:space="preserve"> of covariates</w:t>
      </w:r>
      <w:r w:rsidR="00063833" w:rsidRPr="00063833">
        <w:rPr>
          <w:sz w:val="24"/>
          <w:szCs w:val="24"/>
        </w:rPr>
        <w:t xml:space="preserve"> for mortality </w:t>
      </w:r>
      <w:r w:rsidR="00930AD2">
        <w:rPr>
          <w:sz w:val="24"/>
          <w:szCs w:val="24"/>
        </w:rPr>
        <w:t xml:space="preserve">and cardiovascular outcomes </w:t>
      </w:r>
      <w:r w:rsidR="00063833" w:rsidRPr="00063833">
        <w:rPr>
          <w:sz w:val="24"/>
          <w:szCs w:val="24"/>
        </w:rPr>
        <w:t>in the study population (</w:t>
      </w:r>
      <w:r w:rsidR="00063833" w:rsidRPr="00580BAB">
        <w:rPr>
          <w:sz w:val="24"/>
          <w:szCs w:val="24"/>
        </w:rPr>
        <w:t>n</w:t>
      </w:r>
      <w:r w:rsidR="00063833" w:rsidRPr="00063833">
        <w:rPr>
          <w:sz w:val="24"/>
          <w:szCs w:val="24"/>
        </w:rPr>
        <w:t>=15</w:t>
      </w:r>
      <w:r w:rsidR="005C126E">
        <w:rPr>
          <w:sz w:val="24"/>
          <w:szCs w:val="24"/>
        </w:rPr>
        <w:t>69</w:t>
      </w:r>
      <w:r w:rsidR="00063833" w:rsidRPr="00063833">
        <w:rPr>
          <w:sz w:val="24"/>
          <w:szCs w:val="24"/>
        </w:rPr>
        <w:t>)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3402"/>
        <w:gridCol w:w="1418"/>
        <w:gridCol w:w="1701"/>
        <w:gridCol w:w="1843"/>
        <w:gridCol w:w="283"/>
        <w:gridCol w:w="1266"/>
        <w:gridCol w:w="1687"/>
        <w:gridCol w:w="2008"/>
      </w:tblGrid>
      <w:tr w:rsidR="00507E5A" w:rsidRPr="00063833" w14:paraId="6C14AEC5" w14:textId="77777777" w:rsidTr="008E1B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bottom w:val="nil"/>
            </w:tcBorders>
            <w:vAlign w:val="bottom"/>
          </w:tcPr>
          <w:p w14:paraId="3A6DB0AF" w14:textId="77777777" w:rsidR="00507E5A" w:rsidRPr="00063833" w:rsidRDefault="00507E5A" w:rsidP="00E847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14:paraId="1D1FEFA2" w14:textId="77777777" w:rsidR="00507E5A" w:rsidRPr="00063833" w:rsidRDefault="00507E5A" w:rsidP="00E84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Number of events (</w:t>
            </w:r>
            <w:r w:rsidRPr="00580BAB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14:paraId="6D38ED52" w14:textId="77777777" w:rsidR="00507E5A" w:rsidRPr="00063833" w:rsidRDefault="00507E5A" w:rsidP="00E84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Crude HR (95% CI)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vAlign w:val="bottom"/>
          </w:tcPr>
          <w:p w14:paraId="3BF549F7" w14:textId="77777777" w:rsidR="00507E5A" w:rsidRPr="00063833" w:rsidRDefault="00507E5A" w:rsidP="00E84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Fully adjusted HR (95% CI)</w:t>
            </w: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bottom"/>
          </w:tcPr>
          <w:p w14:paraId="4C236737" w14:textId="77777777" w:rsidR="00507E5A" w:rsidRPr="00063833" w:rsidRDefault="00507E5A" w:rsidP="00E84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nil"/>
            </w:tcBorders>
            <w:vAlign w:val="bottom"/>
          </w:tcPr>
          <w:p w14:paraId="053B84B2" w14:textId="77777777" w:rsidR="00507E5A" w:rsidRPr="00063833" w:rsidRDefault="00507E5A" w:rsidP="00E84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Number of events (</w:t>
            </w:r>
            <w:r w:rsidRPr="00580BAB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bottom"/>
          </w:tcPr>
          <w:p w14:paraId="575E60BA" w14:textId="77777777" w:rsidR="00507E5A" w:rsidRPr="00063833" w:rsidRDefault="00507E5A" w:rsidP="00E84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Crude HR (95% CI)</w:t>
            </w:r>
          </w:p>
        </w:tc>
        <w:tc>
          <w:tcPr>
            <w:tcW w:w="2008" w:type="dxa"/>
            <w:tcBorders>
              <w:top w:val="single" w:sz="4" w:space="0" w:color="auto"/>
              <w:bottom w:val="nil"/>
            </w:tcBorders>
            <w:vAlign w:val="bottom"/>
          </w:tcPr>
          <w:p w14:paraId="5AB1A506" w14:textId="77777777" w:rsidR="00507E5A" w:rsidRPr="00063833" w:rsidRDefault="00507E5A" w:rsidP="00E847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Fully adjusted HR (95% CI)</w:t>
            </w:r>
          </w:p>
        </w:tc>
      </w:tr>
      <w:tr w:rsidR="00E67AEF" w:rsidRPr="00063833" w14:paraId="63E45C97" w14:textId="69827D8E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single" w:sz="4" w:space="0" w:color="auto"/>
            </w:tcBorders>
            <w:vAlign w:val="bottom"/>
            <w:hideMark/>
          </w:tcPr>
          <w:p w14:paraId="53E855FB" w14:textId="77777777" w:rsidR="006960CC" w:rsidRPr="00063833" w:rsidRDefault="006960CC" w:rsidP="00E847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3"/>
            <w:tcBorders>
              <w:top w:val="nil"/>
              <w:bottom w:val="single" w:sz="4" w:space="0" w:color="auto"/>
            </w:tcBorders>
          </w:tcPr>
          <w:p w14:paraId="23A7FC9C" w14:textId="3BF5F29F" w:rsidR="006960CC" w:rsidRPr="00063833" w:rsidRDefault="006960CC" w:rsidP="00783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063833">
              <w:rPr>
                <w:rFonts w:ascii="Times New Roman" w:hAnsi="Times New Roman" w:cs="Times New Roman"/>
                <w:b/>
                <w:bCs/>
              </w:rPr>
              <w:t>All-cause</w:t>
            </w:r>
            <w:r w:rsidR="00783234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Pr="00063833">
              <w:rPr>
                <w:rFonts w:ascii="Times New Roman" w:hAnsi="Times New Roman" w:cs="Times New Roman"/>
                <w:b/>
                <w:bCs/>
              </w:rPr>
              <w:t>ortality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</w:tcPr>
          <w:p w14:paraId="46674C3F" w14:textId="1AB4C2F5" w:rsidR="006960CC" w:rsidRPr="00063833" w:rsidRDefault="006960CC" w:rsidP="00E847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4E178D46" w14:textId="5F48681E" w:rsidR="006960CC" w:rsidRPr="00063833" w:rsidRDefault="00930AD2" w:rsidP="00E847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Cardiovascular</w:t>
            </w:r>
            <w:r w:rsidR="00783234" w:rsidRPr="0078323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83234">
              <w:rPr>
                <w:rFonts w:ascii="Times New Roman" w:hAnsi="Times New Roman" w:cs="Times New Roman"/>
                <w:b/>
                <w:bCs/>
              </w:rPr>
              <w:t>m</w:t>
            </w:r>
            <w:r w:rsidR="00783234" w:rsidRPr="00783234">
              <w:rPr>
                <w:rFonts w:ascii="Times New Roman" w:hAnsi="Times New Roman" w:cs="Times New Roman"/>
                <w:b/>
                <w:bCs/>
              </w:rPr>
              <w:t>ortality</w:t>
            </w:r>
          </w:p>
        </w:tc>
      </w:tr>
      <w:tr w:rsidR="008E1BBC" w:rsidRPr="00063833" w14:paraId="076E6A7A" w14:textId="77777777" w:rsidTr="008E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bottom w:val="nil"/>
            </w:tcBorders>
            <w:vAlign w:val="bottom"/>
          </w:tcPr>
          <w:p w14:paraId="7CD2E9B0" w14:textId="77777777" w:rsidR="008E1BBC" w:rsidRPr="00063833" w:rsidRDefault="008E1BBC" w:rsidP="00E847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nil"/>
            </w:tcBorders>
          </w:tcPr>
          <w:p w14:paraId="425BF1A9" w14:textId="77777777" w:rsidR="008E1BBC" w:rsidRPr="00063833" w:rsidRDefault="008E1BBC" w:rsidP="00783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</w:tcPr>
          <w:p w14:paraId="5C52A973" w14:textId="77777777" w:rsidR="008E1BBC" w:rsidRPr="00063833" w:rsidRDefault="008E1BBC" w:rsidP="00E847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6A3B7E6F" w14:textId="77777777" w:rsidR="008E1BBC" w:rsidRDefault="008E1BBC" w:rsidP="00E847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6F9B" w:rsidRPr="00063833" w14:paraId="399BD589" w14:textId="0EE34A65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7723FD51" w14:textId="78118087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>BMI</w:t>
            </w:r>
            <w:r>
              <w:rPr>
                <w:b w:val="0"/>
                <w:bCs w:val="0"/>
              </w:rPr>
              <w:t xml:space="preserve"> (</w:t>
            </w:r>
            <w:r w:rsidRPr="00310A6A">
              <w:rPr>
                <w:b w:val="0"/>
                <w:bCs w:val="0"/>
              </w:rPr>
              <w:t>kg/m</w:t>
            </w:r>
            <w:r w:rsidRPr="00310A6A">
              <w:rPr>
                <w:b w:val="0"/>
                <w:bCs w:val="0"/>
                <w:vertAlign w:val="superscript"/>
              </w:rPr>
              <w:t>2</w:t>
            </w:r>
            <w:r>
              <w:rPr>
                <w:b w:val="0"/>
                <w:bCs w:val="0"/>
              </w:rPr>
              <w:t>)</w:t>
            </w:r>
            <w:r w:rsidRPr="008E1BBC">
              <w:rPr>
                <w:b w:val="0"/>
                <w:bCs w:val="0"/>
              </w:rPr>
              <w:t xml:space="preserve"> </w:t>
            </w:r>
            <w:r w:rsidRPr="008E1BBC">
              <w:rPr>
                <w:rFonts w:hint="eastAsia"/>
                <w:b w:val="0"/>
                <w:bCs w:val="0"/>
              </w:rPr>
              <w:t>≤</w:t>
            </w:r>
            <w:r w:rsidRPr="008E1BBC">
              <w:rPr>
                <w:rFonts w:hint="eastAsia"/>
                <w:b w:val="0"/>
                <w:bCs w:val="0"/>
              </w:rPr>
              <w:t xml:space="preserve"> 25</w:t>
            </w:r>
            <w:r w:rsidRPr="008E1BBC">
              <w:rPr>
                <w:b w:val="0"/>
                <w:bCs w:val="0"/>
              </w:rPr>
              <w:t xml:space="preserve"> (ref.)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9F1BB" w14:textId="0CBD9916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269 (511)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59014" w14:textId="60A698AA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5A559A" w14:textId="5CCC7B62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B008AB3" w14:textId="64047070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B5C97" w14:textId="68B5689B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105 (511)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852F3" w14:textId="127AE3A5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0A9B5D8" w14:textId="7A46EA51" w:rsidR="003E6F9B" w:rsidRPr="00063833" w:rsidRDefault="00055BD9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E6F9B" w:rsidRPr="00063833" w14:paraId="22181AA2" w14:textId="77777777" w:rsidTr="005C1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651BA3CC" w14:textId="5ED80A66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(25, 27.5]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7A86A" w14:textId="723B8A05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289 (496)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4EC82" w14:textId="712AE0F8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1.02 (0.86, 1.2)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E216C2" w14:textId="194AAE55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26571">
              <w:t>1.21 (0.82, 1.77)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2900105" w14:textId="77777777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3EFEA" w14:textId="0F7BE28C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135 (496)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7A858" w14:textId="1EAED1C7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1.21 (0.94, 1.56)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622049F" w14:textId="58A3585B" w:rsidR="003E6F9B" w:rsidRPr="00E847F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2D064D">
              <w:t>1.88 (1.01, 3.51)</w:t>
            </w:r>
          </w:p>
        </w:tc>
      </w:tr>
      <w:tr w:rsidR="003E6F9B" w:rsidRPr="00063833" w14:paraId="53CC9C84" w14:textId="49B1FF4D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2A5BC9F4" w14:textId="2113C499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(27.5, 30]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F5FAC" w14:textId="15056D60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201 (310)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FE4A0" w14:textId="0C41C948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1.17 (0.97, 1.4)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016174" w14:textId="610EA022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26571">
              <w:t>1.43 (0.94, 2.19)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8742E97" w14:textId="13439D97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60EA5" w14:textId="33B28C9F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84 (310)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2953E" w14:textId="63C9749E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1.24 (0.93, 1.66)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C9C1306" w14:textId="0D818A55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2D064D">
              <w:t>2.72 (1.39, 5.29)</w:t>
            </w:r>
          </w:p>
        </w:tc>
      </w:tr>
      <w:tr w:rsidR="003E6F9B" w:rsidRPr="00063833" w14:paraId="2A857AAB" w14:textId="1A92B628" w:rsidTr="008E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6B9D6637" w14:textId="0E69D762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(30, 32.5]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74C43" w14:textId="52D3749F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107 (163)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82B56" w14:textId="152DCAB6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1.18 (0.95, 1.48)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2291E3" w14:textId="09222D78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26571">
              <w:t>1.08 (0.64, 1.83)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8F59013" w14:textId="1B0CB904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5589D" w14:textId="428BCED4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54 (163)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FED5C" w14:textId="088A7768" w:rsidR="003E6F9B" w:rsidRPr="00E847F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4336E2">
              <w:t>1.51 (1.09, 2.1)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0962E25E" w14:textId="3DA4883D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D064D">
              <w:t>2.03 (0.92, 4.50)</w:t>
            </w:r>
          </w:p>
        </w:tc>
      </w:tr>
      <w:tr w:rsidR="003E6F9B" w:rsidRPr="00063833" w14:paraId="374F68FE" w14:textId="3192EEB7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5DBFC0B8" w14:textId="0D788E1E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&gt; 32.5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14171" w14:textId="18C65E85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67 (89)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0782E" w14:textId="0D24C2DA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0F384D">
              <w:t>1.77 (1.35, 2.31)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F69DB4" w14:textId="7F370465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026571">
              <w:t>2.18 (1.15, 4.14)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78C8E86" w14:textId="3FE67A82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8436C" w14:textId="431382D5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34 (89)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9143E" w14:textId="5E8F0C1B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4336E2">
              <w:t>2.27 (1.54, 3.34)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6CDCAFA7" w14:textId="6C0B7030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2D064D">
              <w:t>3.18 (1.15, 8.77)</w:t>
            </w:r>
          </w:p>
        </w:tc>
      </w:tr>
      <w:tr w:rsidR="003E6F9B" w:rsidRPr="00063833" w14:paraId="3A3B79BD" w14:textId="77777777" w:rsidTr="008E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50C781B7" w14:textId="31DD8139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>Never smoker (ref.)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0C833A8" w14:textId="5653D0F4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201 (463)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B727644" w14:textId="6883FD7A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12FFE6C" w14:textId="3FE47D2E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40487B" w14:textId="77777777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968F4" w14:textId="30D042C6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95 (463)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C436A" w14:textId="409E6D09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70A30D20" w14:textId="202AABC6" w:rsidR="003E6F9B" w:rsidRPr="00063833" w:rsidRDefault="00055BD9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E6F9B" w:rsidRPr="00063833" w14:paraId="1A2A0B68" w14:textId="77777777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244DA75A" w14:textId="584E5D62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Previous smoker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219E0A4" w14:textId="2AA00D2F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328 (558)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5CBCF37" w14:textId="59269213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0F384D">
              <w:t>1.44 (1.21, 1.72)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D95071" w14:textId="156805D6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AA1E7C">
              <w:t>1.67 (1.15, 2.42)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EFC243" w14:textId="77777777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C5B8F" w14:textId="18C9DA93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141 (558)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140E9" w14:textId="12D2E6E3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1.29 (0.99, 1.68)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3933FAD2" w14:textId="31CA3AB1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1E3D2D">
              <w:t>1.87 (0.98, 3.58)</w:t>
            </w:r>
          </w:p>
        </w:tc>
      </w:tr>
      <w:tr w:rsidR="003E6F9B" w:rsidRPr="00063833" w14:paraId="36D00A51" w14:textId="4BD4E6CE" w:rsidTr="008E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23D8F477" w14:textId="516151FE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Current smoker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5272C7B" w14:textId="37BEC01D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0F384D">
              <w:t>404 (548)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3E9C2B8" w14:textId="2BDCF0E1" w:rsidR="003E6F9B" w:rsidRPr="00E847F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0F384D">
              <w:t>2.73 (2.3, 3.24)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54BA82A" w14:textId="52B4A92D" w:rsidR="003E6F9B" w:rsidRPr="00E847F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AA1E7C">
              <w:t>4.05 (2.91, 5.61)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3EB2A04" w14:textId="5CAD0953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24DD0" w14:textId="3FF04FC2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4336E2">
              <w:t>176 (548)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51107" w14:textId="01308F49" w:rsidR="003E6F9B" w:rsidRPr="00E847F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4336E2">
              <w:t>2.5 (1.94, 3.21)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1A7482C" w14:textId="363A5F69" w:rsidR="003E6F9B" w:rsidRPr="00E847F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1E3D2D">
              <w:t>5.66 (3.21, 9.97)</w:t>
            </w:r>
          </w:p>
        </w:tc>
      </w:tr>
      <w:tr w:rsidR="003E6F9B" w:rsidRPr="00063833" w14:paraId="7AFA8BA7" w14:textId="77777777" w:rsidTr="00930A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6BE621BC" w14:textId="509F527B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Alcohol consumption in </w:t>
            </w:r>
            <w:r>
              <w:rPr>
                <w:b w:val="0"/>
                <w:bCs w:val="0"/>
              </w:rPr>
              <w:t>100</w:t>
            </w:r>
            <w:r w:rsidRPr="008E1BBC">
              <w:rPr>
                <w:b w:val="0"/>
                <w:bCs w:val="0"/>
              </w:rPr>
              <w:t>g/week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6A92201" w14:textId="3BACDA99" w:rsidR="003E6F9B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18A722E" w14:textId="0DDDB40C" w:rsidR="003E6F9B" w:rsidRPr="003E6F9B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E6F9B">
              <w:t>1.17 (1.13, 1.22)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4B2541" w14:textId="77CAF34B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A1E7C">
              <w:t>1.10 (1.05, 1.15)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E10096" w14:textId="77777777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bottom w:val="nil"/>
            </w:tcBorders>
          </w:tcPr>
          <w:p w14:paraId="5AE04964" w14:textId="537D6E51" w:rsidR="003E6F9B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687" w:type="dxa"/>
            <w:tcBorders>
              <w:top w:val="nil"/>
              <w:bottom w:val="nil"/>
            </w:tcBorders>
          </w:tcPr>
          <w:p w14:paraId="696C656E" w14:textId="5DBF6407" w:rsidR="003E6F9B" w:rsidRPr="003E6F9B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E6F9B">
              <w:t>1.18 (1.11, 1.24)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7E7C2092" w14:textId="786B0114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E3D2D">
              <w:t>1.11 (1.04, 1.18)</w:t>
            </w:r>
          </w:p>
        </w:tc>
      </w:tr>
      <w:tr w:rsidR="00BF0E9B" w:rsidRPr="00063833" w14:paraId="2DBCD8CA" w14:textId="77777777" w:rsidTr="00D179E0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  <w:vAlign w:val="bottom"/>
            <w:hideMark/>
          </w:tcPr>
          <w:p w14:paraId="0F9D8ADC" w14:textId="77777777" w:rsidR="00BF0E9B" w:rsidRPr="00063833" w:rsidRDefault="00BF0E9B" w:rsidP="00BF0E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3"/>
            <w:tcBorders>
              <w:top w:val="nil"/>
              <w:bottom w:val="nil"/>
            </w:tcBorders>
            <w:vAlign w:val="bottom"/>
          </w:tcPr>
          <w:p w14:paraId="29E4E2E7" w14:textId="4DD6EAF2" w:rsidR="00BF0E9B" w:rsidRPr="00063833" w:rsidRDefault="00BF0E9B" w:rsidP="00BF0E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Non-cardiovascular m</w:t>
            </w:r>
            <w:r w:rsidRPr="00063833">
              <w:rPr>
                <w:rFonts w:ascii="Times New Roman" w:hAnsi="Times New Roman" w:cs="Times New Roman"/>
                <w:b/>
                <w:bCs/>
              </w:rPr>
              <w:t>ortality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bottom"/>
          </w:tcPr>
          <w:p w14:paraId="4CE18E9C" w14:textId="77777777" w:rsidR="00BF0E9B" w:rsidRPr="00063833" w:rsidRDefault="00BF0E9B" w:rsidP="00BF0E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bottom"/>
          </w:tcPr>
          <w:p w14:paraId="0428D696" w14:textId="3EAE08CB" w:rsidR="00BF0E9B" w:rsidRPr="00063833" w:rsidRDefault="00BF0E9B" w:rsidP="00BF0E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6F9B" w:rsidRPr="00063833" w14:paraId="43A6484C" w14:textId="77777777" w:rsidTr="00E847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0B4C8666" w14:textId="44EDB7F8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rFonts w:hint="eastAsia"/>
                <w:b w:val="0"/>
                <w:bCs w:val="0"/>
              </w:rPr>
              <w:t>BMI</w:t>
            </w:r>
            <w:r>
              <w:rPr>
                <w:b w:val="0"/>
                <w:bCs w:val="0"/>
              </w:rPr>
              <w:t xml:space="preserve"> (</w:t>
            </w:r>
            <w:r w:rsidRPr="00310A6A">
              <w:rPr>
                <w:b w:val="0"/>
                <w:bCs w:val="0"/>
              </w:rPr>
              <w:t>kg/m</w:t>
            </w:r>
            <w:r w:rsidRPr="00310A6A">
              <w:rPr>
                <w:b w:val="0"/>
                <w:bCs w:val="0"/>
                <w:vertAlign w:val="superscript"/>
              </w:rPr>
              <w:t>2</w:t>
            </w:r>
            <w:r>
              <w:rPr>
                <w:b w:val="0"/>
                <w:bCs w:val="0"/>
              </w:rPr>
              <w:t>)</w:t>
            </w:r>
            <w:r w:rsidRPr="008E1BBC">
              <w:rPr>
                <w:b w:val="0"/>
                <w:bCs w:val="0"/>
              </w:rPr>
              <w:t xml:space="preserve"> </w:t>
            </w:r>
            <w:r w:rsidRPr="008E1BBC">
              <w:rPr>
                <w:rFonts w:hint="eastAsia"/>
                <w:b w:val="0"/>
                <w:bCs w:val="0"/>
              </w:rPr>
              <w:t>≤</w:t>
            </w:r>
            <w:r w:rsidRPr="008E1BBC">
              <w:rPr>
                <w:rFonts w:hint="eastAsia"/>
                <w:b w:val="0"/>
                <w:bCs w:val="0"/>
              </w:rPr>
              <w:t xml:space="preserve"> 25 (ref.)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CA091" w14:textId="2A19D827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164 (511)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8A647" w14:textId="3C862789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24FD633" w14:textId="0DDBCE16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D9254A" w14:textId="77777777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85BA7" w14:textId="4B40EF74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1095B" w14:textId="0F07B7CA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3DB0D348" w14:textId="359422CC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E6F9B" w:rsidRPr="00063833" w14:paraId="27249A13" w14:textId="77777777" w:rsidTr="008E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5D306EF6" w14:textId="408AE180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(25, 27.5]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DCE07" w14:textId="01A784AC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154 (496)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5A348" w14:textId="12995C0E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0.9 (0.72, 1.12)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C05D89A" w14:textId="6012F0A4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E6CE0">
              <w:t>0.90 (0.55, 1.47)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7533E73" w14:textId="77777777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F8596" w14:textId="152F1EB8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4B419" w14:textId="59EAFA98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F7DC613" w14:textId="49FDC1CB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E6F9B" w:rsidRPr="00063833" w14:paraId="72D39BBC" w14:textId="77777777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4237A411" w14:textId="2AF9C9E9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(27.5, 30]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DFFDB" w14:textId="206D46F4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117 (310)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D730A" w14:textId="1B47B0A8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1.12 (0.88, 1.42)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E3117D" w14:textId="51A69CD1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E6CE0">
              <w:t>0.87 (0.49, 1.56)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E22AD7F" w14:textId="77777777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6A6BF" w14:textId="4BBA29B2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7BD6A" w14:textId="269C7B27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1DCA3EB0" w14:textId="27006F2D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E6F9B" w:rsidRPr="00063833" w14:paraId="46429D18" w14:textId="77777777" w:rsidTr="008E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3B0A652C" w14:textId="4BC3C463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(30, 32.5]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815CA" w14:textId="2850ED18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53 (163)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8A0D4" w14:textId="43A47B90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0.97 (0.71, 1.32)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FCEB292" w14:textId="7FDAE493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E6CE0">
              <w:t>0.67 (0.32, 1.39)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7A53E72" w14:textId="77777777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93FC1" w14:textId="3FDE7BFD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FACA0" w14:textId="5C2D4A27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48BE43FA" w14:textId="56B5D070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E6F9B" w:rsidRPr="00063833" w14:paraId="6429EB29" w14:textId="77777777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0491824E" w14:textId="3051F484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&gt; 32.5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D40A2FB" w14:textId="18250A3C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33 (89)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3B95D50" w14:textId="60066388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1.45 (0.99, 2.1)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93D8FA4" w14:textId="0B7FD5C4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E6CE0">
              <w:t>1.73 (0.75, 3.99)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9BC6EA7" w14:textId="77777777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DE1F9" w14:textId="55476915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2D71D" w14:textId="5082A2D8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31033C38" w14:textId="180A3048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E6F9B" w:rsidRPr="00063833" w14:paraId="198188CF" w14:textId="77777777" w:rsidTr="008E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372F744A" w14:textId="531E2AAB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>Never smoker (ref.)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28D000B" w14:textId="70253A09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106 (463)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6477292" w14:textId="5F305F1B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033D4E" w14:textId="42386525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D53B340" w14:textId="77777777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076E4" w14:textId="2F97321B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DDE19" w14:textId="36228565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3A2E33AF" w14:textId="382113B3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E6F9B" w:rsidRPr="00063833" w14:paraId="737286C6" w14:textId="77777777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740B58DD" w14:textId="4757BD3C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Previous smoker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25D034E" w14:textId="5DBD881E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187 (558)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554AC43" w14:textId="4B1BC3A9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2265A9">
              <w:t>1.57 (1.24, 2)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C6179F4" w14:textId="27A33D84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A640F">
              <w:t>1.58 (1.01, 2.49)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069F8" w14:textId="77777777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E3141" w14:textId="566A09BA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43C24" w14:textId="5FC7B6D9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01B40D65" w14:textId="324FB414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E6F9B" w:rsidRPr="00063833" w14:paraId="796FA7D6" w14:textId="77777777" w:rsidTr="008E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0DFB3ACE" w14:textId="0C037BD8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    Current smoker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A0B9E64" w14:textId="032DFF4B" w:rsidR="003E6F9B" w:rsidRPr="008D3DC8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265A9">
              <w:t>228 (548)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AC84CF4" w14:textId="16A78C02" w:rsidR="003E6F9B" w:rsidRPr="00E847F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2265A9">
              <w:t>2.94 (2.33, 3.71)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13CF266" w14:textId="3C7BC699" w:rsidR="003E6F9B" w:rsidRPr="00E847F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A640F">
              <w:t>3.31 (2.21, 4.97)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A2C1103" w14:textId="77777777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597C1" w14:textId="3D040F32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B7DBD" w14:textId="0BBE79D4" w:rsidR="003E6F9B" w:rsidRPr="00393646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35437F19" w14:textId="36BC2341" w:rsidR="003E6F9B" w:rsidRPr="00063833" w:rsidRDefault="003E6F9B" w:rsidP="003E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E6F9B" w:rsidRPr="00063833" w14:paraId="75D1CD09" w14:textId="77777777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nil"/>
            </w:tcBorders>
          </w:tcPr>
          <w:p w14:paraId="121BA778" w14:textId="23FA5BE1" w:rsidR="003E6F9B" w:rsidRPr="008E1BBC" w:rsidRDefault="003E6F9B" w:rsidP="003E6F9B">
            <w:pPr>
              <w:rPr>
                <w:b w:val="0"/>
                <w:bCs w:val="0"/>
              </w:rPr>
            </w:pPr>
            <w:r w:rsidRPr="008E1BBC">
              <w:rPr>
                <w:b w:val="0"/>
                <w:bCs w:val="0"/>
              </w:rPr>
              <w:t xml:space="preserve">Alcohol consumption in </w:t>
            </w:r>
            <w:r>
              <w:rPr>
                <w:b w:val="0"/>
                <w:bCs w:val="0"/>
              </w:rPr>
              <w:t>100</w:t>
            </w:r>
            <w:r w:rsidRPr="008E1BBC">
              <w:rPr>
                <w:b w:val="0"/>
                <w:bCs w:val="0"/>
              </w:rPr>
              <w:t>g/week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9F462B0" w14:textId="4AEDAD29" w:rsidR="003E6F9B" w:rsidRPr="008D3DC8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F7AC757" w14:textId="4D299A64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</w:rPr>
            </w:pPr>
            <w:r w:rsidRPr="002265A9">
              <w:t>1.17 (1.1, 1.23)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43E206E" w14:textId="737EA6A8" w:rsidR="003E6F9B" w:rsidRPr="00E847F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A640F">
              <w:t>1.09 (1.02, 1.16)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E6F1545" w14:textId="77777777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FD4D4" w14:textId="5B2397FD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49DEA" w14:textId="25546913" w:rsidR="003E6F9B" w:rsidRPr="00393646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2008" w:type="dxa"/>
            <w:tcBorders>
              <w:top w:val="nil"/>
              <w:bottom w:val="nil"/>
            </w:tcBorders>
          </w:tcPr>
          <w:p w14:paraId="5B8AC5C4" w14:textId="6AA15318" w:rsidR="003E6F9B" w:rsidRPr="00063833" w:rsidRDefault="003E6F9B" w:rsidP="003E6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A5FAD" w:rsidRPr="00063833" w14:paraId="74BBED64" w14:textId="77777777" w:rsidTr="00840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il"/>
              <w:bottom w:val="single" w:sz="4" w:space="0" w:color="auto"/>
            </w:tcBorders>
          </w:tcPr>
          <w:p w14:paraId="7FD011E1" w14:textId="77777777" w:rsidR="007A5FAD" w:rsidRPr="00063833" w:rsidRDefault="007A5FAD" w:rsidP="007A5FAD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C4AF26D" w14:textId="77777777" w:rsidR="007A5FAD" w:rsidRPr="00063833" w:rsidRDefault="007A5FAD" w:rsidP="007A5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2432C06" w14:textId="77777777" w:rsidR="007A5FAD" w:rsidRPr="00206396" w:rsidRDefault="007A5FAD" w:rsidP="007A5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5FC8F5D" w14:textId="2A5DBD91" w:rsidR="007A5FAD" w:rsidRPr="00206396" w:rsidRDefault="007A5FAD" w:rsidP="007A5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</w:tcPr>
          <w:p w14:paraId="3514AA91" w14:textId="77777777" w:rsidR="007A5FAD" w:rsidRPr="00063833" w:rsidRDefault="007A5FAD" w:rsidP="007A5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14:paraId="74E056F6" w14:textId="77777777" w:rsidR="007A5FAD" w:rsidRPr="00063833" w:rsidRDefault="007A5FAD" w:rsidP="007A5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</w:tcPr>
          <w:p w14:paraId="5D7516D9" w14:textId="77777777" w:rsidR="007A5FAD" w:rsidRPr="005A2852" w:rsidRDefault="007A5FAD" w:rsidP="007A5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  <w:tcBorders>
              <w:top w:val="nil"/>
              <w:bottom w:val="single" w:sz="4" w:space="0" w:color="auto"/>
            </w:tcBorders>
          </w:tcPr>
          <w:p w14:paraId="6FFA69DB" w14:textId="693E3F50" w:rsidR="007A5FAD" w:rsidRPr="005A2852" w:rsidRDefault="007A5FAD" w:rsidP="007A5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E9B" w:rsidRPr="00063833" w14:paraId="3642A89B" w14:textId="6C360908" w:rsidTr="008E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8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3C04C18A" w14:textId="328A6211" w:rsidR="00BF0E9B" w:rsidRDefault="00BF0E9B" w:rsidP="00BF0E9B">
            <w:pPr>
              <w:rPr>
                <w:rFonts w:ascii="Times New Roman" w:hAnsi="Times New Roman" w:cs="Times New Roman"/>
                <w:i/>
                <w:iCs/>
              </w:rPr>
            </w:pPr>
            <w:r w:rsidRPr="00063833">
              <w:rPr>
                <w:rFonts w:ascii="Times New Roman" w:hAnsi="Times New Roman" w:cs="Times New Roman"/>
                <w:b w:val="0"/>
                <w:bCs w:val="0"/>
              </w:rPr>
              <w:t>CI, confidence interval;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7A5FAD">
              <w:rPr>
                <w:rFonts w:ascii="Times New Roman" w:hAnsi="Times New Roman" w:cs="Times New Roman"/>
                <w:b w:val="0"/>
                <w:bCs w:val="0"/>
              </w:rPr>
              <w:t>BMI</w:t>
            </w:r>
            <w:r>
              <w:rPr>
                <w:rFonts w:ascii="Times New Roman" w:hAnsi="Times New Roman" w:cs="Times New Roman"/>
                <w:b w:val="0"/>
                <w:bCs w:val="0"/>
              </w:rPr>
              <w:t>,</w:t>
            </w:r>
            <w:r w:rsidR="007A5FAD">
              <w:rPr>
                <w:rFonts w:ascii="Times New Roman" w:hAnsi="Times New Roman" w:cs="Times New Roman"/>
                <w:b w:val="0"/>
                <w:bCs w:val="0"/>
              </w:rPr>
              <w:t xml:space="preserve"> body mass index</w:t>
            </w:r>
            <w:r>
              <w:rPr>
                <w:rFonts w:ascii="Times New Roman" w:hAnsi="Times New Roman" w:cs="Times New Roman"/>
                <w:b w:val="0"/>
                <w:bCs w:val="0"/>
              </w:rPr>
              <w:t>; r</w:t>
            </w:r>
            <w:r w:rsidRPr="00063833">
              <w:rPr>
                <w:rFonts w:ascii="Times New Roman" w:hAnsi="Times New Roman" w:cs="Times New Roman"/>
                <w:b w:val="0"/>
                <w:bCs w:val="0"/>
              </w:rPr>
              <w:t>ef., reference category.</w:t>
            </w:r>
          </w:p>
          <w:p w14:paraId="70057050" w14:textId="6043D93C" w:rsidR="00BF0E9B" w:rsidRPr="00A827A4" w:rsidRDefault="00BF0E9B" w:rsidP="00A827A4">
            <w:pPr>
              <w:rPr>
                <w:rFonts w:ascii="Times New Roman" w:hAnsi="Times New Roman" w:cs="Times New Roman"/>
              </w:rPr>
            </w:pPr>
            <w:r w:rsidRPr="00E93601">
              <w:rPr>
                <w:rFonts w:ascii="Times New Roman" w:hAnsi="Times New Roman" w:cs="Times New Roman"/>
                <w:b w:val="0"/>
                <w:bCs w:val="0"/>
              </w:rPr>
              <w:t xml:space="preserve">Crude 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HRs are hazard ratios adjusted for age only. Fully adjusted HRs were adjusted for age, body mass index, </w:t>
            </w:r>
            <w:r w:rsidR="007A5FAD">
              <w:rPr>
                <w:rFonts w:ascii="Times New Roman" w:hAnsi="Times New Roman" w:cs="Times New Roman"/>
                <w:b w:val="0"/>
                <w:bCs w:val="0"/>
              </w:rPr>
              <w:t xml:space="preserve">smoking, the interaction between body mass index and smoking, </w:t>
            </w:r>
            <w:r>
              <w:rPr>
                <w:rFonts w:ascii="Times New Roman" w:hAnsi="Times New Roman" w:cs="Times New Roman"/>
                <w:b w:val="0"/>
                <w:bCs w:val="0"/>
              </w:rPr>
              <w:t>and alcohol consumption</w:t>
            </w:r>
            <w:r w:rsidR="00032A59">
              <w:rPr>
                <w:rFonts w:ascii="Times New Roman" w:hAnsi="Times New Roman" w:cs="Times New Roman"/>
                <w:b w:val="0"/>
                <w:bCs w:val="0"/>
              </w:rPr>
              <w:t>.</w:t>
            </w:r>
          </w:p>
        </w:tc>
      </w:tr>
    </w:tbl>
    <w:p w14:paraId="4F820A9B" w14:textId="42A356FF" w:rsidR="00977DA8" w:rsidRPr="004672B0" w:rsidRDefault="00977DA8" w:rsidP="002C5190">
      <w:pPr>
        <w:pStyle w:val="Caption"/>
        <w:keepNext/>
      </w:pPr>
    </w:p>
    <w:sectPr w:rsidR="00977DA8" w:rsidRPr="004672B0" w:rsidSect="00860855">
      <w:pgSz w:w="15840" w:h="12240" w:orient="landscape"/>
      <w:pgMar w:top="794" w:right="794" w:bottom="794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A9"/>
    <w:rsid w:val="00020E4E"/>
    <w:rsid w:val="00032A59"/>
    <w:rsid w:val="00034069"/>
    <w:rsid w:val="00034897"/>
    <w:rsid w:val="00035FB5"/>
    <w:rsid w:val="00055BD9"/>
    <w:rsid w:val="00063833"/>
    <w:rsid w:val="00064816"/>
    <w:rsid w:val="000757BC"/>
    <w:rsid w:val="00091A9E"/>
    <w:rsid w:val="000B71A0"/>
    <w:rsid w:val="000C158C"/>
    <w:rsid w:val="000D1E7A"/>
    <w:rsid w:val="000D78C0"/>
    <w:rsid w:val="001064F8"/>
    <w:rsid w:val="001544B9"/>
    <w:rsid w:val="001A0473"/>
    <w:rsid w:val="001A327B"/>
    <w:rsid w:val="001A36A1"/>
    <w:rsid w:val="001B1811"/>
    <w:rsid w:val="001C2106"/>
    <w:rsid w:val="001C76C8"/>
    <w:rsid w:val="002037FC"/>
    <w:rsid w:val="002129DA"/>
    <w:rsid w:val="00217673"/>
    <w:rsid w:val="00222F7E"/>
    <w:rsid w:val="00224684"/>
    <w:rsid w:val="00243D2A"/>
    <w:rsid w:val="00245ACD"/>
    <w:rsid w:val="0024794C"/>
    <w:rsid w:val="00252BB9"/>
    <w:rsid w:val="00261C44"/>
    <w:rsid w:val="002876E1"/>
    <w:rsid w:val="002C011B"/>
    <w:rsid w:val="002C5190"/>
    <w:rsid w:val="002D5D85"/>
    <w:rsid w:val="002F359F"/>
    <w:rsid w:val="002F791E"/>
    <w:rsid w:val="0030308A"/>
    <w:rsid w:val="00310A6A"/>
    <w:rsid w:val="00315100"/>
    <w:rsid w:val="00327C45"/>
    <w:rsid w:val="00336E4E"/>
    <w:rsid w:val="00343764"/>
    <w:rsid w:val="003626D4"/>
    <w:rsid w:val="0038141D"/>
    <w:rsid w:val="00393646"/>
    <w:rsid w:val="00397566"/>
    <w:rsid w:val="00397B88"/>
    <w:rsid w:val="003B24D0"/>
    <w:rsid w:val="003B6929"/>
    <w:rsid w:val="003B6A27"/>
    <w:rsid w:val="003C5553"/>
    <w:rsid w:val="003D4325"/>
    <w:rsid w:val="003E6F9B"/>
    <w:rsid w:val="00456B69"/>
    <w:rsid w:val="004672B0"/>
    <w:rsid w:val="00484F53"/>
    <w:rsid w:val="00494E82"/>
    <w:rsid w:val="004E623B"/>
    <w:rsid w:val="004F5216"/>
    <w:rsid w:val="00503765"/>
    <w:rsid w:val="00506D62"/>
    <w:rsid w:val="00507E5A"/>
    <w:rsid w:val="00526E32"/>
    <w:rsid w:val="005339C7"/>
    <w:rsid w:val="0053593D"/>
    <w:rsid w:val="00580BAB"/>
    <w:rsid w:val="0058189E"/>
    <w:rsid w:val="0059436C"/>
    <w:rsid w:val="005A40F6"/>
    <w:rsid w:val="005C0FA6"/>
    <w:rsid w:val="005C126E"/>
    <w:rsid w:val="005D0EEB"/>
    <w:rsid w:val="005D6940"/>
    <w:rsid w:val="005E1BF7"/>
    <w:rsid w:val="005E3B04"/>
    <w:rsid w:val="005E47DE"/>
    <w:rsid w:val="0060025D"/>
    <w:rsid w:val="00601767"/>
    <w:rsid w:val="00617D27"/>
    <w:rsid w:val="00621A27"/>
    <w:rsid w:val="00621F44"/>
    <w:rsid w:val="0062397D"/>
    <w:rsid w:val="00641937"/>
    <w:rsid w:val="00644E36"/>
    <w:rsid w:val="00650190"/>
    <w:rsid w:val="006648C0"/>
    <w:rsid w:val="00681809"/>
    <w:rsid w:val="0068359A"/>
    <w:rsid w:val="0069358C"/>
    <w:rsid w:val="006941D3"/>
    <w:rsid w:val="006960CC"/>
    <w:rsid w:val="006A59D7"/>
    <w:rsid w:val="006A684F"/>
    <w:rsid w:val="006B3A71"/>
    <w:rsid w:val="006C16DD"/>
    <w:rsid w:val="006C33DC"/>
    <w:rsid w:val="006D3AEF"/>
    <w:rsid w:val="006D6538"/>
    <w:rsid w:val="006E1830"/>
    <w:rsid w:val="006E4058"/>
    <w:rsid w:val="006E51FE"/>
    <w:rsid w:val="00702274"/>
    <w:rsid w:val="0071405F"/>
    <w:rsid w:val="0071490E"/>
    <w:rsid w:val="00720633"/>
    <w:rsid w:val="00734FC1"/>
    <w:rsid w:val="007444BA"/>
    <w:rsid w:val="00770F30"/>
    <w:rsid w:val="00771913"/>
    <w:rsid w:val="00773BBC"/>
    <w:rsid w:val="007829A0"/>
    <w:rsid w:val="00783234"/>
    <w:rsid w:val="0078480F"/>
    <w:rsid w:val="00790F29"/>
    <w:rsid w:val="007A5FAD"/>
    <w:rsid w:val="007A7C9A"/>
    <w:rsid w:val="007B3ED9"/>
    <w:rsid w:val="007C3821"/>
    <w:rsid w:val="007D2991"/>
    <w:rsid w:val="007E4374"/>
    <w:rsid w:val="007F744C"/>
    <w:rsid w:val="008133D8"/>
    <w:rsid w:val="00814035"/>
    <w:rsid w:val="008173CA"/>
    <w:rsid w:val="00827311"/>
    <w:rsid w:val="00835C85"/>
    <w:rsid w:val="00840519"/>
    <w:rsid w:val="00841CB1"/>
    <w:rsid w:val="00842201"/>
    <w:rsid w:val="00860855"/>
    <w:rsid w:val="00880C63"/>
    <w:rsid w:val="00897190"/>
    <w:rsid w:val="008C16C1"/>
    <w:rsid w:val="008C57D2"/>
    <w:rsid w:val="008D3DC8"/>
    <w:rsid w:val="008D50B7"/>
    <w:rsid w:val="008D67E1"/>
    <w:rsid w:val="008E1BBC"/>
    <w:rsid w:val="008F3505"/>
    <w:rsid w:val="00910E19"/>
    <w:rsid w:val="009114C6"/>
    <w:rsid w:val="00920924"/>
    <w:rsid w:val="00930AD2"/>
    <w:rsid w:val="0093608C"/>
    <w:rsid w:val="009551D7"/>
    <w:rsid w:val="009721D6"/>
    <w:rsid w:val="0097413D"/>
    <w:rsid w:val="00977DA8"/>
    <w:rsid w:val="009B3C5C"/>
    <w:rsid w:val="009B3D26"/>
    <w:rsid w:val="009B762F"/>
    <w:rsid w:val="009C0BEA"/>
    <w:rsid w:val="009C4ECD"/>
    <w:rsid w:val="009D47DD"/>
    <w:rsid w:val="009E2984"/>
    <w:rsid w:val="009E5100"/>
    <w:rsid w:val="009F401D"/>
    <w:rsid w:val="009F7DA8"/>
    <w:rsid w:val="00A31C27"/>
    <w:rsid w:val="00A47FBC"/>
    <w:rsid w:val="00A63A68"/>
    <w:rsid w:val="00A67D21"/>
    <w:rsid w:val="00A746B3"/>
    <w:rsid w:val="00A75902"/>
    <w:rsid w:val="00A827A4"/>
    <w:rsid w:val="00AA093A"/>
    <w:rsid w:val="00AA556D"/>
    <w:rsid w:val="00AB4F70"/>
    <w:rsid w:val="00AF3F68"/>
    <w:rsid w:val="00B0303F"/>
    <w:rsid w:val="00B30E57"/>
    <w:rsid w:val="00B41356"/>
    <w:rsid w:val="00B44FED"/>
    <w:rsid w:val="00B670DC"/>
    <w:rsid w:val="00B73E94"/>
    <w:rsid w:val="00BA732B"/>
    <w:rsid w:val="00BB6A13"/>
    <w:rsid w:val="00BD059C"/>
    <w:rsid w:val="00BF0E9B"/>
    <w:rsid w:val="00C036F3"/>
    <w:rsid w:val="00C2065D"/>
    <w:rsid w:val="00C20826"/>
    <w:rsid w:val="00C45BD8"/>
    <w:rsid w:val="00C464CD"/>
    <w:rsid w:val="00C775AA"/>
    <w:rsid w:val="00C87437"/>
    <w:rsid w:val="00C9433C"/>
    <w:rsid w:val="00CA0EB1"/>
    <w:rsid w:val="00CA2E3F"/>
    <w:rsid w:val="00CC17D8"/>
    <w:rsid w:val="00CC2F23"/>
    <w:rsid w:val="00CE318B"/>
    <w:rsid w:val="00D03813"/>
    <w:rsid w:val="00D15991"/>
    <w:rsid w:val="00D179E0"/>
    <w:rsid w:val="00D25FF4"/>
    <w:rsid w:val="00D535F1"/>
    <w:rsid w:val="00D63AA1"/>
    <w:rsid w:val="00D72F56"/>
    <w:rsid w:val="00D92B09"/>
    <w:rsid w:val="00D93CB6"/>
    <w:rsid w:val="00D964BC"/>
    <w:rsid w:val="00DD2D2D"/>
    <w:rsid w:val="00DE0681"/>
    <w:rsid w:val="00DE47D3"/>
    <w:rsid w:val="00DF14AF"/>
    <w:rsid w:val="00DF72AF"/>
    <w:rsid w:val="00E20C79"/>
    <w:rsid w:val="00E225D3"/>
    <w:rsid w:val="00E67AEF"/>
    <w:rsid w:val="00E67BD9"/>
    <w:rsid w:val="00E847F3"/>
    <w:rsid w:val="00E93601"/>
    <w:rsid w:val="00EB0A31"/>
    <w:rsid w:val="00EB112C"/>
    <w:rsid w:val="00EC003D"/>
    <w:rsid w:val="00EF1873"/>
    <w:rsid w:val="00F05877"/>
    <w:rsid w:val="00F128A9"/>
    <w:rsid w:val="00F17E96"/>
    <w:rsid w:val="00F208E5"/>
    <w:rsid w:val="00F529A8"/>
    <w:rsid w:val="00F5783D"/>
    <w:rsid w:val="00F621E4"/>
    <w:rsid w:val="00F84663"/>
    <w:rsid w:val="00F922C3"/>
    <w:rsid w:val="00FB1007"/>
    <w:rsid w:val="00FD293D"/>
    <w:rsid w:val="00F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C2D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F128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6A684F"/>
    <w:pPr>
      <w:spacing w:after="200" w:line="240" w:lineRule="auto"/>
    </w:pPr>
    <w:rPr>
      <w:iCs/>
      <w:szCs w:val="18"/>
    </w:rPr>
  </w:style>
  <w:style w:type="paragraph" w:styleId="ListParagraph">
    <w:name w:val="List Paragraph"/>
    <w:basedOn w:val="Normal"/>
    <w:uiPriority w:val="34"/>
    <w:qFormat/>
    <w:rsid w:val="00DD2D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BB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E4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0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0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17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ersonnalisé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D3DAE2FABCF49BA38B852C1C4C9D5" ma:contentTypeVersion="13" ma:contentTypeDescription="Create a new document." ma:contentTypeScope="" ma:versionID="f13833ae1c96d90127b7805f42ae872d">
  <xsd:schema xmlns:xsd="http://www.w3.org/2001/XMLSchema" xmlns:xs="http://www.w3.org/2001/XMLSchema" xmlns:p="http://schemas.microsoft.com/office/2006/metadata/properties" xmlns:ns3="e9494caf-40cd-4f01-ab07-002ef0d7a18f" xmlns:ns4="e6d3ba75-664f-4b6a-a837-02fdfbabd024" targetNamespace="http://schemas.microsoft.com/office/2006/metadata/properties" ma:root="true" ma:fieldsID="f96ff0ee1e827cd4146fbab12470eeeb" ns3:_="" ns4:_="">
    <xsd:import namespace="e9494caf-40cd-4f01-ab07-002ef0d7a18f"/>
    <xsd:import namespace="e6d3ba75-664f-4b6a-a837-02fdfbabd024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494caf-40cd-4f01-ab07-002ef0d7a18f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3ba75-664f-4b6a-a837-02fdfbabd0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49B079-6514-41AD-ABC6-D48275A4B7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1030F-D4C7-48C8-A703-F12A3AE46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494caf-40cd-4f01-ab07-002ef0d7a18f"/>
    <ds:schemaRef ds:uri="e6d3ba75-664f-4b6a-a837-02fdfbabd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18D38B-5649-41FE-AA90-E60E2BB484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2021-01-11T18:47:00Z</dcterms:created>
  <dcterms:modified xsi:type="dcterms:W3CDTF">2021-03-08T11:21:00Z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0x010100152D3DAE2FABCF49BA38B852C1C4C9D5</vt:lpwstr>
  </property>
</Properties>
</file>