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74F6B" w14:textId="77777777" w:rsidR="004863CA" w:rsidRPr="00C26254" w:rsidRDefault="004863CA" w:rsidP="004863CA">
      <w:pPr>
        <w:rPr>
          <w:rFonts w:ascii="Times New Roman" w:hAnsi="Times New Roman" w:cs="Times New Roman"/>
          <w:szCs w:val="24"/>
        </w:rPr>
      </w:pPr>
      <w:r w:rsidRPr="00C26254">
        <w:rPr>
          <w:rFonts w:ascii="Times New Roman" w:hAnsi="Times New Roman" w:cs="Times New Roman"/>
          <w:szCs w:val="24"/>
        </w:rPr>
        <w:t>Table S1. Characteristics of patients with ischemic stroke by the eGFR levels at admission</w:t>
      </w:r>
      <w:r w:rsidRPr="00C26254">
        <w:rPr>
          <w:rFonts w:ascii="Times New Roman" w:hAnsi="Times New Roman" w:cs="Times New Roman"/>
          <w:szCs w:val="24"/>
        </w:rPr>
        <w:tab/>
      </w:r>
      <w:r w:rsidRPr="00C26254">
        <w:rPr>
          <w:rFonts w:ascii="Times New Roman" w:hAnsi="Times New Roman" w:cs="Times New Roman"/>
          <w:szCs w:val="24"/>
        </w:rPr>
        <w:tab/>
      </w:r>
      <w:r w:rsidRPr="00C26254">
        <w:rPr>
          <w:rFonts w:ascii="Times New Roman" w:hAnsi="Times New Roman" w:cs="Times New Roman"/>
          <w:szCs w:val="24"/>
        </w:rPr>
        <w:tab/>
      </w:r>
    </w:p>
    <w:tbl>
      <w:tblPr>
        <w:tblW w:w="139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906"/>
        <w:gridCol w:w="907"/>
        <w:gridCol w:w="907"/>
        <w:gridCol w:w="906"/>
        <w:gridCol w:w="907"/>
        <w:gridCol w:w="907"/>
        <w:gridCol w:w="906"/>
        <w:gridCol w:w="907"/>
        <w:gridCol w:w="907"/>
        <w:gridCol w:w="906"/>
        <w:gridCol w:w="907"/>
        <w:gridCol w:w="907"/>
        <w:gridCol w:w="955"/>
      </w:tblGrid>
      <w:tr w:rsidR="00C26254" w:rsidRPr="00C26254" w14:paraId="3C72EF95" w14:textId="77777777" w:rsidTr="00D310CA">
        <w:trPr>
          <w:trHeight w:val="330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27E80CF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Variable</w:t>
            </w:r>
          </w:p>
        </w:tc>
        <w:tc>
          <w:tcPr>
            <w:tcW w:w="108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03CD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eGFR mL/min/1.73 m</w:t>
            </w: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  <w:vertAlign w:val="superscript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C0F4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</w:tr>
      <w:tr w:rsidR="00C26254" w:rsidRPr="00C26254" w14:paraId="74C023BF" w14:textId="77777777" w:rsidTr="00D310CA">
        <w:trPr>
          <w:trHeight w:val="660"/>
        </w:trPr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E0A69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C22B7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bCs/>
                <w:sz w:val="22"/>
              </w:rPr>
              <w:t xml:space="preserve">Total </w:t>
            </w:r>
            <w:r w:rsidRPr="00C26254">
              <w:rPr>
                <w:rFonts w:ascii="Times New Roman" w:hAnsi="Times New Roman" w:cs="Times New Roman"/>
                <w:bCs/>
                <w:sz w:val="22"/>
              </w:rPr>
              <w:br/>
              <w:t>(N=46707)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0A85D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bCs/>
                <w:sz w:val="22"/>
              </w:rPr>
              <w:t xml:space="preserve">≥90 </w:t>
            </w:r>
            <w:r w:rsidRPr="00C26254">
              <w:rPr>
                <w:rFonts w:ascii="Times New Roman" w:hAnsi="Times New Roman" w:cs="Times New Roman"/>
                <w:bCs/>
                <w:sz w:val="22"/>
              </w:rPr>
              <w:br/>
              <w:t>(n=9367)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BC79F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bCs/>
                <w:sz w:val="22"/>
              </w:rPr>
              <w:t xml:space="preserve">60-89 </w:t>
            </w:r>
            <w:r w:rsidRPr="00C26254">
              <w:rPr>
                <w:rFonts w:ascii="Times New Roman" w:hAnsi="Times New Roman" w:cs="Times New Roman"/>
                <w:bCs/>
                <w:sz w:val="22"/>
              </w:rPr>
              <w:br/>
              <w:t>(n=19904)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A0E1C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bCs/>
                <w:sz w:val="22"/>
              </w:rPr>
              <w:t xml:space="preserve">30-59 </w:t>
            </w:r>
            <w:r w:rsidRPr="00C26254">
              <w:rPr>
                <w:rFonts w:ascii="Times New Roman" w:hAnsi="Times New Roman" w:cs="Times New Roman"/>
                <w:bCs/>
                <w:sz w:val="22"/>
              </w:rPr>
              <w:br/>
              <w:t>(n=13704)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03A8A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bCs/>
                <w:sz w:val="22"/>
              </w:rPr>
              <w:t xml:space="preserve">&lt;30 </w:t>
            </w:r>
            <w:r w:rsidRPr="00C26254">
              <w:rPr>
                <w:rFonts w:ascii="Times New Roman" w:hAnsi="Times New Roman" w:cs="Times New Roman"/>
                <w:bCs/>
                <w:sz w:val="22"/>
              </w:rPr>
              <w:br/>
              <w:t>(n=2203)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68E7A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bCs/>
                <w:sz w:val="22"/>
              </w:rPr>
              <w:t>&lt;15 or dialysis</w:t>
            </w:r>
            <w:r w:rsidRPr="00C26254">
              <w:rPr>
                <w:rFonts w:ascii="Times New Roman" w:hAnsi="Times New Roman" w:cs="Times New Roman"/>
                <w:bCs/>
                <w:sz w:val="22"/>
              </w:rPr>
              <w:br/>
              <w:t>(n=1529)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8BD03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p-value</w:t>
            </w:r>
          </w:p>
        </w:tc>
      </w:tr>
      <w:tr w:rsidR="00C26254" w:rsidRPr="00C26254" w14:paraId="6C10EC0A" w14:textId="77777777" w:rsidTr="00D310CA">
        <w:trPr>
          <w:trHeight w:val="315"/>
        </w:trPr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0A285F0F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381E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2BC21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14B7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8D1A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08B3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9FE7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3351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9108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C862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26D8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120E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7E26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%</w:t>
            </w:r>
          </w:p>
        </w:tc>
        <w:tc>
          <w:tcPr>
            <w:tcW w:w="9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B59B3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</w:tr>
      <w:tr w:rsidR="00C26254" w:rsidRPr="00C26254" w14:paraId="1BF8C439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C3205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Gender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C35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563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E8C3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61B7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2C8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1D6F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1A9D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4F3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782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60D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592F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2C69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8B08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16DE520C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C7362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44A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18411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E850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39.42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31D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EC5E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37.92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BA6C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7442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A1B6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37.39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029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5608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B30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40.92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C84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2BA4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47.53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88F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762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F5A2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49.84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21A0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48FB621A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4A5B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7878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28296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6692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60.58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0E3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93F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62.08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F4C7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12462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5F3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62.61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3006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8096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40C9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59.08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098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D24A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52.47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FA8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DE68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50.16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985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3F7441EC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F5C21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Age, years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E524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440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9E9C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B6A3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5921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A63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5DA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82F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0E4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9DD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6DE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525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7091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0DDE199F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C5A9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 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8D6C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12378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5AB0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26.50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FE21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2954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59.97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5B2B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4749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5DBD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23.86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8EC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1421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DB2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10.37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55B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F3DC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11.48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9FB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338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ED5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22.11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B76E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6FC39421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9B32B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60-70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B3A4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11521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6D44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24.67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BCED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AD66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29.48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05EE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5227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695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26.26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EDC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2753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7D2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174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EDA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16.39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9926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419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73D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27.40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446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2B85B203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B418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71-80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7CB2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13680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A114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29.29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B6C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859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9.23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E225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6530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E19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32.81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14E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5104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FB9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37.24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BED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38A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33.95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0DE4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433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CC09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28.32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E09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6EA13910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AD68F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&gt; 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120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9128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D72F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19.54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0A6A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6399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1.32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6FC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3398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42C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17.07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6122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4426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3177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32.3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298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049C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38.18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14B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8E4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22.17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8708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511737E9" w14:textId="77777777" w:rsidTr="00D310CA">
        <w:trPr>
          <w:trHeight w:val="3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71519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Median (Q1, Q3) 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1245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69.61 (59.36,78.01)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09A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57.58(50.00,63.86)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B22A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69.97(60.48,77.44)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D82D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75.48(67.84,81.89)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0421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76.96(68.77,83.08)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49F6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70.18(61.03,78.92)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543C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694B4D81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CC13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TOAST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9B3F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AEED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921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553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2F8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0C38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E7F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DBB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138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B513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6C56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EE86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6093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2E01F53D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2A41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Large artery atherosclerosis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6B1A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12433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AD7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26.62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491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69F1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25.82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335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5258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BFE4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26.42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C9E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3720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D64A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27.15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7FE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5EEC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29.01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6DEF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397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FE1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25.96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8D00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54AA7A3F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9E454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Small vessel occlusion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22B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18002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582C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38.54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7AE6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AFE5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42.91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FD4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7958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B84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39.98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69FD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4810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734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35.1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E85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6BD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30.82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70C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536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F28F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35.06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30E5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67C537A3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9DC7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proofErr w:type="spellStart"/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Cardioembolism</w:t>
            </w:r>
            <w:proofErr w:type="spellEnd"/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 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19B6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3525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B76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7.55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BFE1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EDFB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11.19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4DE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1436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DF89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E3A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789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B67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5.76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2E40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4F6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6.31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A720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F65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7.39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892D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41D4DB93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44EA5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Determined and undetermined etiology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CF0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12747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3D7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27.29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17F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341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4C4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5252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CF59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26.39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65A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4385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ED4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32.00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156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159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33.86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1E6C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483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E2ED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31.59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A95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1E663593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6B00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Location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953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7F3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EE9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5FF7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1AF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D37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3BE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4D59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209A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9E34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D65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7B6F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18B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20247D9F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2083E" w14:textId="77777777" w:rsidR="004863CA" w:rsidRPr="00C26254" w:rsidRDefault="004863CA" w:rsidP="004863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lastRenderedPageBreak/>
              <w:t>No significant finding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3031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9861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9AD7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21.11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A09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B080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22.29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53A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4176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8EB1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068E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2825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A76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20.61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347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A4B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20.20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269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327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89C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21.39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95F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449CA82C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F748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Anterior circulation 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59A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17473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7177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37.41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D07D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3103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35.39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0BAC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7573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7C9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38.05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D9E1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5218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6041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38.08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6A66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163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37.40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3AF5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543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C1F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35.51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42B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664B4232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C6837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Posterior circulation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6E3B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9365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C63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3D51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1F55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23.72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263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4007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F637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6DC1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2473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2ED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18.05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11C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E74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17.34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8069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281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14FE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18.38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33F9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315F6E15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756CC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Both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B9C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1761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25D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3.77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F6A5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290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F53E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F65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714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192F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FF77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5024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D95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F3C7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E751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FF75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4.25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0664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3A117BE4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E463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Other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C6BC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8247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E910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17.66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58B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E2D8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15.50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BE6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3434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75DC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17.25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55C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2587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BBAF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18.88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53F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7B8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20.93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B34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638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20.47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A3F7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5CFEAA25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AB47E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  <w:vertAlign w:val="superscript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BMI, kg/m</w:t>
            </w: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  <w:vertAlign w:val="superscript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B175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69E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8C82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40B5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4BE7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856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BF15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78B2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0F2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BA5D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68AD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24F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DC8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49C153CB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22BA1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&lt;18.5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7F5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8A1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4.30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6BC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23E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3.80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5B4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840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1C71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035B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582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992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4.25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6DC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2CA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5.72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055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0AC5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6.87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B2F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20D06482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7714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18.5-25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CF60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24783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755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53.06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A66F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F6B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50.36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DA4A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10620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2E8B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53.36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C85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7363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8D5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53.73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EFCA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E902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53.20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CA53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C389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59.58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365A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2A7914D9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C8DCA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≥ 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871E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19915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7482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42.64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886F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A5E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45.84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2DE3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8444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E15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42.42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9BC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5759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155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42.02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905A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B35E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41.08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FD56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9CAB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33.55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3D96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3285B938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1920B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Median (Q1, Q3)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C4ED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24.35(22.03,26.98)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A6E3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24.67(22.30,27.34)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252F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24.34(22.07,26.95)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5059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24.25(21.96,26.81)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3B56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24.14(21.83,26.89)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280D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23.37(21.12,25.92)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584D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6E077E4B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6B04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Comorbidity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51D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99B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0D6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8DD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79EB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A71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6608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6EE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BB0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B17C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D697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3F17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558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26254" w:rsidRPr="00C26254" w14:paraId="7D2CC1E4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FF2E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Smoking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E4BF8" w14:textId="77777777" w:rsidR="004863CA" w:rsidRPr="00C26254" w:rsidRDefault="004863CA" w:rsidP="004863CA">
            <w:pPr>
              <w:widowControl/>
              <w:ind w:firstLineChars="100" w:firstLine="220"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5552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1D3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DD0B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375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2BE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7A14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2ACE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110A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7FF7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FCE7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B14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EF0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5F59AA10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4170" w14:textId="77777777" w:rsidR="004863CA" w:rsidRPr="00C26254" w:rsidRDefault="004863CA" w:rsidP="004863CA">
            <w:pPr>
              <w:widowControl/>
              <w:ind w:firstLineChars="200" w:firstLine="4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Current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380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11674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7CA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24.99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BBC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9CF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35.05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95C0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5138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BC65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25.81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4DD2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2674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43FF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19.51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903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3AC5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16.30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7B88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305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14.39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D776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645E8546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E2240" w14:textId="77777777" w:rsidR="004863CA" w:rsidRPr="00C26254" w:rsidRDefault="004863CA" w:rsidP="004863CA">
            <w:pPr>
              <w:widowControl/>
              <w:ind w:firstLineChars="200" w:firstLine="4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Past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9D1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5965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B127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12.77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F041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CE8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9.91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FDC6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2518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630F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12.65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0F7E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1975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41F8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14.41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757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9B7B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15.30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8CA2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F431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13.54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E4AF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3F34E717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BBA54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Atrial fibrillation 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7F19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3514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B4BB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7.52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3EDD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731F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4655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1457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06C3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4108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1329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251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9.70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F4F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3989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9.62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2C1F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D42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8.76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A0D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13A8202D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243C8" w14:textId="77777777" w:rsidR="004863CA" w:rsidRPr="00C26254" w:rsidRDefault="004863CA" w:rsidP="004863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Previous stroke history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F351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11733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4AE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25.12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C16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A64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16.62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4EF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4804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D4D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24.14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D236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4127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F93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30.12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81C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C98F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35.04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559D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473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3FDE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30.94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18E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56B23047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7120D" w14:textId="77777777" w:rsidR="004863CA" w:rsidRPr="00C26254" w:rsidRDefault="004863CA" w:rsidP="004863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Ischemic heart disease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3CF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5876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A903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12.58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5D5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8471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6.59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B323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2196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2362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11.03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37B2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2193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BDD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B51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4B9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21.92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4570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387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AFDC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25.31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7C15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45B93724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FAD3" w14:textId="77777777" w:rsidR="004863CA" w:rsidRPr="00C26254" w:rsidRDefault="004863CA" w:rsidP="004863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Congestive heart failure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D1AC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87D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2.36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937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88EE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0.98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EEB8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342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F83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1.72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8C2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469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E3B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3.42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7207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4B95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5.13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7F99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7A7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5.56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9E1D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10ACBAA6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3199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Diabetes mellitus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AC6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19053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9B9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40.79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0E8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2C7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39.25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A752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7254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266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36.44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7BB2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5890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295D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42.98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289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36B5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57.88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BD9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957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A897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62.59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97F7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3B2DAC26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3CC8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lastRenderedPageBreak/>
              <w:t xml:space="preserve">Systolic blood pressure, mm Hg 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5B39F" w14:textId="77777777" w:rsidR="004863CA" w:rsidRPr="00C26254" w:rsidRDefault="004863CA" w:rsidP="004863CA">
            <w:pPr>
              <w:widowControl/>
              <w:ind w:firstLineChars="100" w:firstLine="220"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DB5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66C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E54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0B7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A83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5E3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3DB2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ABD6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21E7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8B97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EC9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E36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17E97774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F236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 120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5FB9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3547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211B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7.59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AFD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F53D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7.64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1758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1290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62B2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6.48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388E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1083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9110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7.90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E984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49CC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11.98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E847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194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C6F5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12.69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9547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6CDD8655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4F0A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120-139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D31C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8046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CF4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17.23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8A4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70D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17.38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F727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3396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65BC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17.06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9FE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2370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EAE3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17.29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68D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BCE2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17.61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9EE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9650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17.27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5D7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15150BB5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69BC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140-159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018B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12678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08F3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27.14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2814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5597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27.91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6865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5491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B75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27.59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58D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3660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4309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26.71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DE1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F6FF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24.92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75A9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364.00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BBA2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23.81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1862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54D3173D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EE60C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160-179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40E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10589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2945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22.67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BC5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67E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22.49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327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4657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D748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ECD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3051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7912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22.26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79DB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96F0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20.97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6718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E5B8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20.41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9295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412D8D4E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F6117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180-199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C98B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6731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B1A1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14.41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3CE7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5D38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14.33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193E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2943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3C9E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14.79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6E1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1950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AAF9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14.23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F0D1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6385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12.94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D688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0E8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13.8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D400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1CC198D9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B77D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≥ 200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FB3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5113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27D4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10.95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C53D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983D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10.25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4EC4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2127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8F8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10.69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7B31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1590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E734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11.60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BF7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D27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11.58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5C21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184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3E3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12.03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42EB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41C7C5D9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1794D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Batang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Median (Q1, Q3)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748D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158(140,180)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2B0C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158(139,179)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4BD7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159(140,180)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5BC7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158(139,180)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C4EE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156(136,179)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C428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157(135,181)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FD3A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19842B76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EC4D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Diastolic blood pressure, mm Hg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10FA" w14:textId="77777777" w:rsidR="004863CA" w:rsidRPr="00C26254" w:rsidRDefault="004863CA" w:rsidP="004863CA">
            <w:pPr>
              <w:widowControl/>
              <w:ind w:firstLineChars="100" w:firstLine="220"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B19D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B30D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528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36FF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A53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2032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E1E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787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F2D4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97BB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599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E93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7DCB9397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10D9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763D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14449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F326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30.94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DBC2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85ED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22.96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A3D4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5762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EE12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28.95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879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4884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C6D1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35.64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3FF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3E0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44.30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5A3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676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F67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44.21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881E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20C7DBDD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9F58E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80-89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DF91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10602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8C8A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22.70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B9F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8DF8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22.43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4B4F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4678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DFBB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23.50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222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3063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F9E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22.35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D9C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53AC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20.29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CA07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A35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20.47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A02B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3CFED0E3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A608A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90-99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64AE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9314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3F4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19.94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86F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2070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EFC8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22.10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AC89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4123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4B3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8F25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2515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6FB7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18.35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76C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62A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16.7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4302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91F4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15.57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1434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44659EE3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62FE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100-109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26B8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6086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48A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13.03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048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0B5A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15.76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5E45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2657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5D69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13.35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72C4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1595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AD1E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11.64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3352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BEA4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9.21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3A9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155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0D2A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10.14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D67D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5CB3A091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D4701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110-119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B15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3326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5A82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1C86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BDA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9.09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2E1D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1441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196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2B0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851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DA3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6.21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9BFF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BCE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4.54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75F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2479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5.43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1A3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36DAC651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C18D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≥ 120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271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2930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B57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6.27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1657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2CA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7CE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1243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9840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6.24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A40D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796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DC6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5.81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2939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F3D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4.95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DC0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8452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4.19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2852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6947ECA4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6DE28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Median (Q1, Q3)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5580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88(76,100)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E166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91(80,104)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E378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88(78,100)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4DBC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85(74,99)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15CA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82(70,95)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C656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82(70,96)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A3DF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789D5787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E4D76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Cholesterol, mg/dL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E6156" w14:textId="77777777" w:rsidR="004863CA" w:rsidRPr="00C26254" w:rsidRDefault="004863CA" w:rsidP="004863CA">
            <w:pPr>
              <w:widowControl/>
              <w:ind w:firstLineChars="100" w:firstLine="220"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064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543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2D49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376E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677E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D06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4B4D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A899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B4B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313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6AE7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61F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78B720EA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3D559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 120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823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13468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308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28.84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4A4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C8F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24.43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A25B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5921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4CF5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29.75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326D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4284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668C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31.26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EC7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583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27.01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9BD9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380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B10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24.85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3B3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30E448AB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6A7D9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120-159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1E69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10811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899A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23.15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C8C3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CECC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21.55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5833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4581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896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23.02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208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3257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895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23.77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D8D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B57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25.60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6C95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390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73F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25.51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7E5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06AAAEE7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9945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160-199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8BB0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11513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C59B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24.65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A3DE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EBB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27.07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3C9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4967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A75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24.95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2059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3167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EF7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23.11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3C8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E363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21.74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31C9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364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D98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23.81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EDAB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43EE3A46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7B67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≥ 200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140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10915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13DA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23.37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7A82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E01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26.95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7A88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4435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A184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22.28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1C9E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2996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D37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21.86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744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543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25.65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C815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395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C08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25.83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886F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</w:tr>
      <w:tr w:rsidR="00C26254" w:rsidRPr="00C26254" w14:paraId="3DED39E2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E5E08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lastRenderedPageBreak/>
              <w:t>Median (Q1, Q3)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A212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156(110,196)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6197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165(121,203)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B338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155(109,195)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4D1D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152(107,192)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2A1A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156(116,200)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09C9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159(120,201)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4690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7CD5A9A5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269DE" w14:textId="77777777" w:rsidR="004863CA" w:rsidRPr="00C26254" w:rsidRDefault="004863CA" w:rsidP="004863CA">
            <w:pPr>
              <w:widowControl/>
              <w:ind w:left="220" w:hangingChars="100" w:hanging="22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 xml:space="preserve">Hemoglobin, g/dL Median (Q1, Q3) 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34508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13.8(12.5,15.1)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20D9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14.5(13.3,15.6)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FCBF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14.1(12.9,15.2)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1B86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13.4(12.1,14.7)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BF4D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11.8(10.4,13.2)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C1F5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10.9(9.6,12.2)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B1A8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&lt;.0001</w:t>
            </w:r>
          </w:p>
        </w:tc>
      </w:tr>
      <w:tr w:rsidR="00C26254" w:rsidRPr="00C26254" w14:paraId="2CBD0887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A21D8" w14:textId="77777777" w:rsidR="004863CA" w:rsidRPr="00C26254" w:rsidRDefault="004863CA" w:rsidP="004863CA">
            <w:pPr>
              <w:widowControl/>
              <w:rPr>
                <w:rFonts w:ascii="Times New Roman" w:hAnsi="Times New Roman" w:cs="Times New Roman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HbA1c, %</w:t>
            </w:r>
          </w:p>
          <w:p w14:paraId="6A511B88" w14:textId="77777777" w:rsidR="004863CA" w:rsidRPr="00C26254" w:rsidRDefault="004863CA" w:rsidP="004863CA">
            <w:pPr>
              <w:widowControl/>
              <w:ind w:leftChars="100" w:left="24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 xml:space="preserve">Median (Q1, Q3) 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A15D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7.19(6.20,7.78)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5708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7.55(6.00,7.84)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A386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7.18(6.10,7.63)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2364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7.13(6.30,7.60)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86B5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7.19(6.40,7.78)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A37D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7.19(6.20,7.78)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C906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&lt;.0001</w:t>
            </w:r>
          </w:p>
        </w:tc>
      </w:tr>
      <w:tr w:rsidR="00C26254" w:rsidRPr="00C26254" w14:paraId="6A434C3D" w14:textId="77777777" w:rsidTr="00D310CA">
        <w:trPr>
          <w:trHeight w:val="5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CEA99" w14:textId="77777777" w:rsidR="004863CA" w:rsidRPr="00C26254" w:rsidRDefault="004863CA" w:rsidP="004863CA">
            <w:pPr>
              <w:widowControl/>
              <w:rPr>
                <w:rFonts w:ascii="Times New Roman" w:hAnsi="Times New Roman" w:cs="Times New Roman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Albumin, g/dL</w:t>
            </w:r>
          </w:p>
          <w:p w14:paraId="03C0DB55" w14:textId="77777777" w:rsidR="004863CA" w:rsidRPr="00C26254" w:rsidRDefault="004863CA" w:rsidP="004863CA">
            <w:pPr>
              <w:widowControl/>
              <w:ind w:leftChars="100" w:left="24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 xml:space="preserve">Median (Q1, Q3) 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B072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3.76(3.55,3.91)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E0A4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3.83(3.70,3.90)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D3EF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3.76(3.60,3.90)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4E58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3.67(3.50,3.84)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6C33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3.61(3.39,3.80)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CC86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3.68(3.30,3.84)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1486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0.08</w:t>
            </w:r>
          </w:p>
        </w:tc>
      </w:tr>
      <w:tr w:rsidR="00C26254" w:rsidRPr="00C26254" w14:paraId="3EE8A3E0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0C289" w14:textId="77777777" w:rsidR="004863CA" w:rsidRPr="00C26254" w:rsidRDefault="004863CA" w:rsidP="004863CA">
            <w:pPr>
              <w:widowControl/>
              <w:rPr>
                <w:rFonts w:ascii="Times New Roman" w:hAnsi="Times New Roman" w:cs="Times New Roman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LDL cholesterol, mg/dL</w:t>
            </w:r>
          </w:p>
          <w:p w14:paraId="0DC3DDB6" w14:textId="77777777" w:rsidR="004863CA" w:rsidRPr="00C26254" w:rsidRDefault="004863CA" w:rsidP="004863CA">
            <w:pPr>
              <w:widowControl/>
              <w:ind w:leftChars="100" w:left="24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Median (Q1, Q3)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D3DB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73.4(40.0,106.0)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5BB4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77.4(42.0,116.0)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7F2B5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73.8(40.5,107.0)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DEB6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64.9(39.0,99.0)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C25C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66.0(37.0,95.0)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33EC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73.0(39.0,95.0)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D3F0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&lt;.0001</w:t>
            </w:r>
          </w:p>
        </w:tc>
      </w:tr>
      <w:tr w:rsidR="00C26254" w:rsidRPr="00C26254" w14:paraId="3009646A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38D3B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NIHSS score at admission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E0DD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6B3D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D65A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1231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AF88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D131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2D84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F5A1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FA60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04E0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F32D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D83E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AC23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Times New Roman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236A0733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E0554" w14:textId="77777777" w:rsidR="004863CA" w:rsidRPr="00C26254" w:rsidRDefault="004863CA" w:rsidP="004863CA">
            <w:pPr>
              <w:widowControl/>
              <w:ind w:leftChars="100" w:left="24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≤5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F6B0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28327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949E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60.65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4E77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114F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68.03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DA21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12380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12BB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62.2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61A7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7640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30A8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55.75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86E4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C912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50.89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A92A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814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94E6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53.24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1028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26254" w:rsidRPr="00C26254" w14:paraId="2CD2FF0C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2FE6E" w14:textId="77777777" w:rsidR="004863CA" w:rsidRPr="00C26254" w:rsidRDefault="004863CA" w:rsidP="004863CA">
            <w:pPr>
              <w:widowControl/>
              <w:ind w:leftChars="100" w:left="24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6-20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77FB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14796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AE9A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31.68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21CD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8F29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27.92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BE80B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6163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BC75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30.96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B218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4690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3336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34.22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7E92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79AB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36.59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71E6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522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5E03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34.14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7311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26254" w:rsidRPr="00C26254" w14:paraId="0A20532B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F31F9" w14:textId="77777777" w:rsidR="004863CA" w:rsidRPr="00C26254" w:rsidRDefault="004863CA" w:rsidP="004863CA">
            <w:pPr>
              <w:widowControl/>
              <w:ind w:leftChars="100" w:left="240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&gt;20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CE34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3584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872D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962B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DC9F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4.06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9283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1361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8EE5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6.84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C9C6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1374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A088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10.03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69B8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889F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12.53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29ED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193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4F94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12.62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BB16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26254" w:rsidRPr="00C26254" w14:paraId="6F67D878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3614E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8B3A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4(3,9)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10CB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4(3,7)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167A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4(3,8)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3AAA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5(3,10)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6DDD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5(4,12)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9C07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5(4,12)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9B88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26254" w:rsidRPr="00C26254" w14:paraId="64620CC2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868DA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>Medicine before admission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B7DB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8FF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66AB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9D27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BF82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C7AC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6F5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668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CBF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B9FC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F92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0EC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D32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26254" w:rsidRPr="00C26254" w14:paraId="01B557C2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05D26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Antiplatelet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2392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8981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71F1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19.23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058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1D06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12.55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0BF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3617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931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18.17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E3A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3180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7232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23.20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C86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7EC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27.10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C084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5AAC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26.88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4CC1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1DEE9606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6E11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Warfarin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F4BA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1164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4A5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2.49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B0C2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DD7E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1.98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D1C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616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2.56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DF3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383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23E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2.79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B27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F6C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2.91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AA8F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179E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1.50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F63A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0.0001</w:t>
            </w:r>
          </w:p>
        </w:tc>
      </w:tr>
      <w:tr w:rsidR="00C26254" w:rsidRPr="00C26254" w14:paraId="42A30303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E18ED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Statin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F378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9750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12FE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20.87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455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9B2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26.19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253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4175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96B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20.98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A02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2448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2EDE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17.86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E721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CF6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17.84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FC2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281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84E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18.38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FEA0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616E54CE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76176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t xml:space="preserve">Treatment 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2976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7125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7DF8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5B2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C9CD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A93A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CDC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80A0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6839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17A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BE73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1ED8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A8B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26254" w:rsidRPr="00C26254" w14:paraId="7AC3727F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601D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proofErr w:type="spellStart"/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rTPA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2D5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1382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8FF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2.96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4C2E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5607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2CBE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624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8E3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D0B3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397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47B9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2.90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67A0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D8B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2.36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D1E6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F57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1.11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D29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23AA8541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605B" w14:textId="77777777" w:rsidR="004863CA" w:rsidRPr="00C26254" w:rsidRDefault="004863CA" w:rsidP="004863CA">
            <w:pPr>
              <w:widowControl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  <w:lastRenderedPageBreak/>
              <w:t>Discharge disposition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9646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bCs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284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A8A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6D01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AA52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A10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98C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2424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D57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A319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DF45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31F5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745B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26254" w:rsidRPr="00C26254" w14:paraId="63F31992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C72F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Death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4353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1535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0C7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3.29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B4BD6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9399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1.59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4DE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527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4B6F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2.65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D381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570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CBF7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4.16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90EA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8DF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6.90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6058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137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07F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8.96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1C5E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1B5AB1E7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8D547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Home 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B31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40074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A9A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85.80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AAFF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062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90.79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E09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17345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574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87.14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D34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11346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A0848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82.79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775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A2B0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77.35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914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1175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B79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76.85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010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1AEF25B4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B9AC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Nursing home 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AB4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2613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A0B6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5.59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350E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270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2A1A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2.88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5C50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17F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5.08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E53B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D9BF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7.39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5DC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C39B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9.76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017A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103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8FFA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6.74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52953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19ECEE68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627FB" w14:textId="77777777" w:rsidR="004863CA" w:rsidRPr="00C26254" w:rsidRDefault="004863CA" w:rsidP="004863CA">
            <w:pPr>
              <w:widowControl/>
              <w:ind w:leftChars="100" w:left="24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Respiratory Care Ward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8ADDD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2261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2BD6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4.84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98C4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895C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4.53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EBE5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946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7A7C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4.75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C533C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687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20BB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5.01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98E6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8F47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5.13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73434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91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607F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5.95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A50E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  <w:tr w:rsidR="00C26254" w:rsidRPr="00C26254" w14:paraId="37D5DEA9" w14:textId="77777777" w:rsidTr="00D310CA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2DEA7" w14:textId="77777777" w:rsidR="004863CA" w:rsidRPr="00C26254" w:rsidRDefault="004863CA" w:rsidP="004863CA">
            <w:pPr>
              <w:widowControl/>
              <w:ind w:firstLineChars="100" w:firstLine="220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Transfer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4827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224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DC1E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0.48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3CCD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68131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0.21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6FEE7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74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DD66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0.37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7429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88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2DA39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0.64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9A931A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A107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0.86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715D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D2302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hAnsi="Times New Roman" w:cs="Times New Roman"/>
                <w:sz w:val="22"/>
              </w:rPr>
              <w:t>1.50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4D82B" w14:textId="77777777" w:rsidR="004863CA" w:rsidRPr="00C26254" w:rsidRDefault="004863CA" w:rsidP="004863CA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C26254">
              <w:rPr>
                <w:rFonts w:ascii="Times New Roman" w:eastAsia="PMingLiU" w:hAnsi="Times New Roman" w:cs="Times New Roman"/>
                <w:kern w:val="0"/>
                <w:sz w:val="22"/>
              </w:rPr>
              <w:t>&lt;.0001</w:t>
            </w:r>
          </w:p>
        </w:tc>
      </w:tr>
    </w:tbl>
    <w:p w14:paraId="22CBC899" w14:textId="77777777" w:rsidR="004863CA" w:rsidRPr="00C26254" w:rsidRDefault="004863CA" w:rsidP="004863CA">
      <w:pPr>
        <w:rPr>
          <w:rFonts w:ascii="Times New Roman" w:hAnsi="Times New Roman" w:cs="Times New Roman"/>
          <w:sz w:val="22"/>
          <w:szCs w:val="24"/>
        </w:rPr>
      </w:pPr>
      <w:r w:rsidRPr="00C26254">
        <w:rPr>
          <w:rFonts w:ascii="Times New Roman" w:hAnsi="Times New Roman" w:cs="Times New Roman"/>
          <w:sz w:val="22"/>
          <w:szCs w:val="24"/>
        </w:rPr>
        <w:t xml:space="preserve">Abbreviations: eGFR, estimated glomerular ﬁltration rate; Q1, 25th percentile; Q3, 75th percentile; TOAST, Trial of ORG 10172 in Acute Stroke Treatment; BMI, body mass index; </w:t>
      </w:r>
      <w:r w:rsidRPr="00C26254">
        <w:rPr>
          <w:rFonts w:ascii="Times New Roman" w:hAnsi="Times New Roman" w:cs="Times New Roman"/>
        </w:rPr>
        <w:t xml:space="preserve">HbA1c, glycohemoglobin; </w:t>
      </w:r>
      <w:r w:rsidRPr="00C26254">
        <w:rPr>
          <w:rFonts w:ascii="Times New Roman" w:hAnsi="Times New Roman" w:cs="Times New Roman"/>
          <w:sz w:val="22"/>
          <w:szCs w:val="24"/>
        </w:rPr>
        <w:t xml:space="preserve">LDL, low-density lipoprotein; NIHSS, National Institutes of Health Stroke Scale; </w:t>
      </w:r>
      <w:proofErr w:type="spellStart"/>
      <w:r w:rsidRPr="00C26254">
        <w:rPr>
          <w:rFonts w:ascii="Times New Roman" w:hAnsi="Times New Roman" w:cs="Times New Roman"/>
          <w:sz w:val="22"/>
          <w:szCs w:val="24"/>
        </w:rPr>
        <w:t>rTPA</w:t>
      </w:r>
      <w:proofErr w:type="spellEnd"/>
      <w:r w:rsidRPr="00C26254">
        <w:rPr>
          <w:rFonts w:ascii="Times New Roman" w:hAnsi="Times New Roman" w:cs="Times New Roman"/>
          <w:sz w:val="22"/>
          <w:szCs w:val="24"/>
        </w:rPr>
        <w:t>, recombinant tissue-type plasminogen activator.</w:t>
      </w:r>
    </w:p>
    <w:p w14:paraId="7EDB48D4" w14:textId="77777777" w:rsidR="000B349A" w:rsidRPr="00C26254" w:rsidRDefault="00C26254"/>
    <w:sectPr w:rsidR="000B349A" w:rsidRPr="00C26254" w:rsidSect="004863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54354" w14:textId="77777777" w:rsidR="00C26254" w:rsidRDefault="00C26254" w:rsidP="00C26254">
      <w:r>
        <w:separator/>
      </w:r>
    </w:p>
  </w:endnote>
  <w:endnote w:type="continuationSeparator" w:id="0">
    <w:p w14:paraId="04507BAF" w14:textId="77777777" w:rsidR="00C26254" w:rsidRDefault="00C26254" w:rsidP="00C26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604AA" w14:textId="77777777" w:rsidR="00C26254" w:rsidRDefault="00C262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CB12A" w14:textId="1B1ACF0B" w:rsidR="00C26254" w:rsidRDefault="00C2625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E8593ED" wp14:editId="74DE3BED">
              <wp:simplePos x="0" y="0"/>
              <wp:positionH relativeFrom="page">
                <wp:posOffset>0</wp:posOffset>
              </wp:positionH>
              <wp:positionV relativeFrom="page">
                <wp:posOffset>7105650</wp:posOffset>
              </wp:positionV>
              <wp:extent cx="10692130" cy="263525"/>
              <wp:effectExtent l="0" t="0" r="0" b="3175"/>
              <wp:wrapNone/>
              <wp:docPr id="1" name="MSIPCMdcac44eba6b7edf3978d423c" descr="{&quot;HashCode&quot;:156159341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63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2796A6" w14:textId="253C4E7A" w:rsidR="00C26254" w:rsidRPr="00C26254" w:rsidRDefault="00C26254" w:rsidP="00C26254">
                          <w:pPr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</w:pPr>
                          <w:r w:rsidRPr="00C26254"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8593ED" id="_x0000_t202" coordsize="21600,21600" o:spt="202" path="m,l,21600r21600,l21600,xe">
              <v:stroke joinstyle="miter"/>
              <v:path gradientshapeok="t" o:connecttype="rect"/>
            </v:shapetype>
            <v:shape id="MSIPCMdcac44eba6b7edf3978d423c" o:spid="_x0000_s1026" type="#_x0000_t202" alt="{&quot;HashCode&quot;:1561593418,&quot;Height&quot;:595.0,&quot;Width&quot;:841.0,&quot;Placement&quot;:&quot;Footer&quot;,&quot;Index&quot;:&quot;Primary&quot;,&quot;Section&quot;:1,&quot;Top&quot;:0.0,&quot;Left&quot;:0.0}" style="position:absolute;margin-left:0;margin-top:559.5pt;width:841.9pt;height:20.7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" o:allowincell="f" filled="f" stroked="f" strokeweight=".5pt">
              <v:fill o:detectmouseclick="t"/>
              <v:textbox inset="20pt,0,,0">
                <w:txbxContent>
                  <w:p w14:paraId="052796A6" w14:textId="253C4E7A" w:rsidR="00C26254" w:rsidRPr="00C26254" w:rsidRDefault="00C26254" w:rsidP="00C26254">
                    <w:pPr>
                      <w:rPr>
                        <w:rFonts w:ascii="Rockwell" w:hAnsi="Rockwell"/>
                        <w:color w:val="0078D7"/>
                        <w:sz w:val="18"/>
                      </w:rPr>
                    </w:pPr>
                    <w:r w:rsidRPr="00C26254">
                      <w:rPr>
                        <w:rFonts w:ascii="Rockwell" w:hAnsi="Rockwell"/>
                        <w:color w:val="0078D7"/>
                        <w:sz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ECD81" w14:textId="77777777" w:rsidR="00C26254" w:rsidRDefault="00C262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43287" w14:textId="77777777" w:rsidR="00C26254" w:rsidRDefault="00C26254" w:rsidP="00C26254">
      <w:r>
        <w:separator/>
      </w:r>
    </w:p>
  </w:footnote>
  <w:footnote w:type="continuationSeparator" w:id="0">
    <w:p w14:paraId="56369A45" w14:textId="77777777" w:rsidR="00C26254" w:rsidRDefault="00C26254" w:rsidP="00C26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BEFE0" w14:textId="77777777" w:rsidR="00C26254" w:rsidRDefault="00C262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BB0AB" w14:textId="77777777" w:rsidR="00C26254" w:rsidRDefault="00C262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170ED" w14:textId="77777777" w:rsidR="00C26254" w:rsidRDefault="00C262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9B2C24"/>
    <w:multiLevelType w:val="hybridMultilevel"/>
    <w:tmpl w:val="2A0C85F6"/>
    <w:lvl w:ilvl="0" w:tplc="B3A07EE8">
      <w:start w:val="27"/>
      <w:numFmt w:val="bullet"/>
      <w:lvlText w:val=""/>
      <w:lvlJc w:val="left"/>
      <w:pPr>
        <w:ind w:left="58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0" w:hanging="480"/>
      </w:pPr>
      <w:rPr>
        <w:rFonts w:ascii="Wingdings" w:hAnsi="Wingdings" w:hint="default"/>
      </w:rPr>
    </w:lvl>
  </w:abstractNum>
  <w:abstractNum w:abstractNumId="1" w15:restartNumberingAfterBreak="0">
    <w:nsid w:val="3F0A212C"/>
    <w:multiLevelType w:val="hybridMultilevel"/>
    <w:tmpl w:val="09F0B3E4"/>
    <w:lvl w:ilvl="0" w:tplc="45DC9CDC">
      <w:start w:val="27"/>
      <w:numFmt w:val="bullet"/>
      <w:lvlText w:val=""/>
      <w:lvlJc w:val="left"/>
      <w:pPr>
        <w:ind w:left="36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7597619"/>
    <w:multiLevelType w:val="hybridMultilevel"/>
    <w:tmpl w:val="01206BB0"/>
    <w:lvl w:ilvl="0" w:tplc="0BE0CAD6">
      <w:start w:val="27"/>
      <w:numFmt w:val="bullet"/>
      <w:lvlText w:val=""/>
      <w:lvlJc w:val="left"/>
      <w:pPr>
        <w:ind w:left="36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3CA"/>
    <w:rsid w:val="004863CA"/>
    <w:rsid w:val="00992E69"/>
    <w:rsid w:val="009C4D3D"/>
    <w:rsid w:val="00C2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4EBF0E"/>
  <w15:chartTrackingRefBased/>
  <w15:docId w15:val="{A4B9FBE6-60D1-4384-9506-6D27252A5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無清單1"/>
    <w:next w:val="NoList"/>
    <w:uiPriority w:val="99"/>
    <w:semiHidden/>
    <w:unhideWhenUsed/>
    <w:rsid w:val="004863CA"/>
  </w:style>
  <w:style w:type="paragraph" w:styleId="Header">
    <w:name w:val="header"/>
    <w:basedOn w:val="Normal"/>
    <w:link w:val="HeaderChar"/>
    <w:uiPriority w:val="99"/>
    <w:unhideWhenUsed/>
    <w:rsid w:val="004863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863CA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863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863CA"/>
    <w:rPr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863C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63CA"/>
    <w:rPr>
      <w:color w:val="954F72"/>
      <w:u w:val="single"/>
    </w:rPr>
  </w:style>
  <w:style w:type="paragraph" w:customStyle="1" w:styleId="msonormal0">
    <w:name w:val="msonormal"/>
    <w:basedOn w:val="Normal"/>
    <w:rsid w:val="004863CA"/>
    <w:pPr>
      <w:widowControl/>
      <w:spacing w:before="100" w:beforeAutospacing="1" w:after="100" w:afterAutospacing="1"/>
    </w:pPr>
    <w:rPr>
      <w:rFonts w:ascii="PMingLiU" w:eastAsia="PMingLiU" w:hAnsi="PMingLiU" w:cs="PMingLiU"/>
      <w:kern w:val="0"/>
      <w:szCs w:val="24"/>
    </w:rPr>
  </w:style>
  <w:style w:type="paragraph" w:customStyle="1" w:styleId="font5">
    <w:name w:val="font5"/>
    <w:basedOn w:val="Normal"/>
    <w:rsid w:val="004863CA"/>
    <w:pPr>
      <w:widowControl/>
      <w:spacing w:before="100" w:beforeAutospacing="1" w:after="100" w:afterAutospacing="1"/>
    </w:pPr>
    <w:rPr>
      <w:rFonts w:ascii="PMingLiU" w:eastAsia="PMingLiU" w:hAnsi="PMingLiU" w:cs="PMingLiU"/>
      <w:kern w:val="0"/>
      <w:sz w:val="18"/>
      <w:szCs w:val="18"/>
    </w:rPr>
  </w:style>
  <w:style w:type="paragraph" w:customStyle="1" w:styleId="font6">
    <w:name w:val="font6"/>
    <w:basedOn w:val="Normal"/>
    <w:rsid w:val="004863CA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color w:val="000000"/>
      <w:kern w:val="0"/>
      <w:szCs w:val="24"/>
    </w:rPr>
  </w:style>
  <w:style w:type="paragraph" w:customStyle="1" w:styleId="font7">
    <w:name w:val="font7"/>
    <w:basedOn w:val="Normal"/>
    <w:rsid w:val="004863CA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b/>
      <w:bCs/>
      <w:color w:val="000000"/>
      <w:kern w:val="0"/>
      <w:szCs w:val="24"/>
    </w:rPr>
  </w:style>
  <w:style w:type="paragraph" w:customStyle="1" w:styleId="font8">
    <w:name w:val="font8"/>
    <w:basedOn w:val="Normal"/>
    <w:rsid w:val="004863CA"/>
    <w:pPr>
      <w:widowControl/>
      <w:spacing w:before="100" w:beforeAutospacing="1" w:after="100" w:afterAutospacing="1"/>
    </w:pPr>
    <w:rPr>
      <w:rFonts w:ascii="PMingLiU" w:eastAsia="PMingLiU" w:hAnsi="PMingLiU" w:cs="PMingLiU"/>
      <w:b/>
      <w:bCs/>
      <w:color w:val="000000"/>
      <w:kern w:val="0"/>
      <w:szCs w:val="24"/>
    </w:rPr>
  </w:style>
  <w:style w:type="paragraph" w:customStyle="1" w:styleId="font9">
    <w:name w:val="font9"/>
    <w:basedOn w:val="Normal"/>
    <w:rsid w:val="004863CA"/>
    <w:pPr>
      <w:widowControl/>
      <w:spacing w:before="100" w:beforeAutospacing="1" w:after="100" w:afterAutospacing="1"/>
    </w:pPr>
    <w:rPr>
      <w:rFonts w:ascii="Batang" w:eastAsia="Batang" w:hAnsi="Batang" w:cs="PMingLiU"/>
      <w:color w:val="000000"/>
      <w:kern w:val="0"/>
      <w:szCs w:val="24"/>
    </w:rPr>
  </w:style>
  <w:style w:type="paragraph" w:customStyle="1" w:styleId="xl65">
    <w:name w:val="xl65"/>
    <w:basedOn w:val="Normal"/>
    <w:rsid w:val="004863CA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66">
    <w:name w:val="xl66"/>
    <w:basedOn w:val="Normal"/>
    <w:rsid w:val="004863CA"/>
    <w:pPr>
      <w:widowControl/>
      <w:spacing w:before="100" w:beforeAutospacing="1" w:after="100" w:afterAutospacing="1"/>
      <w:ind w:firstLineChars="100" w:firstLine="100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67">
    <w:name w:val="xl67"/>
    <w:basedOn w:val="Normal"/>
    <w:rsid w:val="004863CA"/>
    <w:pPr>
      <w:widowControl/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PMingLiU" w:hAnsi="Times New Roman" w:cs="Times New Roman"/>
      <w:b/>
      <w:bCs/>
      <w:kern w:val="0"/>
      <w:szCs w:val="24"/>
    </w:rPr>
  </w:style>
  <w:style w:type="paragraph" w:customStyle="1" w:styleId="xl68">
    <w:name w:val="xl68"/>
    <w:basedOn w:val="Normal"/>
    <w:rsid w:val="004863CA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b/>
      <w:bCs/>
      <w:kern w:val="0"/>
      <w:szCs w:val="24"/>
    </w:rPr>
  </w:style>
  <w:style w:type="paragraph" w:customStyle="1" w:styleId="xl69">
    <w:name w:val="xl69"/>
    <w:basedOn w:val="Normal"/>
    <w:rsid w:val="004863CA"/>
    <w:pPr>
      <w:widowControl/>
      <w:spacing w:before="100" w:beforeAutospacing="1" w:after="100" w:afterAutospacing="1"/>
      <w:ind w:firstLineChars="200" w:firstLine="200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0">
    <w:name w:val="xl70"/>
    <w:basedOn w:val="Normal"/>
    <w:rsid w:val="004863CA"/>
    <w:pPr>
      <w:widowControl/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1">
    <w:name w:val="xl71"/>
    <w:basedOn w:val="Normal"/>
    <w:rsid w:val="004863CA"/>
    <w:pPr>
      <w:widowControl/>
      <w:spacing w:before="100" w:beforeAutospacing="1" w:after="100" w:afterAutospacing="1"/>
      <w:jc w:val="center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2">
    <w:name w:val="xl72"/>
    <w:basedOn w:val="Normal"/>
    <w:rsid w:val="004863CA"/>
    <w:pPr>
      <w:widowControl/>
      <w:spacing w:before="100" w:beforeAutospacing="1" w:after="100" w:afterAutospacing="1"/>
      <w:ind w:firstLineChars="100" w:firstLine="100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3">
    <w:name w:val="xl73"/>
    <w:basedOn w:val="Normal"/>
    <w:rsid w:val="004863CA"/>
    <w:pPr>
      <w:widowControl/>
      <w:spacing w:before="100" w:beforeAutospacing="1" w:after="100" w:afterAutospacing="1"/>
      <w:jc w:val="center"/>
    </w:pPr>
    <w:rPr>
      <w:rFonts w:ascii="Times New Roman" w:eastAsia="PMingLiU" w:hAnsi="Times New Roman" w:cs="Times New Roman"/>
      <w:b/>
      <w:bCs/>
      <w:kern w:val="0"/>
      <w:szCs w:val="24"/>
    </w:rPr>
  </w:style>
  <w:style w:type="paragraph" w:customStyle="1" w:styleId="xl74">
    <w:name w:val="xl74"/>
    <w:basedOn w:val="Normal"/>
    <w:rsid w:val="004863CA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5">
    <w:name w:val="xl75"/>
    <w:basedOn w:val="Normal"/>
    <w:rsid w:val="004863CA"/>
    <w:pPr>
      <w:widowControl/>
      <w:spacing w:before="100" w:beforeAutospacing="1" w:after="100" w:afterAutospacing="1"/>
      <w:jc w:val="center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6">
    <w:name w:val="xl76"/>
    <w:basedOn w:val="Normal"/>
    <w:rsid w:val="004863C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7">
    <w:name w:val="xl77"/>
    <w:basedOn w:val="Normal"/>
    <w:rsid w:val="004863CA"/>
    <w:pPr>
      <w:widowControl/>
      <w:spacing w:before="100" w:beforeAutospacing="1" w:after="100" w:afterAutospacing="1"/>
      <w:ind w:firstLineChars="100" w:firstLine="100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8">
    <w:name w:val="xl78"/>
    <w:basedOn w:val="Normal"/>
    <w:rsid w:val="004863CA"/>
    <w:pPr>
      <w:widowControl/>
      <w:spacing w:before="100" w:beforeAutospacing="1" w:after="100" w:afterAutospacing="1"/>
      <w:ind w:firstLineChars="200" w:firstLine="200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9">
    <w:name w:val="xl79"/>
    <w:basedOn w:val="Normal"/>
    <w:rsid w:val="004863CA"/>
    <w:pPr>
      <w:widowControl/>
      <w:spacing w:before="100" w:beforeAutospacing="1" w:after="100" w:afterAutospacing="1"/>
      <w:jc w:val="center"/>
    </w:pPr>
    <w:rPr>
      <w:rFonts w:ascii="Times New Roman" w:eastAsia="PMingLiU" w:hAnsi="Times New Roman" w:cs="Times New Roman"/>
      <w:color w:val="C00000"/>
      <w:kern w:val="0"/>
      <w:szCs w:val="24"/>
    </w:rPr>
  </w:style>
  <w:style w:type="paragraph" w:customStyle="1" w:styleId="xl80">
    <w:name w:val="xl80"/>
    <w:basedOn w:val="Normal"/>
    <w:rsid w:val="004863CA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color w:val="C00000"/>
      <w:kern w:val="0"/>
      <w:szCs w:val="24"/>
    </w:rPr>
  </w:style>
  <w:style w:type="paragraph" w:customStyle="1" w:styleId="xl81">
    <w:name w:val="xl81"/>
    <w:basedOn w:val="Normal"/>
    <w:rsid w:val="004863CA"/>
    <w:pPr>
      <w:widowControl/>
      <w:spacing w:before="100" w:beforeAutospacing="1" w:after="100" w:afterAutospacing="1"/>
      <w:jc w:val="center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82">
    <w:name w:val="xl82"/>
    <w:basedOn w:val="Normal"/>
    <w:rsid w:val="004863CA"/>
    <w:pPr>
      <w:widowControl/>
      <w:spacing w:before="100" w:beforeAutospacing="1" w:after="100" w:afterAutospacing="1"/>
      <w:jc w:val="center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83">
    <w:name w:val="xl83"/>
    <w:basedOn w:val="Normal"/>
    <w:rsid w:val="004863CA"/>
    <w:pPr>
      <w:widowControl/>
      <w:spacing w:before="100" w:beforeAutospacing="1" w:after="100" w:afterAutospacing="1"/>
      <w:jc w:val="center"/>
    </w:pPr>
    <w:rPr>
      <w:rFonts w:ascii="Times New Roman" w:eastAsia="PMingLiU" w:hAnsi="Times New Roman" w:cs="Times New Roman"/>
      <w:b/>
      <w:bCs/>
      <w:color w:val="C00000"/>
      <w:kern w:val="0"/>
      <w:szCs w:val="24"/>
    </w:rPr>
  </w:style>
  <w:style w:type="paragraph" w:customStyle="1" w:styleId="xl84">
    <w:name w:val="xl84"/>
    <w:basedOn w:val="Normal"/>
    <w:rsid w:val="004863CA"/>
    <w:pPr>
      <w:widowControl/>
      <w:spacing w:before="100" w:beforeAutospacing="1" w:after="100" w:afterAutospacing="1"/>
      <w:jc w:val="center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85">
    <w:name w:val="xl85"/>
    <w:basedOn w:val="Normal"/>
    <w:rsid w:val="004863CA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color w:val="F4B084"/>
      <w:kern w:val="0"/>
      <w:szCs w:val="24"/>
    </w:rPr>
  </w:style>
  <w:style w:type="paragraph" w:customStyle="1" w:styleId="xl86">
    <w:name w:val="xl86"/>
    <w:basedOn w:val="Normal"/>
    <w:rsid w:val="004863CA"/>
    <w:pPr>
      <w:widowControl/>
      <w:pBdr>
        <w:bottom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PMingLiU" w:hAnsi="Times New Roman" w:cs="Times New Roman"/>
      <w:b/>
      <w:bCs/>
      <w:kern w:val="0"/>
      <w:szCs w:val="24"/>
    </w:rPr>
  </w:style>
  <w:style w:type="paragraph" w:customStyle="1" w:styleId="xl87">
    <w:name w:val="xl87"/>
    <w:basedOn w:val="Normal"/>
    <w:rsid w:val="004863C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PMingLiU" w:eastAsia="PMingLiU" w:hAnsi="PMingLiU" w:cs="PMingLiU"/>
      <w:kern w:val="0"/>
      <w:szCs w:val="24"/>
    </w:rPr>
  </w:style>
  <w:style w:type="paragraph" w:customStyle="1" w:styleId="xl88">
    <w:name w:val="xl88"/>
    <w:basedOn w:val="Normal"/>
    <w:rsid w:val="004863CA"/>
    <w:pPr>
      <w:widowControl/>
      <w:pBdr>
        <w:bottom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PMingLiU" w:hAnsi="Times New Roman" w:cs="Times New Roman"/>
      <w:b/>
      <w:bCs/>
      <w:kern w:val="0"/>
      <w:szCs w:val="24"/>
    </w:rPr>
  </w:style>
  <w:style w:type="paragraph" w:customStyle="1" w:styleId="xl89">
    <w:name w:val="xl89"/>
    <w:basedOn w:val="Normal"/>
    <w:rsid w:val="004863CA"/>
    <w:pPr>
      <w:widowControl/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PMingLiU" w:hAnsi="Times New Roman" w:cs="Times New Roman"/>
      <w:b/>
      <w:bCs/>
      <w:kern w:val="0"/>
      <w:szCs w:val="24"/>
    </w:rPr>
  </w:style>
  <w:style w:type="paragraph" w:customStyle="1" w:styleId="xl90">
    <w:name w:val="xl90"/>
    <w:basedOn w:val="Normal"/>
    <w:rsid w:val="004863CA"/>
    <w:pPr>
      <w:widowControl/>
      <w:spacing w:before="100" w:beforeAutospacing="1" w:after="100" w:afterAutospacing="1"/>
      <w:jc w:val="center"/>
    </w:pPr>
    <w:rPr>
      <w:rFonts w:ascii="PMingLiU" w:eastAsia="PMingLiU" w:hAnsi="PMingLiU" w:cs="PMingLiU"/>
      <w:kern w:val="0"/>
      <w:szCs w:val="24"/>
    </w:rPr>
  </w:style>
  <w:style w:type="paragraph" w:customStyle="1" w:styleId="xl91">
    <w:name w:val="xl91"/>
    <w:basedOn w:val="Normal"/>
    <w:rsid w:val="004863CA"/>
    <w:pPr>
      <w:widowControl/>
      <w:pBdr>
        <w:top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eastAsia="PMingLiU" w:hAnsi="Times New Roman" w:cs="Times New Roman"/>
      <w:b/>
      <w:bCs/>
      <w:kern w:val="0"/>
      <w:szCs w:val="24"/>
    </w:rPr>
  </w:style>
  <w:style w:type="paragraph" w:customStyle="1" w:styleId="xl92">
    <w:name w:val="xl92"/>
    <w:basedOn w:val="Normal"/>
    <w:rsid w:val="004863CA"/>
    <w:pPr>
      <w:widowControl/>
      <w:shd w:val="clear" w:color="000000" w:fill="F2F2F2"/>
      <w:spacing w:before="100" w:beforeAutospacing="1" w:after="100" w:afterAutospacing="1"/>
    </w:pPr>
    <w:rPr>
      <w:rFonts w:ascii="Times New Roman" w:eastAsia="PMingLiU" w:hAnsi="Times New Roman" w:cs="Times New Roman"/>
      <w:b/>
      <w:bCs/>
      <w:kern w:val="0"/>
      <w:szCs w:val="24"/>
    </w:rPr>
  </w:style>
  <w:style w:type="paragraph" w:customStyle="1" w:styleId="xl93">
    <w:name w:val="xl93"/>
    <w:basedOn w:val="Normal"/>
    <w:rsid w:val="004863CA"/>
    <w:pPr>
      <w:widowControl/>
      <w:pBdr>
        <w:bottom w:val="single" w:sz="4" w:space="0" w:color="auto"/>
      </w:pBdr>
      <w:spacing w:before="100" w:beforeAutospacing="1" w:after="100" w:afterAutospacing="1"/>
    </w:pPr>
    <w:rPr>
      <w:rFonts w:ascii="PMingLiU" w:eastAsia="PMingLiU" w:hAnsi="PMingLiU" w:cs="PMingLiU"/>
      <w:kern w:val="0"/>
      <w:szCs w:val="24"/>
    </w:rPr>
  </w:style>
  <w:style w:type="paragraph" w:customStyle="1" w:styleId="xl94">
    <w:name w:val="xl94"/>
    <w:basedOn w:val="Normal"/>
    <w:rsid w:val="004863C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PMingLiU" w:eastAsia="PMingLiU" w:hAnsi="PMingLiU" w:cs="PMingLiU"/>
      <w:kern w:val="0"/>
      <w:szCs w:val="24"/>
    </w:rPr>
  </w:style>
  <w:style w:type="paragraph" w:customStyle="1" w:styleId="font10">
    <w:name w:val="font10"/>
    <w:basedOn w:val="Normal"/>
    <w:rsid w:val="004863CA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font11">
    <w:name w:val="font11"/>
    <w:basedOn w:val="Normal"/>
    <w:rsid w:val="004863CA"/>
    <w:pPr>
      <w:widowControl/>
      <w:spacing w:before="100" w:beforeAutospacing="1" w:after="100" w:afterAutospacing="1"/>
    </w:pPr>
    <w:rPr>
      <w:rFonts w:ascii="Batang" w:eastAsia="Batang" w:hAnsi="Batang" w:cs="PMingLiU"/>
      <w:kern w:val="0"/>
      <w:szCs w:val="24"/>
    </w:rPr>
  </w:style>
  <w:style w:type="paragraph" w:customStyle="1" w:styleId="xl95">
    <w:name w:val="xl95"/>
    <w:basedOn w:val="Normal"/>
    <w:rsid w:val="004863CA"/>
    <w:pPr>
      <w:widowControl/>
      <w:shd w:val="clear" w:color="000000" w:fill="F2F2F2"/>
      <w:spacing w:before="100" w:beforeAutospacing="1" w:after="100" w:afterAutospacing="1"/>
    </w:pPr>
    <w:rPr>
      <w:rFonts w:ascii="Times New Roman" w:eastAsia="PMingLiU" w:hAnsi="Times New Roman" w:cs="Times New Roman"/>
      <w:b/>
      <w:bCs/>
      <w:kern w:val="0"/>
      <w:szCs w:val="24"/>
    </w:rPr>
  </w:style>
  <w:style w:type="paragraph" w:customStyle="1" w:styleId="xl96">
    <w:name w:val="xl96"/>
    <w:basedOn w:val="Normal"/>
    <w:rsid w:val="004863CA"/>
    <w:pPr>
      <w:widowControl/>
      <w:pBdr>
        <w:bottom w:val="single" w:sz="4" w:space="0" w:color="auto"/>
      </w:pBdr>
      <w:spacing w:before="100" w:beforeAutospacing="1" w:after="100" w:afterAutospacing="1"/>
    </w:pPr>
    <w:rPr>
      <w:rFonts w:ascii="PMingLiU" w:eastAsia="PMingLiU" w:hAnsi="PMingLiU" w:cs="PMingLiU"/>
      <w:kern w:val="0"/>
      <w:szCs w:val="24"/>
    </w:rPr>
  </w:style>
  <w:style w:type="paragraph" w:customStyle="1" w:styleId="xl97">
    <w:name w:val="xl97"/>
    <w:basedOn w:val="Normal"/>
    <w:rsid w:val="004863C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PMingLiU" w:eastAsia="PMingLiU" w:hAnsi="PMingLiU" w:cs="PMingLiU"/>
      <w:kern w:val="0"/>
      <w:szCs w:val="24"/>
    </w:rPr>
  </w:style>
  <w:style w:type="paragraph" w:customStyle="1" w:styleId="EndNoteBibliographyTitle">
    <w:name w:val="EndNote Bibliography Title"/>
    <w:basedOn w:val="Normal"/>
    <w:link w:val="EndNoteBibliographyTitle0"/>
    <w:rsid w:val="004863CA"/>
    <w:pPr>
      <w:jc w:val="center"/>
    </w:pPr>
    <w:rPr>
      <w:rFonts w:ascii="Calibri" w:hAnsi="Calibri" w:cs="Calibri"/>
      <w:noProof/>
    </w:rPr>
  </w:style>
  <w:style w:type="character" w:customStyle="1" w:styleId="EndNoteBibliographyTitle0">
    <w:name w:val="EndNote Bibliography Title 字元"/>
    <w:basedOn w:val="DefaultParagraphFont"/>
    <w:link w:val="EndNoteBibliographyTitle"/>
    <w:rsid w:val="004863CA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0"/>
    <w:rsid w:val="004863CA"/>
    <w:rPr>
      <w:rFonts w:ascii="Calibri" w:hAnsi="Calibri" w:cs="Calibri"/>
      <w:noProof/>
    </w:rPr>
  </w:style>
  <w:style w:type="character" w:customStyle="1" w:styleId="EndNoteBibliography0">
    <w:name w:val="EndNote Bibliography 字元"/>
    <w:basedOn w:val="DefaultParagraphFont"/>
    <w:link w:val="EndNoteBibliography"/>
    <w:rsid w:val="004863CA"/>
    <w:rPr>
      <w:rFonts w:ascii="Calibri" w:hAnsi="Calibri" w:cs="Calibri"/>
      <w:noProof/>
    </w:rPr>
  </w:style>
  <w:style w:type="paragraph" w:styleId="ListParagraph">
    <w:name w:val="List Paragraph"/>
    <w:basedOn w:val="Normal"/>
    <w:uiPriority w:val="34"/>
    <w:qFormat/>
    <w:rsid w:val="004863CA"/>
    <w:pPr>
      <w:ind w:leftChars="200" w:left="480"/>
    </w:pPr>
  </w:style>
  <w:style w:type="character" w:styleId="CommentReference">
    <w:name w:val="annotation reference"/>
    <w:basedOn w:val="DefaultParagraphFont"/>
    <w:uiPriority w:val="99"/>
    <w:semiHidden/>
    <w:unhideWhenUsed/>
    <w:rsid w:val="004863C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63C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3C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6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63C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3C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3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939</Words>
  <Characters>5353</Characters>
  <Application>Microsoft Office Word</Application>
  <DocSecurity>0</DocSecurity>
  <Lines>44</Lines>
  <Paragraphs>12</Paragraphs>
  <ScaleCrop>false</ScaleCrop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怡寬 王</dc:creator>
  <cp:keywords/>
  <dc:description/>
  <cp:lastModifiedBy>Samantha Wilkinson</cp:lastModifiedBy>
  <cp:revision>2</cp:revision>
  <dcterms:created xsi:type="dcterms:W3CDTF">2021-08-02T07:26:00Z</dcterms:created>
  <dcterms:modified xsi:type="dcterms:W3CDTF">2021-08-02T07:26:00Z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bab825-a111-45e4-86a1-18cee0005896_Enabled">
    <vt:lpwstr>true</vt:lpwstr>
  </property>
  <property fmtid="{D5CDD505-2E9C-101B-9397-08002B2CF9AE}" pid="3" name="MSIP_Label_2bbab825-a111-45e4-86a1-18cee0005896_SetDate">
    <vt:lpwstr>2021-08-02T07:26:35Z</vt:lpwstr>
  </property>
  <property fmtid="{D5CDD505-2E9C-101B-9397-08002B2CF9AE}" pid="4" name="MSIP_Label_2bbab825-a111-45e4-86a1-18cee0005896_Method">
    <vt:lpwstr>Standard</vt:lpwstr>
  </property>
  <property fmtid="{D5CDD505-2E9C-101B-9397-08002B2CF9AE}" pid="5" name="MSIP_Label_2bbab825-a111-45e4-86a1-18cee0005896_Name">
    <vt:lpwstr>2bbab825-a111-45e4-86a1-18cee0005896</vt:lpwstr>
  </property>
  <property fmtid="{D5CDD505-2E9C-101B-9397-08002B2CF9AE}" pid="6" name="MSIP_Label_2bbab825-a111-45e4-86a1-18cee0005896_SiteId">
    <vt:lpwstr>2567d566-604c-408a-8a60-55d0dc9d9d6b</vt:lpwstr>
  </property>
  <property fmtid="{D5CDD505-2E9C-101B-9397-08002B2CF9AE}" pid="7" name="MSIP_Label_2bbab825-a111-45e4-86a1-18cee0005896_ActionId">
    <vt:lpwstr>ba40a022-3d59-4470-8797-6232a23e7881</vt:lpwstr>
  </property>
  <property fmtid="{D5CDD505-2E9C-101B-9397-08002B2CF9AE}" pid="8" name="MSIP_Label_2bbab825-a111-45e4-86a1-18cee0005896_ContentBits">
    <vt:lpwstr>2</vt:lpwstr>
  </property>
</Properties>
</file>