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AE04D" w14:textId="4786D351" w:rsidR="00AC6FBE" w:rsidRPr="000E580C" w:rsidRDefault="000E580C" w:rsidP="000E5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en-US"/>
        </w:rPr>
      </w:pPr>
      <w:r w:rsidRPr="000E580C">
        <w:rPr>
          <w:b/>
          <w:lang w:val="en-US"/>
        </w:rPr>
        <w:t>METHODOLOGICAL QUALITY APPRAISAL</w:t>
      </w:r>
    </w:p>
    <w:p w14:paraId="1463FC14" w14:textId="7B8879BB" w:rsidR="00C1501D" w:rsidRDefault="000E580C">
      <w:pPr>
        <w:rPr>
          <w:lang w:val="en-US"/>
        </w:rPr>
      </w:pPr>
      <w:r>
        <w:rPr>
          <w:lang w:val="en-US"/>
        </w:rPr>
        <w:t>The methodology checklist for prognostic studies used in this review is provided by the NICE (2012), and was originally adapted from Hayden</w:t>
      </w:r>
      <w:r w:rsidR="00777AF8">
        <w:rPr>
          <w:lang w:val="en-US"/>
        </w:rPr>
        <w:t xml:space="preserve"> et al. </w:t>
      </w:r>
      <w:r>
        <w:rPr>
          <w:lang w:val="en-US"/>
        </w:rPr>
        <w:t xml:space="preserve">(2006). </w:t>
      </w:r>
      <w:r w:rsidR="00AB0DF6">
        <w:rPr>
          <w:lang w:val="en-US"/>
        </w:rPr>
        <w:br/>
      </w:r>
      <w:r w:rsidR="00B65C17">
        <w:rPr>
          <w:lang w:val="en-US"/>
        </w:rPr>
        <w:t>(Y = Yes, N = No, U = Unknown)</w:t>
      </w:r>
      <w:r w:rsidR="0012560F">
        <w:rPr>
          <w:lang w:val="en-US"/>
        </w:rPr>
        <w:t xml:space="preserve"> </w:t>
      </w:r>
      <w:r w:rsidR="0012560F">
        <w:rPr>
          <w:color w:val="808080" w:themeColor="background1" w:themeShade="80"/>
        </w:rPr>
        <w:t>O’Neil-Pirozzi</w:t>
      </w:r>
    </w:p>
    <w:tbl>
      <w:tblPr>
        <w:tblStyle w:val="Tabelraster"/>
        <w:tblpPr w:leftFromText="141" w:rightFromText="141" w:vertAnchor="page" w:horzAnchor="margin" w:tblpX="-142" w:tblpY="3649"/>
        <w:tblW w:w="14228" w:type="dxa"/>
        <w:tblLayout w:type="fixed"/>
        <w:tblLook w:val="04A0" w:firstRow="1" w:lastRow="0" w:firstColumn="1" w:lastColumn="0" w:noHBand="0" w:noVBand="1"/>
      </w:tblPr>
      <w:tblGrid>
        <w:gridCol w:w="4299"/>
        <w:gridCol w:w="522"/>
        <w:gridCol w:w="523"/>
        <w:gridCol w:w="522"/>
        <w:gridCol w:w="523"/>
        <w:gridCol w:w="522"/>
        <w:gridCol w:w="523"/>
        <w:gridCol w:w="522"/>
        <w:gridCol w:w="523"/>
        <w:gridCol w:w="522"/>
        <w:gridCol w:w="523"/>
        <w:gridCol w:w="522"/>
        <w:gridCol w:w="523"/>
        <w:gridCol w:w="522"/>
        <w:gridCol w:w="523"/>
        <w:gridCol w:w="522"/>
        <w:gridCol w:w="523"/>
        <w:gridCol w:w="523"/>
        <w:gridCol w:w="523"/>
        <w:gridCol w:w="523"/>
      </w:tblGrid>
      <w:tr w:rsidR="00C1501D" w:rsidRPr="00320F7F" w14:paraId="43109E32" w14:textId="77777777" w:rsidTr="00C1501D">
        <w:trPr>
          <w:cantSplit/>
          <w:trHeight w:val="2259"/>
        </w:trPr>
        <w:tc>
          <w:tcPr>
            <w:tcW w:w="4299" w:type="dxa"/>
            <w:tcBorders>
              <w:top w:val="nil"/>
              <w:left w:val="nil"/>
            </w:tcBorders>
          </w:tcPr>
          <w:p w14:paraId="5ACA554B" w14:textId="77777777" w:rsidR="00C1501D" w:rsidRPr="00B65C17" w:rsidRDefault="00C1501D" w:rsidP="00601D4A">
            <w:pPr>
              <w:rPr>
                <w:lang w:val="en-US"/>
              </w:rPr>
            </w:pPr>
          </w:p>
        </w:tc>
        <w:tc>
          <w:tcPr>
            <w:tcW w:w="522" w:type="dxa"/>
            <w:textDirection w:val="btLr"/>
          </w:tcPr>
          <w:p w14:paraId="1F3709C5" w14:textId="77777777" w:rsidR="00C1501D" w:rsidRPr="00320F7F" w:rsidRDefault="00C1501D" w:rsidP="00601D4A">
            <w:pPr>
              <w:ind w:left="113" w:right="113"/>
            </w:pPr>
            <w:r w:rsidRPr="00320F7F">
              <w:t>Cuthbert, 2015a</w:t>
            </w:r>
          </w:p>
        </w:tc>
        <w:tc>
          <w:tcPr>
            <w:tcW w:w="523" w:type="dxa"/>
            <w:textDirection w:val="btLr"/>
          </w:tcPr>
          <w:p w14:paraId="1D7E9725" w14:textId="77777777" w:rsidR="00C1501D" w:rsidRPr="00320F7F" w:rsidRDefault="00C1501D" w:rsidP="00601D4A">
            <w:pPr>
              <w:ind w:left="113" w:right="113"/>
            </w:pPr>
            <w:r w:rsidRPr="00320F7F">
              <w:t>Cuthbert, 2015b</w:t>
            </w:r>
          </w:p>
        </w:tc>
        <w:tc>
          <w:tcPr>
            <w:tcW w:w="522" w:type="dxa"/>
            <w:textDirection w:val="btLr"/>
          </w:tcPr>
          <w:p w14:paraId="1C793259" w14:textId="77777777" w:rsidR="00C1501D" w:rsidRPr="00320F7F" w:rsidRDefault="00C1501D" w:rsidP="00601D4A">
            <w:pPr>
              <w:ind w:left="113" w:right="113"/>
            </w:pPr>
            <w:r w:rsidRPr="00320F7F">
              <w:t>Ponsford, 2015</w:t>
            </w:r>
          </w:p>
        </w:tc>
        <w:tc>
          <w:tcPr>
            <w:tcW w:w="523" w:type="dxa"/>
            <w:textDirection w:val="btLr"/>
          </w:tcPr>
          <w:p w14:paraId="708D33E1" w14:textId="77777777" w:rsidR="00C1501D" w:rsidRPr="00320F7F" w:rsidRDefault="00C1501D" w:rsidP="00601D4A">
            <w:pPr>
              <w:ind w:left="113" w:right="113"/>
            </w:pPr>
            <w:r w:rsidRPr="00320F7F">
              <w:t>Grauwmeijer, 2017</w:t>
            </w:r>
          </w:p>
        </w:tc>
        <w:tc>
          <w:tcPr>
            <w:tcW w:w="522" w:type="dxa"/>
            <w:textDirection w:val="btLr"/>
          </w:tcPr>
          <w:p w14:paraId="740C3DBD" w14:textId="77777777" w:rsidR="00C1501D" w:rsidRPr="00320F7F" w:rsidRDefault="00C1501D" w:rsidP="00601D4A">
            <w:pPr>
              <w:ind w:left="113" w:right="113"/>
            </w:pPr>
            <w:r w:rsidRPr="00320F7F">
              <w:t>Odgaard, 2017</w:t>
            </w:r>
          </w:p>
        </w:tc>
        <w:tc>
          <w:tcPr>
            <w:tcW w:w="523" w:type="dxa"/>
            <w:textDirection w:val="btLr"/>
          </w:tcPr>
          <w:p w14:paraId="14A9775F" w14:textId="77777777" w:rsidR="00C1501D" w:rsidRPr="00320F7F" w:rsidRDefault="00C1501D" w:rsidP="00601D4A">
            <w:pPr>
              <w:ind w:left="113" w:right="113"/>
            </w:pPr>
            <w:r w:rsidRPr="00320F7F">
              <w:t>Palm, 2017</w:t>
            </w:r>
          </w:p>
        </w:tc>
        <w:tc>
          <w:tcPr>
            <w:tcW w:w="522" w:type="dxa"/>
            <w:textDirection w:val="btLr"/>
          </w:tcPr>
          <w:p w14:paraId="445526CB" w14:textId="77777777" w:rsidR="00C1501D" w:rsidRPr="00320F7F" w:rsidRDefault="00C1501D" w:rsidP="00601D4A">
            <w:pPr>
              <w:ind w:left="113" w:right="113"/>
            </w:pPr>
            <w:r w:rsidRPr="00320F7F">
              <w:t>Ruet, 2017</w:t>
            </w:r>
          </w:p>
        </w:tc>
        <w:tc>
          <w:tcPr>
            <w:tcW w:w="523" w:type="dxa"/>
            <w:textDirection w:val="btLr"/>
          </w:tcPr>
          <w:p w14:paraId="11BE04D4" w14:textId="77777777" w:rsidR="00C1501D" w:rsidRPr="00320F7F" w:rsidRDefault="00C1501D" w:rsidP="00601D4A">
            <w:pPr>
              <w:ind w:left="113" w:right="113"/>
            </w:pPr>
            <w:r w:rsidRPr="00320F7F">
              <w:t>DiSanto, 2018</w:t>
            </w:r>
          </w:p>
        </w:tc>
        <w:tc>
          <w:tcPr>
            <w:tcW w:w="522" w:type="dxa"/>
            <w:textDirection w:val="btLr"/>
          </w:tcPr>
          <w:p w14:paraId="41CBECA4" w14:textId="77777777" w:rsidR="00C1501D" w:rsidRPr="00320F7F" w:rsidRDefault="00C1501D" w:rsidP="00601D4A">
            <w:pPr>
              <w:ind w:left="113" w:right="113"/>
            </w:pPr>
            <w:r w:rsidRPr="00320F7F">
              <w:t>Stromberg, 2018</w:t>
            </w:r>
          </w:p>
        </w:tc>
        <w:tc>
          <w:tcPr>
            <w:tcW w:w="523" w:type="dxa"/>
            <w:textDirection w:val="btLr"/>
          </w:tcPr>
          <w:p w14:paraId="47422F30" w14:textId="77777777" w:rsidR="00C1501D" w:rsidRPr="00320F7F" w:rsidRDefault="00C1501D" w:rsidP="00601D4A">
            <w:pPr>
              <w:ind w:left="113" w:right="113"/>
            </w:pPr>
            <w:r w:rsidRPr="00320F7F">
              <w:t>Awan, 2019</w:t>
            </w:r>
          </w:p>
        </w:tc>
        <w:tc>
          <w:tcPr>
            <w:tcW w:w="522" w:type="dxa"/>
            <w:textDirection w:val="btLr"/>
          </w:tcPr>
          <w:p w14:paraId="51191596" w14:textId="77777777" w:rsidR="00C1501D" w:rsidRPr="00320F7F" w:rsidRDefault="00C1501D" w:rsidP="00601D4A">
            <w:pPr>
              <w:ind w:left="113" w:right="113"/>
            </w:pPr>
            <w:r w:rsidRPr="00320F7F">
              <w:t>Hart, 2019</w:t>
            </w:r>
          </w:p>
        </w:tc>
        <w:tc>
          <w:tcPr>
            <w:tcW w:w="523" w:type="dxa"/>
            <w:textDirection w:val="btLr"/>
          </w:tcPr>
          <w:p w14:paraId="4A5DEA77" w14:textId="77777777" w:rsidR="00C1501D" w:rsidRPr="00320F7F" w:rsidRDefault="00C1501D" w:rsidP="00601D4A">
            <w:pPr>
              <w:ind w:left="113" w:right="113"/>
            </w:pPr>
            <w:r w:rsidRPr="00320F7F">
              <w:t>Klyce, 2019</w:t>
            </w:r>
          </w:p>
        </w:tc>
        <w:tc>
          <w:tcPr>
            <w:tcW w:w="522" w:type="dxa"/>
            <w:textDirection w:val="btLr"/>
          </w:tcPr>
          <w:p w14:paraId="0FF8C24E" w14:textId="77777777" w:rsidR="00C1501D" w:rsidRPr="00320F7F" w:rsidRDefault="00C1501D" w:rsidP="00601D4A">
            <w:pPr>
              <w:ind w:left="113" w:right="113"/>
            </w:pPr>
            <w:r w:rsidRPr="00320F7F">
              <w:t>Pretz, 2019</w:t>
            </w:r>
          </w:p>
        </w:tc>
        <w:tc>
          <w:tcPr>
            <w:tcW w:w="523" w:type="dxa"/>
            <w:textDirection w:val="btLr"/>
          </w:tcPr>
          <w:p w14:paraId="5542F377" w14:textId="77777777" w:rsidR="00C1501D" w:rsidRPr="00320F7F" w:rsidRDefault="00C1501D" w:rsidP="00601D4A">
            <w:pPr>
              <w:ind w:left="113" w:right="113"/>
            </w:pPr>
            <w:r w:rsidRPr="00320F7F">
              <w:t>Sima, 2019</w:t>
            </w:r>
          </w:p>
        </w:tc>
        <w:tc>
          <w:tcPr>
            <w:tcW w:w="522" w:type="dxa"/>
            <w:textDirection w:val="btLr"/>
          </w:tcPr>
          <w:p w14:paraId="048300DD" w14:textId="77777777" w:rsidR="00C1501D" w:rsidRPr="00320F7F" w:rsidRDefault="00C1501D" w:rsidP="00601D4A">
            <w:pPr>
              <w:ind w:left="113" w:right="113"/>
            </w:pPr>
            <w:r w:rsidRPr="00320F7F">
              <w:t>Singh, 2019</w:t>
            </w:r>
          </w:p>
        </w:tc>
        <w:tc>
          <w:tcPr>
            <w:tcW w:w="523" w:type="dxa"/>
            <w:textDirection w:val="btLr"/>
          </w:tcPr>
          <w:p w14:paraId="30C4CF97" w14:textId="77777777" w:rsidR="00C1501D" w:rsidRPr="00320F7F" w:rsidRDefault="00C1501D" w:rsidP="00601D4A">
            <w:pPr>
              <w:ind w:left="113" w:right="113"/>
            </w:pPr>
            <w:r w:rsidRPr="00320F7F">
              <w:t>Arango-Lasprilla, 2020</w:t>
            </w:r>
          </w:p>
        </w:tc>
        <w:tc>
          <w:tcPr>
            <w:tcW w:w="523" w:type="dxa"/>
            <w:textDirection w:val="btLr"/>
          </w:tcPr>
          <w:p w14:paraId="7A200C3B" w14:textId="5CC677CD" w:rsidR="00C1501D" w:rsidRDefault="00C1501D" w:rsidP="00601D4A">
            <w:pPr>
              <w:ind w:left="113" w:right="113"/>
            </w:pPr>
            <w:r>
              <w:t>Howe, 2020</w:t>
            </w:r>
          </w:p>
        </w:tc>
        <w:tc>
          <w:tcPr>
            <w:tcW w:w="523" w:type="dxa"/>
            <w:textDirection w:val="btLr"/>
          </w:tcPr>
          <w:p w14:paraId="095C9B44" w14:textId="1154B7E8" w:rsidR="00C1501D" w:rsidRPr="00320F7F" w:rsidRDefault="00C1501D" w:rsidP="00601D4A">
            <w:pPr>
              <w:ind w:left="113" w:right="113"/>
            </w:pPr>
            <w:r>
              <w:t xml:space="preserve">Iida, 2021 </w:t>
            </w:r>
          </w:p>
        </w:tc>
        <w:tc>
          <w:tcPr>
            <w:tcW w:w="523" w:type="dxa"/>
            <w:textDirection w:val="btLr"/>
          </w:tcPr>
          <w:p w14:paraId="40BD3726" w14:textId="43DCEAFA" w:rsidR="00C1501D" w:rsidRDefault="00C1501D" w:rsidP="0012560F">
            <w:pPr>
              <w:ind w:left="113" w:right="113"/>
            </w:pPr>
            <w:r>
              <w:t>O</w:t>
            </w:r>
            <w:r w:rsidR="0012560F">
              <w:t>’N</w:t>
            </w:r>
            <w:r>
              <w:t>eil</w:t>
            </w:r>
            <w:r w:rsidR="0012560F">
              <w:t>-Pirozzi</w:t>
            </w:r>
            <w:r>
              <w:t>, 2021</w:t>
            </w:r>
          </w:p>
        </w:tc>
      </w:tr>
      <w:tr w:rsidR="00C1501D" w:rsidRPr="009B70F5" w14:paraId="1B2C96BE" w14:textId="77777777" w:rsidTr="00C1501D">
        <w:trPr>
          <w:trHeight w:val="735"/>
        </w:trPr>
        <w:tc>
          <w:tcPr>
            <w:tcW w:w="4299" w:type="dxa"/>
          </w:tcPr>
          <w:p w14:paraId="6F91C63E" w14:textId="77777777" w:rsidR="00C1501D" w:rsidRPr="009B70F5" w:rsidRDefault="00C1501D" w:rsidP="00601D4A">
            <w:pPr>
              <w:rPr>
                <w:lang w:val="en-US"/>
              </w:rPr>
            </w:pPr>
            <w:r w:rsidRPr="009B70F5">
              <w:rPr>
                <w:lang w:val="en-US"/>
              </w:rPr>
              <w:t xml:space="preserve">The </w:t>
            </w:r>
            <w:r w:rsidRPr="00F106E7">
              <w:rPr>
                <w:b/>
                <w:lang w:val="en-US"/>
              </w:rPr>
              <w:t>study sample</w:t>
            </w:r>
            <w:r w:rsidRPr="009B70F5">
              <w:rPr>
                <w:lang w:val="en-US"/>
              </w:rPr>
              <w:t xml:space="preserve"> represents the population of interest with regard to key characteristics</w:t>
            </w:r>
          </w:p>
        </w:tc>
        <w:tc>
          <w:tcPr>
            <w:tcW w:w="522" w:type="dxa"/>
            <w:vAlign w:val="center"/>
          </w:tcPr>
          <w:p w14:paraId="466F2FCF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3289F8A2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72142FEC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0B7F5F1B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307057B7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60E1D734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5309C9EB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39942905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03F666D5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1ED3ADD5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39C07D8D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289D5467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36BBC684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5CBB7A49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1F4F3589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3CC59BA4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2D66042C" w14:textId="44EED52E" w:rsidR="00C1501D" w:rsidRDefault="00C1501D" w:rsidP="00C150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03F0B860" w14:textId="3A82222E" w:rsidR="00C1501D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523" w:type="dxa"/>
            <w:vAlign w:val="center"/>
          </w:tcPr>
          <w:p w14:paraId="44DDED87" w14:textId="77777777" w:rsidR="00C1501D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</w:tr>
      <w:tr w:rsidR="00C1501D" w:rsidRPr="009B70F5" w14:paraId="38648109" w14:textId="77777777" w:rsidTr="00C1501D">
        <w:trPr>
          <w:trHeight w:val="735"/>
        </w:trPr>
        <w:tc>
          <w:tcPr>
            <w:tcW w:w="4299" w:type="dxa"/>
          </w:tcPr>
          <w:p w14:paraId="189FC121" w14:textId="77777777" w:rsidR="00C1501D" w:rsidRPr="009B70F5" w:rsidRDefault="00C1501D" w:rsidP="00601D4A">
            <w:pPr>
              <w:rPr>
                <w:lang w:val="en-US"/>
              </w:rPr>
            </w:pPr>
            <w:r w:rsidRPr="00F106E7">
              <w:rPr>
                <w:b/>
                <w:lang w:val="en-US"/>
              </w:rPr>
              <w:t>Loss to follow-up</w:t>
            </w:r>
            <w:r>
              <w:rPr>
                <w:lang w:val="en-US"/>
              </w:rPr>
              <w:t xml:space="preserve"> is unrelated to key characteristics (that is, the study data adequately represent the sample)</w:t>
            </w:r>
          </w:p>
        </w:tc>
        <w:tc>
          <w:tcPr>
            <w:tcW w:w="522" w:type="dxa"/>
            <w:vAlign w:val="center"/>
          </w:tcPr>
          <w:p w14:paraId="43C0DB1E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Y </w:t>
            </w:r>
          </w:p>
        </w:tc>
        <w:tc>
          <w:tcPr>
            <w:tcW w:w="523" w:type="dxa"/>
            <w:vAlign w:val="center"/>
          </w:tcPr>
          <w:p w14:paraId="58A2D65A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522" w:type="dxa"/>
            <w:vAlign w:val="center"/>
          </w:tcPr>
          <w:p w14:paraId="7A062D55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U </w:t>
            </w:r>
          </w:p>
        </w:tc>
        <w:tc>
          <w:tcPr>
            <w:tcW w:w="523" w:type="dxa"/>
            <w:vAlign w:val="center"/>
          </w:tcPr>
          <w:p w14:paraId="5A0612A2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3605BB53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523" w:type="dxa"/>
            <w:vAlign w:val="center"/>
          </w:tcPr>
          <w:p w14:paraId="14F03D44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5F6B1292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29B46613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08BCA41F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523" w:type="dxa"/>
            <w:vAlign w:val="center"/>
          </w:tcPr>
          <w:p w14:paraId="47F0FC19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522" w:type="dxa"/>
            <w:vAlign w:val="center"/>
          </w:tcPr>
          <w:p w14:paraId="030425D3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512BC1DB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522" w:type="dxa"/>
            <w:vAlign w:val="center"/>
          </w:tcPr>
          <w:p w14:paraId="16B8BCDD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523" w:type="dxa"/>
            <w:vAlign w:val="center"/>
          </w:tcPr>
          <w:p w14:paraId="48322DA5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480DF818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523" w:type="dxa"/>
            <w:vAlign w:val="center"/>
          </w:tcPr>
          <w:p w14:paraId="5AF392CC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523" w:type="dxa"/>
            <w:vAlign w:val="center"/>
          </w:tcPr>
          <w:p w14:paraId="42806A52" w14:textId="19751A28" w:rsidR="00C1501D" w:rsidRDefault="00C1501D" w:rsidP="00C150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523" w:type="dxa"/>
            <w:vAlign w:val="center"/>
          </w:tcPr>
          <w:p w14:paraId="4D539365" w14:textId="3DBACE12" w:rsidR="00C1501D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523" w:type="dxa"/>
            <w:vAlign w:val="center"/>
          </w:tcPr>
          <w:p w14:paraId="1A4A6A20" w14:textId="77777777" w:rsidR="00C1501D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</w:tr>
      <w:tr w:rsidR="00C1501D" w:rsidRPr="009B70F5" w14:paraId="3A4D1436" w14:textId="77777777" w:rsidTr="00C1501D">
        <w:trPr>
          <w:trHeight w:val="735"/>
        </w:trPr>
        <w:tc>
          <w:tcPr>
            <w:tcW w:w="4299" w:type="dxa"/>
          </w:tcPr>
          <w:p w14:paraId="02B6FF1B" w14:textId="77777777" w:rsidR="00C1501D" w:rsidRPr="009B70F5" w:rsidRDefault="00C1501D" w:rsidP="00601D4A">
            <w:pPr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r w:rsidRPr="00F106E7">
              <w:rPr>
                <w:b/>
                <w:lang w:val="en-US"/>
              </w:rPr>
              <w:t>prognostic factor</w:t>
            </w:r>
            <w:r>
              <w:rPr>
                <w:lang w:val="en-US"/>
              </w:rPr>
              <w:t xml:space="preserve"> of interest is adequately measured in study participants</w:t>
            </w:r>
          </w:p>
        </w:tc>
        <w:tc>
          <w:tcPr>
            <w:tcW w:w="522" w:type="dxa"/>
            <w:vAlign w:val="center"/>
          </w:tcPr>
          <w:p w14:paraId="41655133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66E8F9AE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12BF6520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53973917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6B761799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2C74262B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7EE91483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4EC4DE13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71885BBC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17343D86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4A290BD4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23B7AF2A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58C7AE5B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7F78B990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5573C7B7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55C1A1CD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49CA4072" w14:textId="3C793F35" w:rsidR="00C1501D" w:rsidRDefault="00C1501D" w:rsidP="00C150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00692C03" w14:textId="537BA733" w:rsidR="00C1501D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5DCA3033" w14:textId="77777777" w:rsidR="00C1501D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</w:tr>
      <w:tr w:rsidR="00C1501D" w:rsidRPr="009B70F5" w14:paraId="79F85F6B" w14:textId="77777777" w:rsidTr="00C1501D">
        <w:trPr>
          <w:trHeight w:val="735"/>
        </w:trPr>
        <w:tc>
          <w:tcPr>
            <w:tcW w:w="4299" w:type="dxa"/>
          </w:tcPr>
          <w:p w14:paraId="3A0D1C81" w14:textId="77777777" w:rsidR="00C1501D" w:rsidRPr="009B70F5" w:rsidRDefault="00C1501D" w:rsidP="00601D4A">
            <w:pPr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r w:rsidRPr="00F106E7">
              <w:rPr>
                <w:b/>
                <w:lang w:val="en-US"/>
              </w:rPr>
              <w:t>outcome</w:t>
            </w:r>
            <w:r>
              <w:rPr>
                <w:lang w:val="en-US"/>
              </w:rPr>
              <w:t xml:space="preserve"> of interest is adequately measured in study participants</w:t>
            </w:r>
          </w:p>
        </w:tc>
        <w:tc>
          <w:tcPr>
            <w:tcW w:w="522" w:type="dxa"/>
            <w:vAlign w:val="center"/>
          </w:tcPr>
          <w:p w14:paraId="240B663E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645E2925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0B5D5B5E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1786E058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2C59567A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523" w:type="dxa"/>
            <w:vAlign w:val="center"/>
          </w:tcPr>
          <w:p w14:paraId="7A575D3C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04A0BB9D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254A3068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2A2FCC5E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06BFE9AD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0B7435D1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04414D99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584AA2AC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424F9440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01F72715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01A2FD37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65F2D400" w14:textId="127AA375" w:rsidR="00C1501D" w:rsidRDefault="00C1501D" w:rsidP="00C150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64D8DD61" w14:textId="6F1724FC" w:rsidR="00C1501D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</w:t>
            </w:r>
          </w:p>
        </w:tc>
        <w:tc>
          <w:tcPr>
            <w:tcW w:w="523" w:type="dxa"/>
            <w:vAlign w:val="center"/>
          </w:tcPr>
          <w:p w14:paraId="6EB1BE20" w14:textId="77777777" w:rsidR="00C1501D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</w:tr>
      <w:tr w:rsidR="00C1501D" w:rsidRPr="009B70F5" w14:paraId="1DEF32C5" w14:textId="77777777" w:rsidTr="00C1501D">
        <w:trPr>
          <w:trHeight w:val="735"/>
        </w:trPr>
        <w:tc>
          <w:tcPr>
            <w:tcW w:w="4299" w:type="dxa"/>
          </w:tcPr>
          <w:p w14:paraId="487176B8" w14:textId="77777777" w:rsidR="00C1501D" w:rsidRPr="009B70F5" w:rsidRDefault="00C1501D" w:rsidP="00601D4A">
            <w:pPr>
              <w:rPr>
                <w:lang w:val="en-US"/>
              </w:rPr>
            </w:pPr>
            <w:r>
              <w:rPr>
                <w:lang w:val="en-US"/>
              </w:rPr>
              <w:t xml:space="preserve">Important potential </w:t>
            </w:r>
            <w:r w:rsidRPr="00F106E7">
              <w:rPr>
                <w:b/>
                <w:lang w:val="en-US"/>
              </w:rPr>
              <w:t>confounders</w:t>
            </w:r>
            <w:r>
              <w:rPr>
                <w:lang w:val="en-US"/>
              </w:rPr>
              <w:t xml:space="preserve"> are appropriately accounted for</w:t>
            </w:r>
          </w:p>
        </w:tc>
        <w:tc>
          <w:tcPr>
            <w:tcW w:w="522" w:type="dxa"/>
            <w:vAlign w:val="center"/>
          </w:tcPr>
          <w:p w14:paraId="43E44B95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28346BB2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Y </w:t>
            </w:r>
          </w:p>
        </w:tc>
        <w:tc>
          <w:tcPr>
            <w:tcW w:w="522" w:type="dxa"/>
            <w:vAlign w:val="center"/>
          </w:tcPr>
          <w:p w14:paraId="7E1459F6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6DCC2B73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4CABC8FF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754ABFF7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522" w:type="dxa"/>
            <w:vAlign w:val="center"/>
          </w:tcPr>
          <w:p w14:paraId="4FB3650F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3038D3E1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0F253A01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222EF4FB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7E7918FF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06C0EA59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31EB079D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Y </w:t>
            </w:r>
          </w:p>
        </w:tc>
        <w:tc>
          <w:tcPr>
            <w:tcW w:w="523" w:type="dxa"/>
            <w:vAlign w:val="center"/>
          </w:tcPr>
          <w:p w14:paraId="208FDD1E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4A227B86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523" w:type="dxa"/>
            <w:vAlign w:val="center"/>
          </w:tcPr>
          <w:p w14:paraId="27E9A34A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594AE3F6" w14:textId="05DD72C2" w:rsidR="00C1501D" w:rsidRDefault="00C1501D" w:rsidP="00C150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492A1F08" w14:textId="2FBBF8F7" w:rsidR="00C1501D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523" w:type="dxa"/>
            <w:vAlign w:val="center"/>
          </w:tcPr>
          <w:p w14:paraId="6FF544E1" w14:textId="77777777" w:rsidR="00C1501D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</w:tr>
      <w:tr w:rsidR="00C1501D" w:rsidRPr="009B70F5" w14:paraId="14A7100E" w14:textId="77777777" w:rsidTr="00C1501D">
        <w:trPr>
          <w:trHeight w:val="735"/>
        </w:trPr>
        <w:tc>
          <w:tcPr>
            <w:tcW w:w="4299" w:type="dxa"/>
          </w:tcPr>
          <w:p w14:paraId="7C7B74CC" w14:textId="77777777" w:rsidR="00C1501D" w:rsidRPr="009B70F5" w:rsidRDefault="00C1501D" w:rsidP="00601D4A">
            <w:pPr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r w:rsidRPr="00F106E7">
              <w:rPr>
                <w:b/>
                <w:lang w:val="en-US"/>
              </w:rPr>
              <w:t>statistical analysis</w:t>
            </w:r>
            <w:r>
              <w:rPr>
                <w:lang w:val="en-US"/>
              </w:rPr>
              <w:t xml:space="preserve"> is appropriate for the design of the study</w:t>
            </w:r>
          </w:p>
        </w:tc>
        <w:tc>
          <w:tcPr>
            <w:tcW w:w="522" w:type="dxa"/>
            <w:vAlign w:val="center"/>
          </w:tcPr>
          <w:p w14:paraId="273CB005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5E3977AC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5DB0E2BD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65F76405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5EC4FB37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45E6604C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Y </w:t>
            </w:r>
          </w:p>
        </w:tc>
        <w:tc>
          <w:tcPr>
            <w:tcW w:w="522" w:type="dxa"/>
            <w:vAlign w:val="center"/>
          </w:tcPr>
          <w:p w14:paraId="32090BFE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201DD496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337132A5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18B0A79B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4C1A999C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Y </w:t>
            </w:r>
          </w:p>
        </w:tc>
        <w:tc>
          <w:tcPr>
            <w:tcW w:w="523" w:type="dxa"/>
            <w:vAlign w:val="center"/>
          </w:tcPr>
          <w:p w14:paraId="3383C745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6180747C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1801B1C2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2" w:type="dxa"/>
            <w:vAlign w:val="center"/>
          </w:tcPr>
          <w:p w14:paraId="140D2ADC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523" w:type="dxa"/>
            <w:vAlign w:val="center"/>
          </w:tcPr>
          <w:p w14:paraId="5831E30E" w14:textId="77777777" w:rsidR="00C1501D" w:rsidRPr="009B70F5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2046F234" w14:textId="1B88393F" w:rsidR="00C1501D" w:rsidRDefault="00C1501D" w:rsidP="00C150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0CE08594" w14:textId="2918321B" w:rsidR="00C1501D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523" w:type="dxa"/>
            <w:vAlign w:val="center"/>
          </w:tcPr>
          <w:p w14:paraId="1C712B0D" w14:textId="77777777" w:rsidR="00C1501D" w:rsidRDefault="00C1501D" w:rsidP="00601D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</w:tr>
    </w:tbl>
    <w:p w14:paraId="0C09AB5D" w14:textId="1E6481E5" w:rsidR="00C1501D" w:rsidRDefault="00C1501D">
      <w:pPr>
        <w:rPr>
          <w:rFonts w:eastAsia="Times New Roman" w:cstheme="minorHAnsi"/>
          <w:b/>
          <w:bCs/>
          <w:szCs w:val="24"/>
          <w:lang w:val="en-US" w:eastAsia="nl-BE"/>
        </w:rPr>
      </w:pPr>
    </w:p>
    <w:p w14:paraId="0A304FB8" w14:textId="7A6EE9BB" w:rsidR="00C1501D" w:rsidRDefault="00C1501D">
      <w:pPr>
        <w:rPr>
          <w:rFonts w:eastAsia="Times New Roman" w:cstheme="minorHAnsi"/>
          <w:b/>
          <w:bCs/>
          <w:szCs w:val="24"/>
          <w:lang w:val="en-US" w:eastAsia="nl-BE"/>
        </w:rPr>
      </w:pPr>
      <w:bookmarkStart w:id="0" w:name="_GoBack"/>
      <w:bookmarkEnd w:id="0"/>
    </w:p>
    <w:p w14:paraId="390A60FD" w14:textId="77301205" w:rsidR="00A06B5C" w:rsidRDefault="000D5B38" w:rsidP="00BA4F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center"/>
        <w:outlineLvl w:val="3"/>
        <w:rPr>
          <w:rFonts w:eastAsia="Times New Roman" w:cstheme="minorHAnsi"/>
          <w:b/>
          <w:bCs/>
          <w:szCs w:val="24"/>
          <w:lang w:val="en-US" w:eastAsia="nl-BE"/>
        </w:rPr>
      </w:pPr>
      <w:r>
        <w:rPr>
          <w:rFonts w:eastAsia="Times New Roman" w:cstheme="minorHAnsi"/>
          <w:b/>
          <w:bCs/>
          <w:szCs w:val="24"/>
          <w:lang w:val="en-US" w:eastAsia="nl-BE"/>
        </w:rPr>
        <w:lastRenderedPageBreak/>
        <w:t xml:space="preserve">USED </w:t>
      </w:r>
      <w:r w:rsidR="00A06B5C">
        <w:rPr>
          <w:rFonts w:eastAsia="Times New Roman" w:cstheme="minorHAnsi"/>
          <w:b/>
          <w:bCs/>
          <w:szCs w:val="24"/>
          <w:lang w:val="en-US" w:eastAsia="nl-BE"/>
        </w:rPr>
        <w:t>EVALUATION CRITERIA PER</w:t>
      </w:r>
      <w:r>
        <w:rPr>
          <w:rFonts w:eastAsia="Times New Roman" w:cstheme="minorHAnsi"/>
          <w:b/>
          <w:bCs/>
          <w:szCs w:val="24"/>
          <w:lang w:val="en-US" w:eastAsia="nl-BE"/>
        </w:rPr>
        <w:t xml:space="preserve"> CHECKLIST ITEM</w:t>
      </w:r>
      <w:r w:rsidR="00A06B5C">
        <w:rPr>
          <w:rFonts w:eastAsia="Times New Roman" w:cstheme="minorHAnsi"/>
          <w:b/>
          <w:bCs/>
          <w:szCs w:val="24"/>
          <w:lang w:val="en-US" w:eastAsia="nl-BE"/>
        </w:rPr>
        <w:t xml:space="preserve"> FOR THE APPRAISAL OF STUDY QUALITY</w:t>
      </w:r>
    </w:p>
    <w:p w14:paraId="5620BCB0" w14:textId="58424D82" w:rsidR="00A06B5C" w:rsidRPr="00A06B5C" w:rsidRDefault="00BA4F6D" w:rsidP="00A06B5C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Cs w:val="24"/>
          <w:lang w:val="en-US" w:eastAsia="nl-BE"/>
        </w:rPr>
      </w:pPr>
      <w:r>
        <w:rPr>
          <w:rFonts w:eastAsia="Times New Roman" w:cstheme="minorHAnsi"/>
          <w:b/>
          <w:bCs/>
          <w:szCs w:val="24"/>
          <w:lang w:val="en-US" w:eastAsia="nl-BE"/>
        </w:rPr>
        <w:br/>
      </w:r>
      <w:r w:rsidR="00A06B5C" w:rsidRPr="00A06B5C">
        <w:rPr>
          <w:rFonts w:eastAsia="Times New Roman" w:cstheme="minorHAnsi"/>
          <w:b/>
          <w:bCs/>
          <w:szCs w:val="24"/>
          <w:lang w:val="en-US" w:eastAsia="nl-BE"/>
        </w:rPr>
        <w:t>1.1 The study sample represents the population of interest with regard to key characteristics, sufficient to limit potential bias to the results</w:t>
      </w:r>
    </w:p>
    <w:p w14:paraId="6A47CEF0" w14:textId="77777777" w:rsidR="00A06B5C" w:rsidRPr="00A06B5C" w:rsidRDefault="00A06B5C" w:rsidP="00A06B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val="en-US" w:eastAsia="nl-BE"/>
        </w:rPr>
      </w:pPr>
      <w:r w:rsidRPr="00A06B5C">
        <w:rPr>
          <w:rFonts w:eastAsia="Times New Roman" w:cstheme="minorHAnsi"/>
          <w:szCs w:val="24"/>
          <w:lang w:val="en-US" w:eastAsia="nl-BE"/>
        </w:rPr>
        <w:t>Are the sampling frame and recruitment adequately described, possibly including methods to identify the sample (number and type used; for example, referral patterns in healthcare), period of recruitment and place of recruitment (setting and geographical location)?</w:t>
      </w:r>
    </w:p>
    <w:p w14:paraId="6457716B" w14:textId="5376EC77" w:rsidR="00A06B5C" w:rsidRPr="00A06B5C" w:rsidRDefault="00A06B5C" w:rsidP="00A06B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val="en-US" w:eastAsia="nl-BE"/>
        </w:rPr>
      </w:pPr>
      <w:r w:rsidRPr="00A06B5C">
        <w:rPr>
          <w:rFonts w:eastAsia="Times New Roman" w:cstheme="minorHAnsi"/>
          <w:szCs w:val="24"/>
          <w:lang w:val="en-US" w:eastAsia="nl-BE"/>
        </w:rPr>
        <w:t>Are inclusion and exclusion criteria adequately described (for example, including explicit diagnostic criteria or a description of participants at the start of the follow-up period)?</w:t>
      </w:r>
    </w:p>
    <w:p w14:paraId="09A6F841" w14:textId="77777777" w:rsidR="00A06B5C" w:rsidRPr="00A06B5C" w:rsidRDefault="00A06B5C" w:rsidP="00A06B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val="en-US" w:eastAsia="nl-BE"/>
        </w:rPr>
      </w:pPr>
      <w:r w:rsidRPr="00A06B5C">
        <w:rPr>
          <w:rFonts w:eastAsia="Times New Roman" w:cstheme="minorHAnsi"/>
          <w:szCs w:val="24"/>
          <w:lang w:val="en-US" w:eastAsia="nl-BE"/>
        </w:rPr>
        <w:t>Is the baseline study sample (that is, individuals entering the study) adequately described with respect to key characteristics?</w:t>
      </w:r>
    </w:p>
    <w:p w14:paraId="658E9C0B" w14:textId="77777777" w:rsidR="00A06B5C" w:rsidRPr="00A06B5C" w:rsidRDefault="00A06B5C" w:rsidP="00A06B5C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Cs w:val="24"/>
          <w:lang w:val="en-US" w:eastAsia="nl-BE"/>
        </w:rPr>
      </w:pPr>
      <w:r w:rsidRPr="00A06B5C">
        <w:rPr>
          <w:rFonts w:eastAsia="Times New Roman" w:cstheme="minorHAnsi"/>
          <w:b/>
          <w:bCs/>
          <w:szCs w:val="24"/>
          <w:lang w:val="en-US" w:eastAsia="nl-BE"/>
        </w:rPr>
        <w:t xml:space="preserve">1.2 Loss to follow-up is unrelated to key characteristics (that is, the study data adequately represent the sample), sufficient to limit potential bias </w:t>
      </w:r>
    </w:p>
    <w:p w14:paraId="20AFE2A1" w14:textId="77777777" w:rsidR="00A06B5C" w:rsidRPr="00A06B5C" w:rsidRDefault="00A06B5C" w:rsidP="00A06B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val="en-US" w:eastAsia="nl-BE"/>
        </w:rPr>
      </w:pPr>
      <w:r w:rsidRPr="00A06B5C">
        <w:rPr>
          <w:rFonts w:eastAsia="Times New Roman" w:cstheme="minorHAnsi"/>
          <w:szCs w:val="24"/>
          <w:lang w:val="en-US" w:eastAsia="nl-BE"/>
        </w:rPr>
        <w:t>Are reasons for loss to follow-up provided?</w:t>
      </w:r>
    </w:p>
    <w:p w14:paraId="16960E09" w14:textId="77777777" w:rsidR="00A06B5C" w:rsidRPr="00A06B5C" w:rsidRDefault="00A06B5C" w:rsidP="00A06B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val="en-US" w:eastAsia="nl-BE"/>
        </w:rPr>
      </w:pPr>
      <w:r w:rsidRPr="00A06B5C">
        <w:rPr>
          <w:rFonts w:eastAsia="Times New Roman" w:cstheme="minorHAnsi"/>
          <w:szCs w:val="24"/>
          <w:lang w:val="en-US" w:eastAsia="nl-BE"/>
        </w:rPr>
        <w:t>Are the key characteristics of participants lost to follow-up adequately described?</w:t>
      </w:r>
    </w:p>
    <w:p w14:paraId="15A5370E" w14:textId="77777777" w:rsidR="00A06B5C" w:rsidRPr="00A06B5C" w:rsidRDefault="00A06B5C" w:rsidP="00A06B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val="en-US" w:eastAsia="nl-BE"/>
        </w:rPr>
      </w:pPr>
      <w:r w:rsidRPr="00A06B5C">
        <w:rPr>
          <w:rFonts w:eastAsia="Times New Roman" w:cstheme="minorHAnsi"/>
          <w:szCs w:val="24"/>
          <w:lang w:val="en-US" w:eastAsia="nl-BE"/>
        </w:rPr>
        <w:t>Are there any important differences in key characteristics and outcomes between participants who completed the study and those who did not?</w:t>
      </w:r>
    </w:p>
    <w:p w14:paraId="232EF036" w14:textId="77777777" w:rsidR="00A06B5C" w:rsidRPr="00A06B5C" w:rsidRDefault="00A06B5C" w:rsidP="00A06B5C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Cs w:val="24"/>
          <w:lang w:val="en-US" w:eastAsia="nl-BE"/>
        </w:rPr>
      </w:pPr>
      <w:r w:rsidRPr="00A06B5C">
        <w:rPr>
          <w:rFonts w:eastAsia="Times New Roman" w:cstheme="minorHAnsi"/>
          <w:b/>
          <w:bCs/>
          <w:szCs w:val="24"/>
          <w:lang w:val="en-US" w:eastAsia="nl-BE"/>
        </w:rPr>
        <w:t>1.3 The prognostic factor of interest is adequately measured in study participants, sufficient to limit potential bias</w:t>
      </w:r>
    </w:p>
    <w:p w14:paraId="0CCA2A81" w14:textId="0948E818" w:rsidR="00A06B5C" w:rsidRPr="00A06B5C" w:rsidRDefault="00A06B5C" w:rsidP="00A06B5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val="en-US" w:eastAsia="nl-BE"/>
        </w:rPr>
      </w:pPr>
      <w:r w:rsidRPr="00A06B5C">
        <w:rPr>
          <w:rFonts w:eastAsia="Times New Roman" w:cstheme="minorHAnsi"/>
          <w:szCs w:val="24"/>
          <w:lang w:val="en-US" w:eastAsia="nl-BE"/>
        </w:rPr>
        <w:t xml:space="preserve">Is a clear definition or description of the prognostic factor(s) measured provided (including dose, level, duration of exposure, and clear specification of the method of measurement)? </w:t>
      </w:r>
    </w:p>
    <w:p w14:paraId="3CE360CB" w14:textId="38E38DF8" w:rsidR="00A06B5C" w:rsidRPr="00A06B5C" w:rsidRDefault="00A06B5C" w:rsidP="00A06B5C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Cs w:val="24"/>
          <w:lang w:val="en-US" w:eastAsia="nl-BE"/>
        </w:rPr>
      </w:pPr>
      <w:r w:rsidRPr="00A06B5C">
        <w:rPr>
          <w:rFonts w:eastAsia="Times New Roman" w:cstheme="minorHAnsi"/>
          <w:b/>
          <w:bCs/>
          <w:szCs w:val="24"/>
          <w:lang w:val="en-US" w:eastAsia="nl-BE"/>
        </w:rPr>
        <w:t>1.4 The outcome of interest is adequately measured in study participants, sufficient to limit potential bias</w:t>
      </w:r>
    </w:p>
    <w:p w14:paraId="5C389159" w14:textId="77777777" w:rsidR="00A06B5C" w:rsidRPr="00A06B5C" w:rsidRDefault="00A06B5C" w:rsidP="00A06B5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val="en-US" w:eastAsia="nl-BE"/>
        </w:rPr>
      </w:pPr>
      <w:r w:rsidRPr="00A06B5C">
        <w:rPr>
          <w:rFonts w:eastAsia="Times New Roman" w:cstheme="minorHAnsi"/>
          <w:szCs w:val="24"/>
          <w:lang w:val="en-US" w:eastAsia="nl-BE"/>
        </w:rPr>
        <w:t>Is a clear definition of the outcome of interest provided, including duration of follow-up?</w:t>
      </w:r>
    </w:p>
    <w:p w14:paraId="38A02736" w14:textId="77777777" w:rsidR="00A06B5C" w:rsidRPr="00A06B5C" w:rsidRDefault="00A06B5C" w:rsidP="00A06B5C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Cs w:val="24"/>
          <w:lang w:val="en-US" w:eastAsia="nl-BE"/>
        </w:rPr>
      </w:pPr>
      <w:r w:rsidRPr="00A06B5C">
        <w:rPr>
          <w:rFonts w:eastAsia="Times New Roman" w:cstheme="minorHAnsi"/>
          <w:b/>
          <w:bCs/>
          <w:szCs w:val="24"/>
          <w:lang w:val="en-US" w:eastAsia="nl-BE"/>
        </w:rPr>
        <w:t>1.5 Important potential confounders are appropriately accounted for, limiting potential bias with respect to the prognostic factor of interest</w:t>
      </w:r>
    </w:p>
    <w:p w14:paraId="60A77B4C" w14:textId="77777777" w:rsidR="00A06B5C" w:rsidRPr="00A06B5C" w:rsidRDefault="00A06B5C" w:rsidP="00A06B5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val="en-US" w:eastAsia="nl-BE"/>
        </w:rPr>
      </w:pPr>
      <w:r w:rsidRPr="00A06B5C">
        <w:rPr>
          <w:rFonts w:eastAsia="Times New Roman" w:cstheme="minorHAnsi"/>
          <w:szCs w:val="24"/>
          <w:lang w:val="en-US" w:eastAsia="nl-BE"/>
        </w:rPr>
        <w:t>Are important potential confounders accounted for in the analysis (that is, appropriate adjustment)?</w:t>
      </w:r>
    </w:p>
    <w:p w14:paraId="5B5F9CE7" w14:textId="77777777" w:rsidR="00A06B5C" w:rsidRPr="00A06B5C" w:rsidRDefault="00A06B5C" w:rsidP="00A06B5C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Cs w:val="24"/>
          <w:lang w:val="en-US" w:eastAsia="nl-BE"/>
        </w:rPr>
      </w:pPr>
      <w:r w:rsidRPr="00A06B5C">
        <w:rPr>
          <w:rFonts w:eastAsia="Times New Roman" w:cstheme="minorHAnsi"/>
          <w:b/>
          <w:bCs/>
          <w:szCs w:val="24"/>
          <w:lang w:val="en-US" w:eastAsia="nl-BE"/>
        </w:rPr>
        <w:t>1.6 The statistical analysis is appropriate for the design of the study, limiting potential for the presentation of invalid results</w:t>
      </w:r>
    </w:p>
    <w:p w14:paraId="41B2C859" w14:textId="77777777" w:rsidR="00A06B5C" w:rsidRPr="00A06B5C" w:rsidRDefault="00A06B5C" w:rsidP="00A06B5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val="en-US" w:eastAsia="nl-BE"/>
        </w:rPr>
      </w:pPr>
      <w:r w:rsidRPr="00A06B5C">
        <w:rPr>
          <w:rFonts w:eastAsia="Times New Roman" w:cstheme="minorHAnsi"/>
          <w:szCs w:val="24"/>
          <w:lang w:val="en-US" w:eastAsia="nl-BE"/>
        </w:rPr>
        <w:t>Is the selected model adequate for the design of the study?</w:t>
      </w:r>
    </w:p>
    <w:sectPr w:rsidR="00A06B5C" w:rsidRPr="00A06B5C" w:rsidSect="009B70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23D47"/>
    <w:multiLevelType w:val="multilevel"/>
    <w:tmpl w:val="3F481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A619F1"/>
    <w:multiLevelType w:val="multilevel"/>
    <w:tmpl w:val="DD84A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C05C7F"/>
    <w:multiLevelType w:val="multilevel"/>
    <w:tmpl w:val="936AC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BB04C2"/>
    <w:multiLevelType w:val="multilevel"/>
    <w:tmpl w:val="8042E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8C7B96"/>
    <w:multiLevelType w:val="multilevel"/>
    <w:tmpl w:val="EAA45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A72458"/>
    <w:multiLevelType w:val="multilevel"/>
    <w:tmpl w:val="085AC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F5"/>
    <w:rsid w:val="00094005"/>
    <w:rsid w:val="00096175"/>
    <w:rsid w:val="000D5B38"/>
    <w:rsid w:val="000E580C"/>
    <w:rsid w:val="0012560F"/>
    <w:rsid w:val="0022038B"/>
    <w:rsid w:val="002310DB"/>
    <w:rsid w:val="00261509"/>
    <w:rsid w:val="00266750"/>
    <w:rsid w:val="0028722E"/>
    <w:rsid w:val="002F266B"/>
    <w:rsid w:val="00320F7F"/>
    <w:rsid w:val="00385B8B"/>
    <w:rsid w:val="00395699"/>
    <w:rsid w:val="003B5911"/>
    <w:rsid w:val="004B7F28"/>
    <w:rsid w:val="005436B3"/>
    <w:rsid w:val="005477E5"/>
    <w:rsid w:val="0057625B"/>
    <w:rsid w:val="005B2290"/>
    <w:rsid w:val="006430BD"/>
    <w:rsid w:val="006450A7"/>
    <w:rsid w:val="0066413C"/>
    <w:rsid w:val="00705A13"/>
    <w:rsid w:val="00777AF8"/>
    <w:rsid w:val="007D7809"/>
    <w:rsid w:val="008A0C37"/>
    <w:rsid w:val="009B53A9"/>
    <w:rsid w:val="009B70F5"/>
    <w:rsid w:val="009D2B53"/>
    <w:rsid w:val="00A06B5C"/>
    <w:rsid w:val="00A25161"/>
    <w:rsid w:val="00A96EED"/>
    <w:rsid w:val="00AB0DF6"/>
    <w:rsid w:val="00AC6FBE"/>
    <w:rsid w:val="00B15DE6"/>
    <w:rsid w:val="00B65C17"/>
    <w:rsid w:val="00B95588"/>
    <w:rsid w:val="00BA4F6D"/>
    <w:rsid w:val="00BD0967"/>
    <w:rsid w:val="00C1501D"/>
    <w:rsid w:val="00CB40F7"/>
    <w:rsid w:val="00CD4436"/>
    <w:rsid w:val="00CE6FC2"/>
    <w:rsid w:val="00CF63C1"/>
    <w:rsid w:val="00D3411B"/>
    <w:rsid w:val="00DC1820"/>
    <w:rsid w:val="00DC7F5A"/>
    <w:rsid w:val="00E57CF7"/>
    <w:rsid w:val="00F106E7"/>
    <w:rsid w:val="00F270ED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B46B3"/>
  <w15:chartTrackingRefBased/>
  <w15:docId w15:val="{084FBF7F-CF72-4D3D-8530-CE0E291C1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B7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B7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70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5EB3AD0871C4EA33D409495382438" ma:contentTypeVersion="13" ma:contentTypeDescription="Een nieuw document maken." ma:contentTypeScope="" ma:versionID="7539cbe59cdd0d6d6afd6c37dd149ef6">
  <xsd:schema xmlns:xsd="http://www.w3.org/2001/XMLSchema" xmlns:xs="http://www.w3.org/2001/XMLSchema" xmlns:p="http://schemas.microsoft.com/office/2006/metadata/properties" xmlns:ns3="29564458-cea2-481e-b833-42996423e791" xmlns:ns4="55a2bf2c-165f-4b75-b8be-23f32d961c02" targetNamespace="http://schemas.microsoft.com/office/2006/metadata/properties" ma:root="true" ma:fieldsID="59c2e47cdc36c550d691fcdcf06418b1" ns3:_="" ns4:_="">
    <xsd:import namespace="29564458-cea2-481e-b833-42996423e791"/>
    <xsd:import namespace="55a2bf2c-165f-4b75-b8be-23f32d961c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64458-cea2-481e-b833-42996423e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2bf2c-165f-4b75-b8be-23f32d961c0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3ED602-A47C-4B0F-84B3-EB1FFC705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BEED4D-D574-44B4-A966-ACB92E588443}">
  <ds:schemaRefs>
    <ds:schemaRef ds:uri="http://purl.org/dc/terms/"/>
    <ds:schemaRef ds:uri="http://schemas.openxmlformats.org/package/2006/metadata/core-properties"/>
    <ds:schemaRef ds:uri="55a2bf2c-165f-4b75-b8be-23f32d961c0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9564458-cea2-481e-b833-42996423e79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1DB302F-2B27-4303-BF44-D9EE3DF29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64458-cea2-481e-b833-42996423e791"/>
    <ds:schemaRef ds:uri="55a2bf2c-165f-4b75-b8be-23f32d961c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Van Deynse</dc:creator>
  <cp:keywords/>
  <dc:description/>
  <cp:lastModifiedBy>Helena Van Deynse</cp:lastModifiedBy>
  <cp:revision>3</cp:revision>
  <dcterms:created xsi:type="dcterms:W3CDTF">2021-05-11T13:42:00Z</dcterms:created>
  <dcterms:modified xsi:type="dcterms:W3CDTF">2021-05-25T16:15:00Z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0x010100F325EB3AD0871C4EA33D409495382438</vt:lpwstr>
  </property>
</Properties>
</file>