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31DB7B" w14:textId="77777777" w:rsidR="00D966C7" w:rsidRDefault="00172044" w:rsidP="00D966C7">
      <w:pPr>
        <w:spacing w:after="0"/>
        <w:rPr>
          <w:rFonts w:ascii="Calibri" w:hAnsi="Calibri" w:cs="Calibri"/>
          <w:b/>
          <w:bCs/>
          <w:noProof/>
          <w:sz w:val="22"/>
          <w:szCs w:val="22"/>
          <w:lang w:val="en-US"/>
        </w:rPr>
      </w:pPr>
      <w:r w:rsidRPr="00664D77">
        <w:rPr>
          <w:rFonts w:ascii="Calibri" w:hAnsi="Calibri" w:cs="Calibri"/>
          <w:b/>
          <w:bCs/>
          <w:sz w:val="22"/>
          <w:szCs w:val="22"/>
          <w:lang w:val="en-US"/>
        </w:rPr>
        <w:t>Supplemental figure</w:t>
      </w:r>
      <w:r w:rsidR="00D966C7">
        <w:rPr>
          <w:rFonts w:ascii="Calibri" w:hAnsi="Calibri" w:cs="Calibri"/>
          <w:b/>
          <w:bCs/>
          <w:sz w:val="22"/>
          <w:szCs w:val="22"/>
          <w:lang w:val="en-US"/>
        </w:rPr>
        <w:t>s</w:t>
      </w:r>
    </w:p>
    <w:p w14:paraId="3CBDE370" w14:textId="77777777" w:rsidR="00D966C7" w:rsidRDefault="00D966C7">
      <w:pPr>
        <w:spacing w:after="160" w:line="259" w:lineRule="auto"/>
        <w:rPr>
          <w:rFonts w:ascii="Calibri" w:hAnsi="Calibri" w:cs="Calibri"/>
          <w:b/>
          <w:bCs/>
          <w:noProof/>
          <w:sz w:val="22"/>
          <w:szCs w:val="22"/>
          <w:lang w:val="en-US"/>
        </w:rPr>
      </w:pPr>
      <w:r>
        <w:rPr>
          <w:rFonts w:ascii="Calibri" w:hAnsi="Calibri" w:cs="Calibri"/>
          <w:b/>
          <w:bCs/>
          <w:noProof/>
          <w:sz w:val="22"/>
          <w:szCs w:val="22"/>
          <w:lang w:val="en-US"/>
        </w:rPr>
        <w:drawing>
          <wp:inline distT="0" distB="0" distL="0" distR="0" wp14:anchorId="42C47C1E" wp14:editId="56AECC7E">
            <wp:extent cx="5276850" cy="798289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sset 3S1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44"/>
                    <a:stretch/>
                  </pic:blipFill>
                  <pic:spPr bwMode="auto">
                    <a:xfrm>
                      <a:off x="0" y="0"/>
                      <a:ext cx="5283694" cy="79932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bCs/>
          <w:noProof/>
          <w:sz w:val="22"/>
          <w:szCs w:val="22"/>
          <w:lang w:val="en-US"/>
        </w:rPr>
        <w:br w:type="page"/>
      </w:r>
    </w:p>
    <w:p w14:paraId="5BCB0CCA" w14:textId="5D62532B" w:rsidR="00172044" w:rsidRPr="00172044" w:rsidRDefault="00172044" w:rsidP="00172044">
      <w:pPr>
        <w:snapToGrid w:val="0"/>
        <w:spacing w:after="0"/>
        <w:jc w:val="both"/>
        <w:rPr>
          <w:rFonts w:ascii="Calibri" w:hAnsi="Calibri" w:cs="Calibri"/>
          <w:sz w:val="22"/>
          <w:szCs w:val="22"/>
          <w:lang w:val="en-US"/>
        </w:rPr>
      </w:pP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lastRenderedPageBreak/>
        <w:t xml:space="preserve">Figure </w:t>
      </w:r>
      <w:r>
        <w:rPr>
          <w:rFonts w:ascii="Calibri" w:hAnsi="Calibri" w:cs="Calibri"/>
          <w:b/>
          <w:bCs/>
          <w:sz w:val="22"/>
          <w:szCs w:val="22"/>
          <w:lang w:val="en-US"/>
        </w:rPr>
        <w:t>S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1.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Testing of commercially available anti-LC3 antibodies in immunofluorescence. HeLa cells were transfected with </w:t>
      </w:r>
      <w:r>
        <w:rPr>
          <w:rFonts w:ascii="Calibri" w:hAnsi="Calibri" w:cs="Calibri"/>
          <w:sz w:val="22"/>
          <w:szCs w:val="22"/>
          <w:lang w:val="en-US"/>
        </w:rPr>
        <w:t>EGFP-</w:t>
      </w:r>
      <w:r w:rsidRPr="00172044">
        <w:rPr>
          <w:rFonts w:ascii="Calibri" w:hAnsi="Calibri" w:cs="Calibri"/>
          <w:sz w:val="22"/>
          <w:szCs w:val="22"/>
          <w:lang w:val="en-US"/>
        </w:rPr>
        <w:t>LC3B and fixed in fed conditions. IF was performed with</w:t>
      </w:r>
      <w:r>
        <w:rPr>
          <w:rFonts w:ascii="Calibri" w:hAnsi="Calibri" w:cs="Calibri"/>
          <w:sz w:val="22"/>
          <w:szCs w:val="22"/>
          <w:lang w:val="en-US"/>
        </w:rPr>
        <w:t xml:space="preserve"> the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indicated LC3 primary and an Alexa</w:t>
      </w:r>
      <w:r>
        <w:rPr>
          <w:rFonts w:ascii="Calibri" w:hAnsi="Calibri" w:cs="Calibri"/>
          <w:sz w:val="22"/>
          <w:szCs w:val="22"/>
          <w:lang w:val="en-US"/>
        </w:rPr>
        <w:t xml:space="preserve"> Fluor </w:t>
      </w:r>
      <w:r w:rsidRPr="00172044">
        <w:rPr>
          <w:rFonts w:ascii="Calibri" w:hAnsi="Calibri" w:cs="Calibri"/>
          <w:sz w:val="22"/>
          <w:szCs w:val="22"/>
          <w:lang w:val="en-US"/>
        </w:rPr>
        <w:t>568 secondary antibody. Antibodies used in each subfigure: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A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) </w:t>
      </w:r>
      <w:proofErr w:type="spellStart"/>
      <w:r w:rsidRPr="00172044">
        <w:rPr>
          <w:rFonts w:ascii="Calibri" w:hAnsi="Calibri" w:cs="Calibri"/>
          <w:sz w:val="22"/>
          <w:szCs w:val="22"/>
          <w:lang w:val="en-US"/>
        </w:rPr>
        <w:t>Nanotools</w:t>
      </w:r>
      <w:proofErr w:type="spellEnd"/>
      <w:r w:rsidRPr="00172044">
        <w:rPr>
          <w:rFonts w:ascii="Calibri" w:hAnsi="Calibri" w:cs="Calibri"/>
          <w:sz w:val="22"/>
          <w:szCs w:val="22"/>
          <w:lang w:val="en-US"/>
        </w:rPr>
        <w:t xml:space="preserve"> 0231-100/LC3-5F10 (1:100);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B</w:t>
      </w:r>
      <w:r w:rsidRPr="00172044">
        <w:rPr>
          <w:rFonts w:ascii="Calibri" w:hAnsi="Calibri" w:cs="Calibri"/>
          <w:sz w:val="22"/>
          <w:szCs w:val="22"/>
          <w:lang w:val="en-US"/>
        </w:rPr>
        <w:t>) MBL M152-3 (1:50);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C</w:t>
      </w:r>
      <w:r w:rsidRPr="00172044">
        <w:rPr>
          <w:rFonts w:ascii="Calibri" w:hAnsi="Calibri" w:cs="Calibri"/>
          <w:sz w:val="22"/>
          <w:szCs w:val="22"/>
          <w:lang w:val="en-US"/>
        </w:rPr>
        <w:t>) Millipore MABC177 clone EP1528Y (1:100);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D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) CST </w:t>
      </w:r>
      <w:r>
        <w:rPr>
          <w:rFonts w:ascii="Calibri" w:hAnsi="Calibri" w:cs="Calibri"/>
          <w:sz w:val="22"/>
          <w:szCs w:val="22"/>
          <w:lang w:val="en-US"/>
        </w:rPr>
        <w:t>#</w:t>
      </w:r>
      <w:r w:rsidRPr="00172044">
        <w:rPr>
          <w:rFonts w:ascii="Calibri" w:hAnsi="Calibri" w:cs="Calibri"/>
          <w:sz w:val="22"/>
          <w:szCs w:val="22"/>
          <w:lang w:val="en-US"/>
        </w:rPr>
        <w:t>12741 (1:100);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E</w:t>
      </w:r>
      <w:r w:rsidRPr="00172044">
        <w:rPr>
          <w:rFonts w:ascii="Calibri" w:hAnsi="Calibri" w:cs="Calibri"/>
          <w:sz w:val="22"/>
          <w:szCs w:val="22"/>
          <w:lang w:val="en-US"/>
        </w:rPr>
        <w:t>) Novus Biologicals NB600-1384 (1:200);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F</w:t>
      </w:r>
      <w:r w:rsidRPr="00172044">
        <w:rPr>
          <w:rFonts w:ascii="Calibri" w:hAnsi="Calibri" w:cs="Calibri"/>
          <w:sz w:val="22"/>
          <w:szCs w:val="22"/>
          <w:lang w:val="en-US"/>
        </w:rPr>
        <w:t>) Cosmo Bio CAC-CTB-LC3-2-IC (1:200); (</w:t>
      </w:r>
      <w:r w:rsidRPr="00172044">
        <w:rPr>
          <w:rFonts w:ascii="Calibri" w:hAnsi="Calibri" w:cs="Calibri"/>
          <w:b/>
          <w:sz w:val="22"/>
          <w:szCs w:val="22"/>
          <w:lang w:val="en-US"/>
        </w:rPr>
        <w:t>G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) CST </w:t>
      </w:r>
      <w:r>
        <w:rPr>
          <w:rFonts w:ascii="Calibri" w:hAnsi="Calibri" w:cs="Calibri"/>
          <w:sz w:val="22"/>
          <w:szCs w:val="22"/>
          <w:lang w:val="en-US"/>
        </w:rPr>
        <w:t>#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4108 (1:200). All tested antibodies display some degree of specific labeling, except Millipore MABC177 (C) and CST 4108 (G). Arrowheads indicate specifically </w:t>
      </w:r>
      <w:proofErr w:type="spellStart"/>
      <w:r w:rsidRPr="00172044">
        <w:rPr>
          <w:rFonts w:ascii="Calibri" w:hAnsi="Calibri" w:cs="Calibri"/>
          <w:sz w:val="22"/>
          <w:szCs w:val="22"/>
          <w:lang w:val="en-US"/>
        </w:rPr>
        <w:t>colocalizing</w:t>
      </w:r>
      <w:proofErr w:type="spellEnd"/>
      <w:r w:rsidRPr="00172044">
        <w:rPr>
          <w:rFonts w:ascii="Calibri" w:hAnsi="Calibri" w:cs="Calibri"/>
          <w:sz w:val="22"/>
          <w:szCs w:val="22"/>
          <w:lang w:val="en-US"/>
        </w:rPr>
        <w:t xml:space="preserve"> puncta. Overall labeling efficacy is summarized in Table 1. Scale bar</w:t>
      </w:r>
      <w:r>
        <w:rPr>
          <w:rFonts w:ascii="Calibri" w:hAnsi="Calibri" w:cs="Calibri"/>
          <w:sz w:val="22"/>
          <w:szCs w:val="22"/>
          <w:lang w:val="en-US"/>
        </w:rPr>
        <w:t>: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20 µm in overview, 5 µm in inset.</w:t>
      </w:r>
      <w:r w:rsidR="00402E71">
        <w:rPr>
          <w:rFonts w:ascii="Calibri" w:hAnsi="Calibri" w:cs="Calibri"/>
          <w:sz w:val="22"/>
          <w:szCs w:val="22"/>
          <w:lang w:val="en-US"/>
        </w:rPr>
        <w:t xml:space="preserve"> </w:t>
      </w:r>
    </w:p>
    <w:p w14:paraId="17B677B4" w14:textId="77777777" w:rsidR="00172044" w:rsidRPr="00664D77" w:rsidRDefault="00D966C7" w:rsidP="00172044">
      <w:pPr>
        <w:snapToGrid w:val="0"/>
        <w:spacing w:after="0"/>
        <w:jc w:val="both"/>
        <w:rPr>
          <w:rFonts w:ascii="Calibri" w:hAnsi="Calibri" w:cs="Calibri"/>
          <w:b/>
          <w:bCs/>
          <w:sz w:val="22"/>
          <w:szCs w:val="22"/>
          <w:lang w:val="en-US"/>
        </w:rPr>
      </w:pPr>
      <w:r>
        <w:rPr>
          <w:rFonts w:ascii="Calibri" w:hAnsi="Calibri" w:cs="Calibri"/>
          <w:b/>
          <w:bCs/>
          <w:noProof/>
          <w:sz w:val="22"/>
          <w:szCs w:val="22"/>
          <w:lang w:val="en-US"/>
        </w:rPr>
        <w:lastRenderedPageBreak/>
        <w:drawing>
          <wp:inline distT="0" distB="0" distL="0" distR="0" wp14:anchorId="0320DACB" wp14:editId="1D666F6C">
            <wp:extent cx="5743575" cy="838635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sset 4S2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05"/>
                    <a:stretch/>
                  </pic:blipFill>
                  <pic:spPr bwMode="auto">
                    <a:xfrm>
                      <a:off x="0" y="0"/>
                      <a:ext cx="5752256" cy="83990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1AF175" w14:textId="77777777" w:rsidR="00172044" w:rsidRDefault="00172044" w:rsidP="00172044">
      <w:pPr>
        <w:snapToGrid w:val="0"/>
        <w:spacing w:after="0"/>
        <w:jc w:val="both"/>
        <w:rPr>
          <w:rFonts w:ascii="Calibri" w:hAnsi="Calibri" w:cs="Calibri"/>
          <w:sz w:val="22"/>
          <w:szCs w:val="22"/>
          <w:lang w:val="en-US"/>
        </w:rPr>
      </w:pPr>
      <w:r w:rsidRPr="00221774">
        <w:rPr>
          <w:rFonts w:ascii="Calibri" w:hAnsi="Calibri" w:cs="Calibri"/>
          <w:b/>
          <w:bCs/>
          <w:sz w:val="22"/>
          <w:szCs w:val="22"/>
          <w:lang w:val="en-US"/>
        </w:rPr>
        <w:lastRenderedPageBreak/>
        <w:t xml:space="preserve">Figure </w:t>
      </w:r>
      <w:r>
        <w:rPr>
          <w:rFonts w:ascii="Calibri" w:hAnsi="Calibri" w:cs="Calibri"/>
          <w:b/>
          <w:bCs/>
          <w:sz w:val="22"/>
          <w:szCs w:val="22"/>
          <w:lang w:val="en-US"/>
        </w:rPr>
        <w:t>S</w:t>
      </w:r>
      <w:r w:rsidRPr="003C379D">
        <w:rPr>
          <w:rFonts w:ascii="Calibri" w:hAnsi="Calibri" w:cs="Calibri"/>
          <w:b/>
          <w:bCs/>
          <w:sz w:val="22"/>
          <w:szCs w:val="22"/>
          <w:lang w:val="en-US"/>
        </w:rPr>
        <w:t>2</w:t>
      </w:r>
      <w:r w:rsidRPr="00221774">
        <w:rPr>
          <w:rFonts w:ascii="Calibri" w:hAnsi="Calibri" w:cs="Calibri"/>
          <w:b/>
          <w:bCs/>
          <w:sz w:val="22"/>
          <w:szCs w:val="22"/>
          <w:lang w:val="en-US"/>
        </w:rPr>
        <w:t>.</w:t>
      </w:r>
      <w:r w:rsidRPr="000557FC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172044">
        <w:rPr>
          <w:rFonts w:ascii="Calibri" w:hAnsi="Calibri" w:cs="Calibri"/>
          <w:sz w:val="22"/>
          <w:szCs w:val="22"/>
          <w:lang w:val="en-US"/>
        </w:rPr>
        <w:t>Performance of commercially available anti-LC3 antibodies in immuno-EM.</w:t>
      </w:r>
      <w:r w:rsidRPr="000557FC">
        <w:rPr>
          <w:rFonts w:ascii="Calibri" w:hAnsi="Calibri" w:cs="Calibri"/>
          <w:sz w:val="22"/>
          <w:szCs w:val="22"/>
          <w:lang w:val="en-US"/>
        </w:rPr>
        <w:t xml:space="preserve"> Examples of </w:t>
      </w:r>
      <w:proofErr w:type="spellStart"/>
      <w:r w:rsidRPr="00503DB5">
        <w:rPr>
          <w:rFonts w:ascii="Calibri" w:hAnsi="Calibri" w:cs="Calibri"/>
          <w:sz w:val="22"/>
          <w:szCs w:val="22"/>
          <w:lang w:val="en-US"/>
        </w:rPr>
        <w:t>c</w:t>
      </w:r>
      <w:r w:rsidRPr="0053129C">
        <w:rPr>
          <w:rFonts w:ascii="Calibri" w:hAnsi="Calibri" w:cs="Calibri"/>
          <w:sz w:val="22"/>
          <w:szCs w:val="22"/>
          <w:lang w:val="en-US"/>
        </w:rPr>
        <w:t>ryosections</w:t>
      </w:r>
      <w:proofErr w:type="spellEnd"/>
      <w:r w:rsidRPr="0053129C">
        <w:rPr>
          <w:rFonts w:ascii="Calibri" w:hAnsi="Calibri" w:cs="Calibri"/>
          <w:sz w:val="22"/>
          <w:szCs w:val="22"/>
          <w:lang w:val="en-US"/>
        </w:rPr>
        <w:t xml:space="preserve"> of HeLa cells transiently transfected with EGFP-LC3B</w:t>
      </w:r>
      <w:r w:rsidRPr="00503DB5">
        <w:rPr>
          <w:rFonts w:ascii="Calibri" w:hAnsi="Calibri" w:cs="Calibri"/>
          <w:sz w:val="22"/>
          <w:szCs w:val="22"/>
          <w:lang w:val="en-US"/>
        </w:rPr>
        <w:t>, double-</w:t>
      </w:r>
      <w:r w:rsidRPr="0053129C">
        <w:rPr>
          <w:rFonts w:ascii="Calibri" w:hAnsi="Calibri" w:cs="Calibri"/>
          <w:sz w:val="22"/>
          <w:szCs w:val="22"/>
          <w:lang w:val="en-US"/>
        </w:rPr>
        <w:t xml:space="preserve">labeled </w:t>
      </w:r>
      <w:r w:rsidRPr="00503DB5">
        <w:rPr>
          <w:rFonts w:ascii="Calibri" w:hAnsi="Calibri" w:cs="Calibri"/>
          <w:sz w:val="22"/>
          <w:szCs w:val="22"/>
          <w:lang w:val="en-US"/>
        </w:rPr>
        <w:t>for the indicated</w:t>
      </w:r>
      <w:r w:rsidRPr="0053129C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LC3A/B antibodies (PAG10) and anti-GFP (PAG15). </w:t>
      </w:r>
      <w:r>
        <w:rPr>
          <w:rFonts w:ascii="Calibri" w:hAnsi="Calibri" w:cs="Calibri"/>
          <w:sz w:val="22"/>
          <w:szCs w:val="22"/>
          <w:lang w:val="en-US"/>
        </w:rPr>
        <w:t>Antibody dilutions and the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 outcome of this labeling-series </w:t>
      </w:r>
      <w:r>
        <w:rPr>
          <w:rFonts w:ascii="Calibri" w:hAnsi="Calibri" w:cs="Calibri"/>
          <w:sz w:val="22"/>
          <w:szCs w:val="22"/>
          <w:lang w:val="en-US"/>
        </w:rPr>
        <w:t>are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 summarized in Table 1.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A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) </w:t>
      </w:r>
      <w:proofErr w:type="spellStart"/>
      <w:r w:rsidRPr="00503DB5">
        <w:rPr>
          <w:rFonts w:ascii="Calibri" w:hAnsi="Calibri" w:cs="Calibri"/>
          <w:sz w:val="22"/>
          <w:szCs w:val="22"/>
          <w:lang w:val="en-US"/>
        </w:rPr>
        <w:t>Nanotools</w:t>
      </w:r>
      <w:proofErr w:type="spellEnd"/>
      <w:r w:rsidRPr="00503DB5">
        <w:rPr>
          <w:rFonts w:ascii="Calibri" w:hAnsi="Calibri" w:cs="Calibri"/>
          <w:sz w:val="22"/>
          <w:szCs w:val="22"/>
          <w:lang w:val="en-US"/>
        </w:rPr>
        <w:t xml:space="preserve"> 0231-100/LC3-5F10</w:t>
      </w:r>
      <w:r>
        <w:rPr>
          <w:rFonts w:ascii="Calibri" w:hAnsi="Calibri" w:cs="Calibri"/>
          <w:sz w:val="22"/>
          <w:szCs w:val="22"/>
          <w:lang w:val="en-US"/>
        </w:rPr>
        <w:t xml:space="preserve"> (1:5)</w:t>
      </w:r>
      <w:r w:rsidRPr="00503DB5">
        <w:rPr>
          <w:rFonts w:ascii="Calibri" w:hAnsi="Calibri" w:cs="Calibri"/>
          <w:sz w:val="22"/>
          <w:szCs w:val="22"/>
          <w:lang w:val="en-US"/>
        </w:rPr>
        <w:t>, 4% PFA ON fixation;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B</w:t>
      </w:r>
      <w:r w:rsidRPr="00503DB5">
        <w:rPr>
          <w:rFonts w:ascii="Calibri" w:hAnsi="Calibri" w:cs="Calibri"/>
          <w:sz w:val="22"/>
          <w:szCs w:val="22"/>
          <w:lang w:val="en-US"/>
        </w:rPr>
        <w:t>) MBL M152-3</w:t>
      </w:r>
      <w:r>
        <w:rPr>
          <w:rFonts w:ascii="Calibri" w:hAnsi="Calibri" w:cs="Calibri"/>
          <w:sz w:val="22"/>
          <w:szCs w:val="22"/>
          <w:lang w:val="en-US"/>
        </w:rPr>
        <w:t xml:space="preserve"> (1:10)</w:t>
      </w:r>
      <w:r w:rsidRPr="00503DB5">
        <w:rPr>
          <w:rFonts w:ascii="Calibri" w:hAnsi="Calibri" w:cs="Calibri"/>
          <w:sz w:val="22"/>
          <w:szCs w:val="22"/>
          <w:lang w:val="en-US"/>
        </w:rPr>
        <w:t>, 4% PFA ON fixation;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C</w:t>
      </w:r>
      <w:r w:rsidRPr="00503DB5">
        <w:rPr>
          <w:rFonts w:ascii="Calibri" w:hAnsi="Calibri" w:cs="Calibri"/>
          <w:sz w:val="22"/>
          <w:szCs w:val="22"/>
          <w:lang w:val="en-US"/>
        </w:rPr>
        <w:t>) Millipore MABC177 clone EP1528Y</w:t>
      </w:r>
      <w:r>
        <w:rPr>
          <w:rFonts w:ascii="Calibri" w:hAnsi="Calibri" w:cs="Calibri"/>
          <w:sz w:val="22"/>
          <w:szCs w:val="22"/>
          <w:lang w:val="en-US"/>
        </w:rPr>
        <w:t xml:space="preserve"> (1:10)</w:t>
      </w:r>
      <w:r w:rsidRPr="00503DB5">
        <w:rPr>
          <w:rFonts w:ascii="Calibri" w:hAnsi="Calibri" w:cs="Calibri"/>
          <w:sz w:val="22"/>
          <w:szCs w:val="22"/>
          <w:lang w:val="en-US"/>
        </w:rPr>
        <w:t>, 4% PFA ON fixation;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D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) </w:t>
      </w:r>
      <w:r>
        <w:rPr>
          <w:rFonts w:ascii="Calibri" w:hAnsi="Calibri" w:cs="Calibri"/>
          <w:sz w:val="22"/>
          <w:szCs w:val="22"/>
          <w:lang w:val="en-US"/>
        </w:rPr>
        <w:t>#</w:t>
      </w:r>
      <w:r w:rsidRPr="00503DB5">
        <w:rPr>
          <w:rFonts w:ascii="Calibri" w:hAnsi="Calibri" w:cs="Calibri"/>
          <w:sz w:val="22"/>
          <w:szCs w:val="22"/>
          <w:lang w:val="en-US"/>
        </w:rPr>
        <w:t>CST 12741</w:t>
      </w:r>
      <w:r>
        <w:rPr>
          <w:rFonts w:ascii="Calibri" w:hAnsi="Calibri" w:cs="Calibri"/>
          <w:sz w:val="22"/>
          <w:szCs w:val="22"/>
          <w:lang w:val="en-US"/>
        </w:rPr>
        <w:t xml:space="preserve"> (1:5)</w:t>
      </w:r>
      <w:r w:rsidRPr="00503DB5">
        <w:rPr>
          <w:rFonts w:ascii="Calibri" w:hAnsi="Calibri" w:cs="Calibri"/>
          <w:sz w:val="22"/>
          <w:szCs w:val="22"/>
          <w:lang w:val="en-US"/>
        </w:rPr>
        <w:t>, 2% PFA</w:t>
      </w:r>
      <w:r>
        <w:rPr>
          <w:rFonts w:ascii="Calibri" w:hAnsi="Calibri" w:cs="Calibri"/>
          <w:sz w:val="22"/>
          <w:szCs w:val="22"/>
          <w:lang w:val="en-US"/>
        </w:rPr>
        <w:t>+</w:t>
      </w:r>
      <w:r w:rsidRPr="00503DB5">
        <w:rPr>
          <w:rFonts w:ascii="Calibri" w:hAnsi="Calibri" w:cs="Calibri"/>
          <w:sz w:val="22"/>
          <w:szCs w:val="22"/>
          <w:lang w:val="en-US"/>
        </w:rPr>
        <w:t>0.2% GA fixation;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E</w:t>
      </w:r>
      <w:r w:rsidRPr="00503DB5">
        <w:rPr>
          <w:rFonts w:ascii="Calibri" w:hAnsi="Calibri" w:cs="Calibri"/>
          <w:sz w:val="22"/>
          <w:szCs w:val="22"/>
          <w:lang w:val="en-US"/>
        </w:rPr>
        <w:t>) Novus Biologicals NB600-1384</w:t>
      </w:r>
      <w:r>
        <w:rPr>
          <w:rFonts w:ascii="Calibri" w:hAnsi="Calibri" w:cs="Calibri"/>
          <w:sz w:val="22"/>
          <w:szCs w:val="22"/>
          <w:lang w:val="en-US"/>
        </w:rPr>
        <w:t xml:space="preserve"> (1:10)</w:t>
      </w:r>
      <w:r w:rsidRPr="00503DB5">
        <w:rPr>
          <w:rFonts w:ascii="Calibri" w:hAnsi="Calibri" w:cs="Calibri"/>
          <w:sz w:val="22"/>
          <w:szCs w:val="22"/>
          <w:lang w:val="en-US"/>
        </w:rPr>
        <w:t>, 2% PFA</w:t>
      </w:r>
      <w:r>
        <w:rPr>
          <w:rFonts w:ascii="Calibri" w:hAnsi="Calibri" w:cs="Calibri"/>
          <w:sz w:val="22"/>
          <w:szCs w:val="22"/>
          <w:lang w:val="en-US"/>
        </w:rPr>
        <w:t>+</w:t>
      </w:r>
      <w:r w:rsidRPr="00503DB5">
        <w:rPr>
          <w:rFonts w:ascii="Calibri" w:hAnsi="Calibri" w:cs="Calibri"/>
          <w:sz w:val="22"/>
          <w:szCs w:val="22"/>
          <w:lang w:val="en-US"/>
        </w:rPr>
        <w:t>0.2% GA fixation; (</w:t>
      </w:r>
      <w:r w:rsidRPr="00503DB5">
        <w:rPr>
          <w:rFonts w:ascii="Calibri" w:hAnsi="Calibri" w:cs="Calibri"/>
          <w:b/>
          <w:bCs/>
          <w:sz w:val="22"/>
          <w:szCs w:val="22"/>
          <w:lang w:val="en-US"/>
        </w:rPr>
        <w:t>F</w:t>
      </w:r>
      <w:r w:rsidRPr="00503DB5">
        <w:rPr>
          <w:rFonts w:ascii="Calibri" w:hAnsi="Calibri" w:cs="Calibri"/>
          <w:sz w:val="22"/>
          <w:szCs w:val="22"/>
          <w:lang w:val="en-US"/>
        </w:rPr>
        <w:t>) Cosmo Bio CAC-CTB-LC3-2-IC</w:t>
      </w:r>
      <w:r>
        <w:rPr>
          <w:rFonts w:ascii="Calibri" w:hAnsi="Calibri" w:cs="Calibri"/>
          <w:sz w:val="22"/>
          <w:szCs w:val="22"/>
          <w:lang w:val="en-US"/>
        </w:rPr>
        <w:t xml:space="preserve"> (1:5)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, 4% PFA ON fixation. All cells show GFP label, </w:t>
      </w:r>
      <w:r w:rsidRPr="0017059C">
        <w:rPr>
          <w:rFonts w:ascii="Calibri" w:hAnsi="Calibri" w:cs="Calibri"/>
          <w:sz w:val="22"/>
          <w:szCs w:val="22"/>
          <w:lang w:val="en-US"/>
        </w:rPr>
        <w:t>but (</w:t>
      </w:r>
      <w:r w:rsidRPr="00664D77">
        <w:rPr>
          <w:rFonts w:ascii="Calibri" w:hAnsi="Calibri" w:cs="Calibri"/>
          <w:sz w:val="22"/>
          <w:szCs w:val="22"/>
          <w:lang w:val="en-US"/>
        </w:rPr>
        <w:t>A</w:t>
      </w:r>
      <w:r w:rsidRPr="0017059C">
        <w:rPr>
          <w:rFonts w:ascii="Calibri" w:hAnsi="Calibri" w:cs="Calibri"/>
          <w:sz w:val="22"/>
          <w:szCs w:val="22"/>
          <w:lang w:val="en-US"/>
        </w:rPr>
        <w:t>), (</w:t>
      </w:r>
      <w:r w:rsidRPr="00664D77">
        <w:rPr>
          <w:rFonts w:ascii="Calibri" w:hAnsi="Calibri" w:cs="Calibri"/>
          <w:sz w:val="22"/>
          <w:szCs w:val="22"/>
          <w:lang w:val="en-US"/>
        </w:rPr>
        <w:t>C</w:t>
      </w:r>
      <w:r w:rsidRPr="0017059C">
        <w:rPr>
          <w:rFonts w:ascii="Calibri" w:hAnsi="Calibri" w:cs="Calibri"/>
          <w:sz w:val="22"/>
          <w:szCs w:val="22"/>
          <w:lang w:val="en-US"/>
        </w:rPr>
        <w:t>) and (</w:t>
      </w:r>
      <w:r w:rsidRPr="00664D77">
        <w:rPr>
          <w:rFonts w:ascii="Calibri" w:hAnsi="Calibri" w:cs="Calibri"/>
          <w:sz w:val="22"/>
          <w:szCs w:val="22"/>
          <w:lang w:val="en-US"/>
        </w:rPr>
        <w:t>D</w:t>
      </w:r>
      <w:r w:rsidRPr="0017059C">
        <w:rPr>
          <w:rFonts w:ascii="Calibri" w:hAnsi="Calibri" w:cs="Calibri"/>
          <w:sz w:val="22"/>
          <w:szCs w:val="22"/>
          <w:lang w:val="en-US"/>
        </w:rPr>
        <w:t>)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 virtually lack</w:t>
      </w:r>
      <w:r w:rsidRPr="0053129C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503DB5">
        <w:rPr>
          <w:rFonts w:ascii="Calibri" w:hAnsi="Calibri" w:cs="Calibri"/>
          <w:sz w:val="22"/>
          <w:szCs w:val="22"/>
          <w:lang w:val="en-US"/>
        </w:rPr>
        <w:t>LC3</w:t>
      </w:r>
      <w:r w:rsidRPr="0053129C">
        <w:rPr>
          <w:rFonts w:ascii="Calibri" w:hAnsi="Calibri" w:cs="Calibri"/>
          <w:sz w:val="22"/>
          <w:szCs w:val="22"/>
          <w:lang w:val="en-US"/>
        </w:rPr>
        <w:t xml:space="preserve"> 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labeling. </w:t>
      </w:r>
      <w:r w:rsidRPr="00F50FA0">
        <w:rPr>
          <w:rFonts w:ascii="Calibri" w:hAnsi="Calibri" w:cs="Calibri"/>
          <w:sz w:val="22"/>
          <w:szCs w:val="22"/>
          <w:lang w:val="en-US"/>
        </w:rPr>
        <w:t xml:space="preserve">Arrowheads point to concentrations of GFP label, whereas arrows indicate LC3-representing PAG10. </w:t>
      </w:r>
      <w:r>
        <w:rPr>
          <w:rFonts w:ascii="Calibri" w:hAnsi="Calibri" w:cs="Calibri"/>
          <w:sz w:val="22"/>
          <w:szCs w:val="22"/>
          <w:lang w:val="en-US"/>
        </w:rPr>
        <w:t>The nuclear localization of overexpressed</w:t>
      </w:r>
      <w:r w:rsidRPr="00F50FA0">
        <w:rPr>
          <w:rFonts w:ascii="Calibri" w:hAnsi="Calibri" w:cs="Calibri"/>
          <w:sz w:val="22"/>
          <w:szCs w:val="22"/>
          <w:lang w:val="en-US"/>
        </w:rPr>
        <w:t xml:space="preserve"> EGFP-LC3 </w:t>
      </w:r>
      <w:r w:rsidRPr="00664D77">
        <w:rPr>
          <w:rFonts w:ascii="Calibri" w:hAnsi="Calibri" w:cs="Calibri"/>
          <w:sz w:val="22"/>
          <w:szCs w:val="22"/>
          <w:lang w:val="en-US"/>
        </w:rPr>
        <w:t>was previously reported</w:t>
      </w:r>
      <w:r w:rsidRPr="00F50FA0">
        <w:rPr>
          <w:rFonts w:ascii="Calibri" w:hAnsi="Calibri" w:cs="Calibri"/>
          <w:sz w:val="22"/>
          <w:szCs w:val="22"/>
          <w:lang w:val="en-US"/>
        </w:rPr>
        <w:t>. G</w:t>
      </w:r>
      <w:r w:rsidRPr="00503DB5">
        <w:rPr>
          <w:rFonts w:ascii="Calibri" w:hAnsi="Calibri" w:cs="Calibri"/>
          <w:sz w:val="22"/>
          <w:szCs w:val="22"/>
          <w:lang w:val="en-US"/>
        </w:rPr>
        <w:t>, Golgi; E, endosome; M, mitochondrion; N, nucleus</w:t>
      </w:r>
      <w:r>
        <w:rPr>
          <w:rFonts w:ascii="Calibri" w:hAnsi="Calibri" w:cs="Calibri"/>
          <w:sz w:val="22"/>
          <w:szCs w:val="22"/>
          <w:lang w:val="en-US"/>
        </w:rPr>
        <w:t>; PM, plasma membrane.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 Scale bars</w:t>
      </w:r>
      <w:r>
        <w:rPr>
          <w:rFonts w:ascii="Calibri" w:hAnsi="Calibri" w:cs="Calibri"/>
          <w:sz w:val="22"/>
          <w:szCs w:val="22"/>
          <w:lang w:val="en-US"/>
        </w:rPr>
        <w:t>:</w:t>
      </w:r>
      <w:r w:rsidRPr="00503DB5">
        <w:rPr>
          <w:rFonts w:ascii="Calibri" w:hAnsi="Calibri" w:cs="Calibri"/>
          <w:sz w:val="22"/>
          <w:szCs w:val="22"/>
          <w:lang w:val="en-US"/>
        </w:rPr>
        <w:t xml:space="preserve"> 200 nm</w:t>
      </w:r>
      <w:r>
        <w:rPr>
          <w:rFonts w:ascii="Calibri" w:hAnsi="Calibri" w:cs="Calibri"/>
          <w:sz w:val="22"/>
          <w:szCs w:val="22"/>
          <w:lang w:val="en-US"/>
        </w:rPr>
        <w:t>.</w:t>
      </w:r>
    </w:p>
    <w:p w14:paraId="7AADF0C3" w14:textId="77777777" w:rsidR="00172044" w:rsidRDefault="00D966C7" w:rsidP="00172044">
      <w:pPr>
        <w:snapToGrid w:val="0"/>
        <w:spacing w:after="0"/>
        <w:jc w:val="both"/>
        <w:rPr>
          <w:rFonts w:ascii="Calibri" w:hAnsi="Calibri" w:cs="Calibri"/>
          <w:sz w:val="22"/>
          <w:szCs w:val="22"/>
          <w:lang w:val="en-US"/>
        </w:rPr>
      </w:pPr>
      <w:r>
        <w:rPr>
          <w:rFonts w:ascii="Calibri" w:hAnsi="Calibri" w:cs="Calibri"/>
          <w:noProof/>
          <w:sz w:val="22"/>
          <w:szCs w:val="22"/>
          <w:lang w:val="en-US"/>
        </w:rPr>
        <w:lastRenderedPageBreak/>
        <w:drawing>
          <wp:inline distT="0" distB="0" distL="0" distR="0" wp14:anchorId="3C41E771" wp14:editId="61329477">
            <wp:extent cx="5873033" cy="70389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sset 3S3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034"/>
                    <a:stretch/>
                  </pic:blipFill>
                  <pic:spPr bwMode="auto">
                    <a:xfrm>
                      <a:off x="0" y="0"/>
                      <a:ext cx="5881684" cy="7049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FB4CF8" w14:textId="5244261B" w:rsidR="007A0BAC" w:rsidRDefault="00172044" w:rsidP="00006301">
      <w:pPr>
        <w:snapToGrid w:val="0"/>
        <w:spacing w:after="0"/>
        <w:jc w:val="both"/>
      </w:pP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 xml:space="preserve">Figure </w:t>
      </w:r>
      <w:r>
        <w:rPr>
          <w:rFonts w:ascii="Calibri" w:hAnsi="Calibri" w:cs="Calibri"/>
          <w:b/>
          <w:bCs/>
          <w:sz w:val="22"/>
          <w:szCs w:val="22"/>
          <w:lang w:val="en-US"/>
        </w:rPr>
        <w:t>S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 xml:space="preserve">3. 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Extended BafA1 treatment causes enlargement of LC3B-positive compartments. U2OS cells treated with BafA1 for the indicated durations were prepared as in Figure 8. Sections were labeled for LC3B (1:10; PAG10). Overview images are shown on the left (A, C, E, G), higher magnifications of LC3-positive compartments on the right (B, D, F, H). </w:t>
      </w:r>
      <w:r w:rsidRPr="005F1015">
        <w:rPr>
          <w:rFonts w:ascii="Calibri" w:hAnsi="Calibri" w:cs="Calibri"/>
          <w:sz w:val="22"/>
          <w:szCs w:val="22"/>
          <w:lang w:val="en-US"/>
        </w:rPr>
        <w:t>BafA1 treatment</w:t>
      </w:r>
      <w:r w:rsidRPr="00A9376F">
        <w:rPr>
          <w:rFonts w:ascii="Calibri" w:hAnsi="Calibri" w:cs="Calibri"/>
          <w:sz w:val="22"/>
          <w:szCs w:val="22"/>
          <w:lang w:val="en-US"/>
        </w:rPr>
        <w:t xml:space="preserve"> </w:t>
      </w:r>
      <w:r>
        <w:rPr>
          <w:rFonts w:ascii="Calibri" w:hAnsi="Calibri" w:cs="Calibri"/>
          <w:sz w:val="22"/>
          <w:szCs w:val="22"/>
          <w:lang w:val="en-US"/>
        </w:rPr>
        <w:t xml:space="preserve">for </w:t>
      </w:r>
      <w:r w:rsidRPr="00172044">
        <w:rPr>
          <w:rFonts w:ascii="Calibri" w:hAnsi="Calibri" w:cs="Calibri"/>
          <w:sz w:val="22"/>
          <w:szCs w:val="22"/>
          <w:lang w:val="en-US"/>
        </w:rPr>
        <w:t>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A, B</w:t>
      </w:r>
      <w:r w:rsidRPr="00172044">
        <w:rPr>
          <w:rFonts w:ascii="Calibri" w:hAnsi="Calibri" w:cs="Calibri"/>
          <w:sz w:val="22"/>
          <w:szCs w:val="22"/>
          <w:lang w:val="en-US"/>
        </w:rPr>
        <w:t>) 2.5 h</w:t>
      </w:r>
      <w:r>
        <w:rPr>
          <w:rFonts w:ascii="Calibri" w:hAnsi="Calibri" w:cs="Calibri"/>
          <w:sz w:val="22"/>
          <w:szCs w:val="22"/>
          <w:lang w:val="en-US"/>
        </w:rPr>
        <w:t>;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C, D</w:t>
      </w:r>
      <w:r w:rsidRPr="00172044">
        <w:rPr>
          <w:rFonts w:ascii="Calibri" w:hAnsi="Calibri" w:cs="Calibri"/>
          <w:sz w:val="22"/>
          <w:szCs w:val="22"/>
          <w:lang w:val="en-US"/>
        </w:rPr>
        <w:t>) 5 h</w:t>
      </w:r>
      <w:r>
        <w:rPr>
          <w:rFonts w:ascii="Calibri" w:hAnsi="Calibri" w:cs="Calibri"/>
          <w:sz w:val="22"/>
          <w:szCs w:val="22"/>
          <w:lang w:val="en-US"/>
        </w:rPr>
        <w:t>;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E, F</w:t>
      </w:r>
      <w:r w:rsidRPr="00172044">
        <w:rPr>
          <w:rFonts w:ascii="Calibri" w:hAnsi="Calibri" w:cs="Calibri"/>
          <w:sz w:val="22"/>
          <w:szCs w:val="22"/>
          <w:lang w:val="en-US"/>
        </w:rPr>
        <w:t>) 10 h</w:t>
      </w:r>
      <w:r>
        <w:rPr>
          <w:rFonts w:ascii="Calibri" w:hAnsi="Calibri" w:cs="Calibri"/>
          <w:sz w:val="22"/>
          <w:szCs w:val="22"/>
          <w:lang w:val="en-US"/>
        </w:rPr>
        <w:t>;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(</w:t>
      </w:r>
      <w:r w:rsidRPr="00172044">
        <w:rPr>
          <w:rFonts w:ascii="Calibri" w:hAnsi="Calibri" w:cs="Calibri"/>
          <w:b/>
          <w:bCs/>
          <w:sz w:val="22"/>
          <w:szCs w:val="22"/>
          <w:lang w:val="en-US"/>
        </w:rPr>
        <w:t>G, H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) 24 h. After longer incubation with BafA1 cells increasingly display clusters of greatly enlarged autolysosomes (asterisks). Arrowheads, </w:t>
      </w:r>
      <w:proofErr w:type="spellStart"/>
      <w:r w:rsidRPr="00006301">
        <w:rPr>
          <w:rFonts w:ascii="Calibri" w:hAnsi="Calibri" w:cs="Calibri"/>
          <w:sz w:val="22"/>
          <w:szCs w:val="22"/>
          <w:lang w:val="en-US"/>
        </w:rPr>
        <w:t>autophagic</w:t>
      </w:r>
      <w:proofErr w:type="spellEnd"/>
      <w:r w:rsidRPr="00006301">
        <w:rPr>
          <w:rFonts w:ascii="Calibri" w:hAnsi="Calibri" w:cs="Calibri"/>
          <w:sz w:val="22"/>
          <w:szCs w:val="22"/>
          <w:lang w:val="en-US"/>
        </w:rPr>
        <w:t xml:space="preserve"> </w:t>
      </w:r>
      <w:r w:rsidR="00006301">
        <w:rPr>
          <w:rFonts w:ascii="Calibri" w:hAnsi="Calibri" w:cs="Calibri"/>
          <w:sz w:val="22"/>
          <w:szCs w:val="22"/>
          <w:lang w:val="en-US"/>
        </w:rPr>
        <w:t>content</w:t>
      </w:r>
      <w:r w:rsidRPr="00172044">
        <w:rPr>
          <w:rFonts w:ascii="Calibri" w:hAnsi="Calibri" w:cs="Calibri"/>
          <w:sz w:val="22"/>
          <w:szCs w:val="22"/>
          <w:lang w:val="en-US"/>
        </w:rPr>
        <w:t>. E, endosome; Ly, lysosome. Scale bars</w:t>
      </w:r>
      <w:r>
        <w:rPr>
          <w:rFonts w:ascii="Calibri" w:hAnsi="Calibri" w:cs="Calibri"/>
          <w:sz w:val="22"/>
          <w:szCs w:val="22"/>
          <w:lang w:val="en-US"/>
        </w:rPr>
        <w:t>:</w:t>
      </w:r>
      <w:r w:rsidRPr="00172044">
        <w:rPr>
          <w:rFonts w:ascii="Calibri" w:hAnsi="Calibri" w:cs="Calibri"/>
          <w:sz w:val="22"/>
          <w:szCs w:val="22"/>
          <w:lang w:val="en-US"/>
        </w:rPr>
        <w:t xml:space="preserve"> 5 µm (A, C, E, </w:t>
      </w:r>
      <w:proofErr w:type="gramStart"/>
      <w:r w:rsidRPr="00172044">
        <w:rPr>
          <w:rFonts w:ascii="Calibri" w:hAnsi="Calibri" w:cs="Calibri"/>
          <w:sz w:val="22"/>
          <w:szCs w:val="22"/>
          <w:lang w:val="en-US"/>
        </w:rPr>
        <w:t>G</w:t>
      </w:r>
      <w:proofErr w:type="gramEnd"/>
      <w:r w:rsidRPr="00172044">
        <w:rPr>
          <w:rFonts w:ascii="Calibri" w:hAnsi="Calibri" w:cs="Calibri"/>
          <w:sz w:val="22"/>
          <w:szCs w:val="22"/>
          <w:lang w:val="en-US"/>
        </w:rPr>
        <w:t>), 200 nm (B, D, F, H).</w:t>
      </w:r>
      <w:bookmarkStart w:id="0" w:name="_GoBack"/>
      <w:bookmarkEnd w:id="0"/>
    </w:p>
    <w:sectPr w:rsidR="007A0BAC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044"/>
    <w:rsid w:val="00006301"/>
    <w:rsid w:val="00172044"/>
    <w:rsid w:val="003C22DA"/>
    <w:rsid w:val="00402E71"/>
    <w:rsid w:val="005C057D"/>
    <w:rsid w:val="007A0BAC"/>
    <w:rsid w:val="00A8635E"/>
    <w:rsid w:val="00D966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21853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2044"/>
    <w:pPr>
      <w:spacing w:after="200" w:line="240" w:lineRule="auto"/>
    </w:pPr>
    <w:rPr>
      <w:rFonts w:eastAsiaTheme="minorEastAsia"/>
      <w:sz w:val="24"/>
      <w:szCs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204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2044"/>
    <w:rPr>
      <w:rFonts w:ascii="Segoe UI" w:eastAsiaTheme="minorEastAsia" w:hAnsi="Segoe UI" w:cs="Segoe UI"/>
      <w:sz w:val="18"/>
      <w:szCs w:val="18"/>
      <w:lang w:val="en-GB"/>
    </w:rPr>
  </w:style>
  <w:style w:type="paragraph" w:styleId="Revision">
    <w:name w:val="Revision"/>
    <w:hidden/>
    <w:uiPriority w:val="99"/>
    <w:semiHidden/>
    <w:rsid w:val="00172044"/>
    <w:pPr>
      <w:spacing w:after="0" w:line="240" w:lineRule="auto"/>
    </w:pPr>
    <w:rPr>
      <w:rFonts w:eastAsiaTheme="minorEastAsia"/>
      <w:sz w:val="24"/>
      <w:szCs w:val="24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966C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66C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66C7"/>
    <w:rPr>
      <w:rFonts w:eastAsiaTheme="minorEastAsia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66C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66C7"/>
    <w:rPr>
      <w:rFonts w:eastAsiaTheme="minorEastAsia"/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369</Words>
  <Characters>2106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2022-03-11T10:15:00Z</dcterms:created>
  <dcterms:modified xsi:type="dcterms:W3CDTF">2022-03-11T10:15:00Z</dcterms:modified>
</cp:coreProperties>
</file>