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AB8C1" w14:textId="54F090FB" w:rsidR="009A688B" w:rsidRDefault="009A688B" w:rsidP="009A688B">
      <w:pPr>
        <w:spacing w:before="120"/>
        <w:ind w:left="709"/>
        <w:jc w:val="left"/>
        <w:rPr>
          <w:rFonts w:ascii="Times New Roman" w:hAnsi="Times New Roman" w:cs="Times New Roman"/>
          <w:b/>
          <w:bCs/>
          <w:sz w:val="32"/>
          <w:szCs w:val="32"/>
          <w:lang w:val="en-GB"/>
        </w:rPr>
      </w:pPr>
      <w:bookmarkStart w:id="0" w:name="_Toc535425631"/>
      <w:bookmarkStart w:id="1" w:name="_Toc535424374"/>
      <w:bookmarkStart w:id="2" w:name="_Toc535421684"/>
      <w:bookmarkStart w:id="3" w:name="_Toc66892250"/>
      <w:bookmarkStart w:id="4" w:name="_Toc69722647"/>
      <w:bookmarkStart w:id="5" w:name="_Toc70602494"/>
      <w:bookmarkStart w:id="6" w:name="_Toc74645716"/>
      <w:r w:rsidRPr="009A688B">
        <w:rPr>
          <w:rFonts w:ascii="Times New Roman" w:hAnsi="Times New Roman" w:cs="Times New Roman"/>
          <w:b/>
          <w:bCs/>
          <w:sz w:val="32"/>
          <w:szCs w:val="32"/>
          <w:lang w:val="en-GB"/>
        </w:rPr>
        <w:t>Assessing the Value Contribution of Bimekizumab for the Treatment of Moderate-to-Severe Psoriasis Using a Multidisciplinary Reflective Multi-Criteria Decision Analysis</w:t>
      </w:r>
    </w:p>
    <w:p w14:paraId="42B52F0E" w14:textId="5114F62F" w:rsidR="009A688B" w:rsidRPr="007B4152" w:rsidRDefault="009A688B" w:rsidP="00915430">
      <w:pPr>
        <w:spacing w:before="120"/>
        <w:ind w:left="709"/>
        <w:rPr>
          <w:rFonts w:ascii="Times New Roman" w:hAnsi="Times New Roman" w:cs="Times New Roman"/>
          <w:sz w:val="24"/>
          <w:szCs w:val="24"/>
          <w:vertAlign w:val="superscript"/>
          <w:lang w:val="es-ES_tradnl"/>
        </w:rPr>
      </w:pPr>
      <w:r w:rsidRPr="007B4152">
        <w:rPr>
          <w:rFonts w:ascii="Times New Roman" w:hAnsi="Times New Roman" w:cs="Times New Roman"/>
          <w:b/>
          <w:bCs/>
          <w:sz w:val="24"/>
          <w:szCs w:val="24"/>
          <w:lang w:val="es-ES_tradnl"/>
        </w:rPr>
        <w:t>Authors</w:t>
      </w:r>
      <w:r w:rsidRPr="007B4152">
        <w:rPr>
          <w:rFonts w:ascii="Times New Roman" w:hAnsi="Times New Roman" w:cs="Times New Roman"/>
          <w:sz w:val="24"/>
          <w:szCs w:val="24"/>
          <w:lang w:val="es-ES_tradnl"/>
        </w:rPr>
        <w:t>: Néboa Zozaya</w:t>
      </w:r>
      <w:r w:rsidRPr="007B4152">
        <w:rPr>
          <w:rFonts w:ascii="Times New Roman" w:hAnsi="Times New Roman" w:cs="Times New Roman"/>
          <w:sz w:val="24"/>
          <w:szCs w:val="24"/>
          <w:vertAlign w:val="superscript"/>
          <w:lang w:val="es-ES_tradnl"/>
        </w:rPr>
        <w:t>1,2</w:t>
      </w:r>
      <w:r w:rsidRPr="007B4152">
        <w:rPr>
          <w:rFonts w:ascii="Times New Roman" w:hAnsi="Times New Roman" w:cs="Times New Roman"/>
          <w:sz w:val="24"/>
          <w:szCs w:val="24"/>
          <w:lang w:val="es-ES_tradnl"/>
        </w:rPr>
        <w:t>, Fernando Abdalla</w:t>
      </w:r>
      <w:r w:rsidRPr="007B4152">
        <w:rPr>
          <w:rFonts w:ascii="Times New Roman" w:hAnsi="Times New Roman" w:cs="Times New Roman"/>
          <w:sz w:val="24"/>
          <w:szCs w:val="24"/>
          <w:vertAlign w:val="superscript"/>
          <w:lang w:val="es-ES_tradnl"/>
        </w:rPr>
        <w:t>1</w:t>
      </w:r>
      <w:r w:rsidRPr="007B4152">
        <w:rPr>
          <w:rFonts w:ascii="Times New Roman" w:hAnsi="Times New Roman" w:cs="Times New Roman"/>
          <w:sz w:val="24"/>
          <w:szCs w:val="24"/>
          <w:lang w:val="es-ES_tradnl"/>
        </w:rPr>
        <w:t>, Santiago Alfonso Zamora</w:t>
      </w:r>
      <w:r w:rsidRPr="007B4152">
        <w:rPr>
          <w:rFonts w:ascii="Times New Roman" w:hAnsi="Times New Roman" w:cs="Times New Roman"/>
          <w:sz w:val="24"/>
          <w:szCs w:val="24"/>
          <w:vertAlign w:val="superscript"/>
          <w:lang w:val="es-ES_tradnl"/>
        </w:rPr>
        <w:t>3</w:t>
      </w:r>
      <w:r w:rsidRPr="007B4152">
        <w:rPr>
          <w:rFonts w:ascii="Times New Roman" w:hAnsi="Times New Roman" w:cs="Times New Roman"/>
          <w:sz w:val="24"/>
          <w:szCs w:val="24"/>
          <w:lang w:val="es-ES_tradnl"/>
        </w:rPr>
        <w:t>, Jesús Balea Filgueiras</w:t>
      </w:r>
      <w:r w:rsidRPr="007B4152">
        <w:rPr>
          <w:rFonts w:ascii="Times New Roman" w:hAnsi="Times New Roman" w:cs="Times New Roman"/>
          <w:sz w:val="24"/>
          <w:szCs w:val="24"/>
          <w:vertAlign w:val="superscript"/>
          <w:lang w:val="es-ES_tradnl"/>
        </w:rPr>
        <w:t>4</w:t>
      </w:r>
      <w:r w:rsidRPr="007B4152">
        <w:rPr>
          <w:rFonts w:ascii="Times New Roman" w:hAnsi="Times New Roman" w:cs="Times New Roman"/>
          <w:sz w:val="24"/>
          <w:szCs w:val="24"/>
          <w:lang w:val="es-ES_tradnl"/>
        </w:rPr>
        <w:t>, José Manuel Carrascosa Carrillo</w:t>
      </w:r>
      <w:r w:rsidRPr="007B4152">
        <w:rPr>
          <w:rFonts w:ascii="Times New Roman" w:hAnsi="Times New Roman" w:cs="Times New Roman"/>
          <w:sz w:val="24"/>
          <w:szCs w:val="24"/>
          <w:vertAlign w:val="superscript"/>
          <w:lang w:val="es-ES_tradnl"/>
        </w:rPr>
        <w:t>5</w:t>
      </w:r>
      <w:r w:rsidRPr="007B4152">
        <w:rPr>
          <w:rFonts w:ascii="Times New Roman" w:hAnsi="Times New Roman" w:cs="Times New Roman"/>
          <w:sz w:val="24"/>
          <w:szCs w:val="24"/>
          <w:lang w:val="es-ES_tradnl"/>
        </w:rPr>
        <w:t>, Olga Delgado Sánchez</w:t>
      </w:r>
      <w:r w:rsidRPr="007B4152">
        <w:rPr>
          <w:rFonts w:ascii="Times New Roman" w:hAnsi="Times New Roman" w:cs="Times New Roman"/>
          <w:sz w:val="24"/>
          <w:szCs w:val="24"/>
          <w:vertAlign w:val="superscript"/>
          <w:lang w:val="es-ES_tradnl"/>
        </w:rPr>
        <w:t>6</w:t>
      </w:r>
      <w:r w:rsidRPr="007B4152">
        <w:rPr>
          <w:rFonts w:ascii="Times New Roman" w:hAnsi="Times New Roman" w:cs="Times New Roman"/>
          <w:sz w:val="24"/>
          <w:szCs w:val="24"/>
          <w:lang w:val="es-ES_tradnl"/>
        </w:rPr>
        <w:t>, Francisco Dolz Sinisterra</w:t>
      </w:r>
      <w:r w:rsidRPr="007B4152">
        <w:rPr>
          <w:rFonts w:ascii="Times New Roman" w:hAnsi="Times New Roman" w:cs="Times New Roman"/>
          <w:sz w:val="24"/>
          <w:szCs w:val="24"/>
          <w:vertAlign w:val="superscript"/>
          <w:lang w:val="es-ES_tradnl"/>
        </w:rPr>
        <w:t>7</w:t>
      </w:r>
      <w:r w:rsidRPr="007B4152">
        <w:rPr>
          <w:rFonts w:ascii="Times New Roman" w:hAnsi="Times New Roman" w:cs="Times New Roman"/>
          <w:sz w:val="24"/>
          <w:szCs w:val="24"/>
          <w:lang w:val="es-ES_tradnl"/>
        </w:rPr>
        <w:t>, Antonio García-Ruiz</w:t>
      </w:r>
      <w:r w:rsidRPr="007B4152">
        <w:rPr>
          <w:rFonts w:ascii="Times New Roman" w:hAnsi="Times New Roman" w:cs="Times New Roman"/>
          <w:sz w:val="24"/>
          <w:szCs w:val="24"/>
          <w:vertAlign w:val="superscript"/>
          <w:lang w:val="es-ES_tradnl"/>
        </w:rPr>
        <w:t>8</w:t>
      </w:r>
      <w:r w:rsidRPr="007B4152">
        <w:rPr>
          <w:rFonts w:ascii="Times New Roman" w:hAnsi="Times New Roman" w:cs="Times New Roman"/>
          <w:sz w:val="24"/>
          <w:szCs w:val="24"/>
          <w:lang w:val="es-ES_tradnl"/>
        </w:rPr>
        <w:t>, Pedro Herranz Pinto</w:t>
      </w:r>
      <w:r w:rsidRPr="007B4152">
        <w:rPr>
          <w:rFonts w:ascii="Times New Roman" w:hAnsi="Times New Roman" w:cs="Times New Roman"/>
          <w:sz w:val="24"/>
          <w:szCs w:val="24"/>
          <w:vertAlign w:val="superscript"/>
          <w:lang w:val="es-ES_tradnl"/>
        </w:rPr>
        <w:t>9</w:t>
      </w:r>
      <w:r w:rsidRPr="007B4152">
        <w:rPr>
          <w:rFonts w:ascii="Times New Roman" w:hAnsi="Times New Roman" w:cs="Times New Roman"/>
          <w:sz w:val="24"/>
          <w:szCs w:val="24"/>
          <w:lang w:val="es-ES_tradnl"/>
        </w:rPr>
        <w:t>, Antonio Manfredi</w:t>
      </w:r>
      <w:r w:rsidRPr="007B4152">
        <w:rPr>
          <w:rFonts w:ascii="Times New Roman" w:hAnsi="Times New Roman" w:cs="Times New Roman"/>
          <w:sz w:val="24"/>
          <w:szCs w:val="24"/>
          <w:vertAlign w:val="superscript"/>
          <w:lang w:val="es-ES_tradnl"/>
        </w:rPr>
        <w:t>3</w:t>
      </w:r>
      <w:r w:rsidRPr="007B4152">
        <w:rPr>
          <w:rFonts w:ascii="Times New Roman" w:hAnsi="Times New Roman" w:cs="Times New Roman"/>
          <w:sz w:val="24"/>
          <w:szCs w:val="24"/>
          <w:lang w:val="es-ES_tradnl"/>
        </w:rPr>
        <w:t>, José Martínez Olmos</w:t>
      </w:r>
      <w:r w:rsidRPr="007B4152">
        <w:rPr>
          <w:rFonts w:ascii="Times New Roman" w:hAnsi="Times New Roman" w:cs="Times New Roman"/>
          <w:sz w:val="24"/>
          <w:szCs w:val="24"/>
          <w:vertAlign w:val="superscript"/>
          <w:lang w:val="es-ES_tradnl"/>
        </w:rPr>
        <w:t>10</w:t>
      </w:r>
      <w:r w:rsidRPr="007B4152">
        <w:rPr>
          <w:rFonts w:ascii="Times New Roman" w:hAnsi="Times New Roman" w:cs="Times New Roman"/>
          <w:sz w:val="24"/>
          <w:szCs w:val="24"/>
          <w:lang w:val="es-ES_tradnl"/>
        </w:rPr>
        <w:t>, Paloma Morales de los Ríos Luna</w:t>
      </w:r>
      <w:r w:rsidRPr="007B4152">
        <w:rPr>
          <w:rFonts w:ascii="Times New Roman" w:hAnsi="Times New Roman" w:cs="Times New Roman"/>
          <w:sz w:val="24"/>
          <w:szCs w:val="24"/>
          <w:vertAlign w:val="superscript"/>
          <w:lang w:val="es-ES_tradnl"/>
        </w:rPr>
        <w:t>11</w:t>
      </w:r>
      <w:r w:rsidRPr="007B4152">
        <w:rPr>
          <w:rFonts w:ascii="Times New Roman" w:hAnsi="Times New Roman" w:cs="Times New Roman"/>
          <w:sz w:val="24"/>
          <w:szCs w:val="24"/>
          <w:lang w:val="es-ES_tradnl"/>
        </w:rPr>
        <w:t>, Lluis Puig</w:t>
      </w:r>
      <w:r w:rsidRPr="007B4152">
        <w:rPr>
          <w:rFonts w:ascii="Times New Roman" w:hAnsi="Times New Roman" w:cs="Times New Roman"/>
          <w:sz w:val="24"/>
          <w:szCs w:val="24"/>
          <w:vertAlign w:val="superscript"/>
          <w:lang w:val="es-ES_tradnl"/>
        </w:rPr>
        <w:t>12</w:t>
      </w:r>
      <w:r w:rsidRPr="007B4152">
        <w:rPr>
          <w:rFonts w:ascii="Times New Roman" w:hAnsi="Times New Roman" w:cs="Times New Roman"/>
          <w:sz w:val="24"/>
          <w:szCs w:val="24"/>
          <w:lang w:val="es-ES_tradnl"/>
        </w:rPr>
        <w:t>, Sandra Ros</w:t>
      </w:r>
      <w:r w:rsidRPr="007B4152">
        <w:rPr>
          <w:rFonts w:ascii="Times New Roman" w:hAnsi="Times New Roman" w:cs="Times New Roman"/>
          <w:sz w:val="24"/>
          <w:szCs w:val="24"/>
          <w:vertAlign w:val="superscript"/>
          <w:lang w:val="es-ES_tradnl"/>
        </w:rPr>
        <w:t>13</w:t>
      </w:r>
      <w:r w:rsidRPr="007B4152">
        <w:rPr>
          <w:rFonts w:ascii="Times New Roman" w:hAnsi="Times New Roman" w:cs="Times New Roman"/>
          <w:sz w:val="24"/>
          <w:szCs w:val="24"/>
          <w:lang w:val="es-ES_tradnl"/>
        </w:rPr>
        <w:t>, Álvaro Hidalgo</w:t>
      </w:r>
      <w:r w:rsidRPr="007B4152">
        <w:rPr>
          <w:rFonts w:ascii="Times New Roman" w:hAnsi="Times New Roman" w:cs="Times New Roman"/>
          <w:sz w:val="24"/>
          <w:szCs w:val="24"/>
          <w:vertAlign w:val="superscript"/>
          <w:lang w:val="es-ES_tradnl"/>
        </w:rPr>
        <w:t>14,15</w:t>
      </w:r>
    </w:p>
    <w:p w14:paraId="2A2EB9B9" w14:textId="30761258" w:rsidR="009A688B" w:rsidRDefault="009A688B" w:rsidP="00915430">
      <w:pPr>
        <w:spacing w:before="120"/>
        <w:ind w:left="709"/>
        <w:rPr>
          <w:rFonts w:ascii="Times New Roman" w:hAnsi="Times New Roman" w:cs="Times New Roman"/>
          <w:sz w:val="24"/>
          <w:szCs w:val="24"/>
          <w:lang w:val="en-GB"/>
        </w:rPr>
      </w:pPr>
      <w:r w:rsidRPr="004C209F">
        <w:rPr>
          <w:rFonts w:ascii="Times New Roman" w:hAnsi="Times New Roman" w:cs="Times New Roman"/>
          <w:b/>
          <w:bCs/>
          <w:sz w:val="24"/>
          <w:szCs w:val="24"/>
          <w:lang w:val="en-GB"/>
        </w:rPr>
        <w:t>Affiliations</w:t>
      </w:r>
      <w:r w:rsidRPr="004C209F">
        <w:rPr>
          <w:rFonts w:ascii="Times New Roman" w:hAnsi="Times New Roman" w:cs="Times New Roman"/>
          <w:sz w:val="24"/>
          <w:szCs w:val="24"/>
          <w:lang w:val="en-GB"/>
        </w:rPr>
        <w:t xml:space="preserve">: </w:t>
      </w:r>
      <w:r w:rsidRPr="004C209F">
        <w:rPr>
          <w:rFonts w:ascii="Times New Roman" w:hAnsi="Times New Roman" w:cs="Times New Roman"/>
          <w:sz w:val="24"/>
          <w:szCs w:val="24"/>
          <w:vertAlign w:val="superscript"/>
          <w:lang w:val="en-GB"/>
        </w:rPr>
        <w:t>1</w:t>
      </w:r>
      <w:r w:rsidRPr="004C209F">
        <w:rPr>
          <w:rFonts w:ascii="Times New Roman" w:hAnsi="Times New Roman" w:cs="Times New Roman"/>
          <w:sz w:val="24"/>
          <w:szCs w:val="24"/>
          <w:lang w:val="en-GB"/>
        </w:rPr>
        <w:t xml:space="preserve">Department of Health Economics, Weber, Madrid, Spain; </w:t>
      </w:r>
      <w:r w:rsidRPr="004C209F">
        <w:rPr>
          <w:rFonts w:ascii="Times New Roman" w:hAnsi="Times New Roman" w:cs="Times New Roman"/>
          <w:sz w:val="24"/>
          <w:szCs w:val="24"/>
          <w:vertAlign w:val="superscript"/>
          <w:lang w:val="en-GB"/>
        </w:rPr>
        <w:t>2</w:t>
      </w:r>
      <w:r w:rsidRPr="004C209F">
        <w:rPr>
          <w:rFonts w:ascii="Times New Roman" w:hAnsi="Times New Roman" w:cs="Times New Roman"/>
          <w:sz w:val="24"/>
          <w:szCs w:val="24"/>
          <w:lang w:val="en-GB"/>
        </w:rPr>
        <w:t xml:space="preserve">Department of Quantitative Methods in Economics and Management, University Las Palmas de Gran Canaria. Las Palmas, Spain; </w:t>
      </w:r>
      <w:r w:rsidRPr="004C209F">
        <w:rPr>
          <w:rFonts w:ascii="Times New Roman" w:hAnsi="Times New Roman" w:cs="Times New Roman"/>
          <w:sz w:val="24"/>
          <w:szCs w:val="24"/>
          <w:vertAlign w:val="superscript"/>
          <w:lang w:val="en-GB"/>
        </w:rPr>
        <w:t>3</w:t>
      </w:r>
      <w:r w:rsidRPr="004C209F">
        <w:rPr>
          <w:rFonts w:ascii="Times New Roman" w:hAnsi="Times New Roman" w:cs="Times New Roman"/>
          <w:sz w:val="24"/>
          <w:szCs w:val="24"/>
          <w:lang w:val="en-GB"/>
        </w:rPr>
        <w:t xml:space="preserve">Department of Management, Psoriasis and Psoriatic Arthritis Patient and Family Association (Acción Psoriasis), Barcelona, Spain; </w:t>
      </w:r>
      <w:r w:rsidRPr="004C209F">
        <w:rPr>
          <w:rFonts w:ascii="Times New Roman" w:hAnsi="Times New Roman" w:cs="Times New Roman"/>
          <w:sz w:val="24"/>
          <w:szCs w:val="24"/>
          <w:vertAlign w:val="superscript"/>
          <w:lang w:val="en-GB"/>
        </w:rPr>
        <w:t>4</w:t>
      </w:r>
      <w:r w:rsidRPr="004C209F">
        <w:rPr>
          <w:rFonts w:ascii="Times New Roman" w:hAnsi="Times New Roman" w:cs="Times New Roman"/>
          <w:sz w:val="24"/>
          <w:szCs w:val="24"/>
          <w:lang w:val="en-GB"/>
        </w:rPr>
        <w:t xml:space="preserve">Department of Pharmacy, Ferrol University Hospital Complex, La Coruña, Spain; </w:t>
      </w:r>
      <w:r w:rsidRPr="004C209F">
        <w:rPr>
          <w:rFonts w:ascii="Times New Roman" w:hAnsi="Times New Roman" w:cs="Times New Roman"/>
          <w:sz w:val="24"/>
          <w:szCs w:val="24"/>
          <w:vertAlign w:val="superscript"/>
          <w:lang w:val="en-GB"/>
        </w:rPr>
        <w:t>5</w:t>
      </w:r>
      <w:r w:rsidRPr="004C209F">
        <w:rPr>
          <w:rFonts w:ascii="Times New Roman" w:hAnsi="Times New Roman" w:cs="Times New Roman"/>
          <w:sz w:val="24"/>
          <w:szCs w:val="24"/>
          <w:lang w:val="en-GB"/>
        </w:rPr>
        <w:t xml:space="preserve">Department of Dermatology, Germans Trias i Pujol University Hospital, Badalona, Spain; </w:t>
      </w:r>
      <w:r w:rsidRPr="004C209F">
        <w:rPr>
          <w:rFonts w:ascii="Times New Roman" w:hAnsi="Times New Roman" w:cs="Times New Roman"/>
          <w:sz w:val="24"/>
          <w:szCs w:val="24"/>
          <w:vertAlign w:val="superscript"/>
          <w:lang w:val="en-GB"/>
        </w:rPr>
        <w:t>6</w:t>
      </w:r>
      <w:r w:rsidRPr="004C209F">
        <w:rPr>
          <w:rFonts w:ascii="Times New Roman" w:hAnsi="Times New Roman" w:cs="Times New Roman"/>
          <w:sz w:val="24"/>
          <w:szCs w:val="24"/>
          <w:lang w:val="en-GB"/>
        </w:rPr>
        <w:t xml:space="preserve">Department of Management, Spanish Society of Hospital Pharmacy (SEFH). Department of Pharmacy, Son Espases University Hospital, Illes Balears, Spain; </w:t>
      </w:r>
      <w:r w:rsidRPr="004C209F">
        <w:rPr>
          <w:rFonts w:ascii="Times New Roman" w:hAnsi="Times New Roman" w:cs="Times New Roman"/>
          <w:sz w:val="24"/>
          <w:szCs w:val="24"/>
          <w:vertAlign w:val="superscript"/>
          <w:lang w:val="en-GB"/>
        </w:rPr>
        <w:t>7</w:t>
      </w:r>
      <w:r w:rsidRPr="004C209F">
        <w:rPr>
          <w:rFonts w:ascii="Times New Roman" w:hAnsi="Times New Roman" w:cs="Times New Roman"/>
          <w:sz w:val="24"/>
          <w:szCs w:val="24"/>
          <w:lang w:val="en-GB"/>
        </w:rPr>
        <w:t xml:space="preserve">Department of Management, Doctor Peset University Hospital, Valencia, Spain; </w:t>
      </w:r>
      <w:r w:rsidRPr="004C209F">
        <w:rPr>
          <w:rFonts w:ascii="Times New Roman" w:hAnsi="Times New Roman" w:cs="Times New Roman"/>
          <w:sz w:val="24"/>
          <w:szCs w:val="24"/>
          <w:vertAlign w:val="superscript"/>
          <w:lang w:val="en-GB"/>
        </w:rPr>
        <w:t>8</w:t>
      </w:r>
      <w:r w:rsidRPr="004C209F">
        <w:rPr>
          <w:rFonts w:ascii="Times New Roman" w:hAnsi="Times New Roman" w:cs="Times New Roman"/>
          <w:sz w:val="24"/>
          <w:szCs w:val="24"/>
          <w:lang w:val="en-GB"/>
        </w:rPr>
        <w:t xml:space="preserve">Health Economics and Rational Use of Medicines. Department of Pharmacology and Clinical Therapeutics. Biomedical Research Institute of Malaga (IBIMA). University of Malaga, Malaga, Spain; </w:t>
      </w:r>
      <w:r w:rsidRPr="004C209F">
        <w:rPr>
          <w:rFonts w:ascii="Times New Roman" w:hAnsi="Times New Roman" w:cs="Times New Roman"/>
          <w:sz w:val="24"/>
          <w:szCs w:val="24"/>
          <w:vertAlign w:val="superscript"/>
          <w:lang w:val="en-GB"/>
        </w:rPr>
        <w:t>9</w:t>
      </w:r>
      <w:r w:rsidRPr="004C209F">
        <w:rPr>
          <w:rFonts w:ascii="Times New Roman" w:hAnsi="Times New Roman" w:cs="Times New Roman"/>
          <w:sz w:val="24"/>
          <w:szCs w:val="24"/>
          <w:lang w:val="en-GB"/>
        </w:rPr>
        <w:t xml:space="preserve">Department of Dermatology, La Paz University Hospital, Madrid, Spain; </w:t>
      </w:r>
      <w:r w:rsidRPr="004C209F">
        <w:rPr>
          <w:rFonts w:ascii="Times New Roman" w:hAnsi="Times New Roman" w:cs="Times New Roman"/>
          <w:sz w:val="24"/>
          <w:szCs w:val="24"/>
          <w:vertAlign w:val="superscript"/>
          <w:lang w:val="en-GB"/>
        </w:rPr>
        <w:t>10</w:t>
      </w:r>
      <w:r w:rsidRPr="004C209F">
        <w:rPr>
          <w:rFonts w:ascii="Times New Roman" w:hAnsi="Times New Roman" w:cs="Times New Roman"/>
          <w:sz w:val="24"/>
          <w:szCs w:val="24"/>
          <w:lang w:val="en-GB"/>
        </w:rPr>
        <w:t xml:space="preserve">Andalusian Public Health School (EASP), Granada, Spain; </w:t>
      </w:r>
      <w:r w:rsidRPr="004C209F">
        <w:rPr>
          <w:rFonts w:ascii="Times New Roman" w:hAnsi="Times New Roman" w:cs="Times New Roman"/>
          <w:sz w:val="24"/>
          <w:szCs w:val="24"/>
          <w:vertAlign w:val="superscript"/>
          <w:lang w:val="en-GB"/>
        </w:rPr>
        <w:t>11</w:t>
      </w:r>
      <w:r w:rsidRPr="004C209F">
        <w:rPr>
          <w:rFonts w:ascii="Times New Roman" w:hAnsi="Times New Roman" w:cs="Times New Roman"/>
          <w:sz w:val="24"/>
          <w:szCs w:val="24"/>
          <w:lang w:val="en-GB"/>
        </w:rPr>
        <w:t xml:space="preserve">Department of Nursing, Gregorio Marañón University Hospital, Madrid, Spain; </w:t>
      </w:r>
      <w:r w:rsidRPr="004C209F">
        <w:rPr>
          <w:rFonts w:ascii="Times New Roman" w:hAnsi="Times New Roman" w:cs="Times New Roman"/>
          <w:sz w:val="24"/>
          <w:szCs w:val="24"/>
          <w:vertAlign w:val="superscript"/>
          <w:lang w:val="en-GB"/>
        </w:rPr>
        <w:t>12</w:t>
      </w:r>
      <w:r w:rsidRPr="004C209F">
        <w:rPr>
          <w:rFonts w:ascii="Times New Roman" w:hAnsi="Times New Roman" w:cs="Times New Roman"/>
          <w:sz w:val="24"/>
          <w:szCs w:val="24"/>
          <w:lang w:val="en-GB"/>
        </w:rPr>
        <w:t xml:space="preserve">Department of Dermatology, Hospital de la Santa Creu i Sant Pau, Universitat Autònoma de Barcelona, Barcelona, Spain; </w:t>
      </w:r>
      <w:r w:rsidRPr="004C209F">
        <w:rPr>
          <w:rFonts w:ascii="Times New Roman" w:hAnsi="Times New Roman" w:cs="Times New Roman"/>
          <w:sz w:val="24"/>
          <w:szCs w:val="24"/>
          <w:vertAlign w:val="superscript"/>
          <w:lang w:val="en-GB"/>
        </w:rPr>
        <w:t>13</w:t>
      </w:r>
      <w:r w:rsidRPr="004C209F">
        <w:rPr>
          <w:rFonts w:ascii="Times New Roman" w:hAnsi="Times New Roman" w:cs="Times New Roman"/>
          <w:sz w:val="24"/>
          <w:szCs w:val="24"/>
          <w:lang w:val="en-GB"/>
        </w:rPr>
        <w:t xml:space="preserve">Pshycologist, Department of Dermatology, Rheumatology and Cardiac Transplantation, Hospital de la Santa Creu i Sant Pau, Barcelona, Spain; </w:t>
      </w:r>
      <w:r w:rsidRPr="004C209F">
        <w:rPr>
          <w:rFonts w:ascii="Times New Roman" w:hAnsi="Times New Roman" w:cs="Times New Roman"/>
          <w:sz w:val="24"/>
          <w:szCs w:val="24"/>
          <w:vertAlign w:val="superscript"/>
          <w:lang w:val="en-GB"/>
        </w:rPr>
        <w:t>14</w:t>
      </w:r>
      <w:r w:rsidRPr="004C209F">
        <w:rPr>
          <w:rFonts w:ascii="Times New Roman" w:hAnsi="Times New Roman" w:cs="Times New Roman"/>
          <w:sz w:val="24"/>
          <w:szCs w:val="24"/>
          <w:lang w:val="en-GB"/>
        </w:rPr>
        <w:t xml:space="preserve">Weber Foundation, Madrid, Spain; </w:t>
      </w:r>
      <w:r w:rsidRPr="004C209F">
        <w:rPr>
          <w:rFonts w:ascii="Times New Roman" w:hAnsi="Times New Roman" w:cs="Times New Roman"/>
          <w:sz w:val="24"/>
          <w:szCs w:val="24"/>
          <w:vertAlign w:val="superscript"/>
          <w:lang w:val="en-GB"/>
        </w:rPr>
        <w:t>15</w:t>
      </w:r>
      <w:r w:rsidRPr="004C209F">
        <w:rPr>
          <w:rFonts w:ascii="Times New Roman" w:hAnsi="Times New Roman" w:cs="Times New Roman"/>
          <w:sz w:val="24"/>
          <w:szCs w:val="24"/>
          <w:lang w:val="en-GB"/>
        </w:rPr>
        <w:t>Department of Economic Analysis and Finances, University of Castilla-La Mancha. Toledo, Spain</w:t>
      </w:r>
    </w:p>
    <w:p w14:paraId="3CAA94C8" w14:textId="77777777" w:rsidR="009A688B" w:rsidRDefault="009A688B" w:rsidP="009A688B">
      <w:pPr>
        <w:spacing w:before="120"/>
        <w:ind w:left="709"/>
        <w:jc w:val="left"/>
        <w:rPr>
          <w:rFonts w:ascii="Times New Roman" w:hAnsi="Times New Roman" w:cs="Times New Roman"/>
          <w:sz w:val="24"/>
          <w:szCs w:val="24"/>
          <w:lang w:val="en-GB"/>
        </w:rPr>
      </w:pPr>
    </w:p>
    <w:p w14:paraId="21BE53B7" w14:textId="0FBA7C6F" w:rsidR="009A688B" w:rsidRDefault="009A688B" w:rsidP="009A688B">
      <w:pPr>
        <w:spacing w:before="120"/>
        <w:ind w:left="709"/>
        <w:jc w:val="left"/>
        <w:rPr>
          <w:rFonts w:ascii="Times New Roman" w:hAnsi="Times New Roman" w:cs="Times New Roman"/>
          <w:b/>
          <w:bCs/>
          <w:sz w:val="32"/>
          <w:szCs w:val="32"/>
          <w:lang w:val="en-GB"/>
        </w:rPr>
      </w:pPr>
      <w:r>
        <w:rPr>
          <w:rFonts w:ascii="Times New Roman" w:hAnsi="Times New Roman" w:cs="Times New Roman"/>
          <w:b/>
          <w:bCs/>
          <w:sz w:val="32"/>
          <w:szCs w:val="32"/>
          <w:lang w:val="en-GB"/>
        </w:rPr>
        <w:t>SUPPLEMENTARY FILE 1: EVIDENCE SUMMARY</w:t>
      </w:r>
    </w:p>
    <w:p w14:paraId="004461A8" w14:textId="5A630767" w:rsidR="000F264F" w:rsidRPr="004B5573" w:rsidRDefault="000F264F" w:rsidP="009A688B">
      <w:pPr>
        <w:spacing w:before="120"/>
        <w:ind w:left="709"/>
        <w:jc w:val="left"/>
        <w:rPr>
          <w:rFonts w:ascii="Times New Roman" w:hAnsi="Times New Roman" w:cs="Times New Roman"/>
          <w:b/>
          <w:bCs/>
          <w:sz w:val="24"/>
          <w:szCs w:val="24"/>
          <w:lang w:val="en-GB"/>
        </w:rPr>
      </w:pPr>
    </w:p>
    <w:p w14:paraId="241FDC0E" w14:textId="7549BA95" w:rsidR="000F264F" w:rsidRPr="004B5573" w:rsidRDefault="000F264F" w:rsidP="009A688B">
      <w:pPr>
        <w:spacing w:before="120"/>
        <w:ind w:left="709"/>
        <w:jc w:val="left"/>
        <w:rPr>
          <w:rFonts w:ascii="Times New Roman" w:hAnsi="Times New Roman" w:cs="Times New Roman"/>
          <w:b/>
          <w:bCs/>
          <w:sz w:val="24"/>
          <w:szCs w:val="24"/>
          <w:lang w:val="en-GB"/>
        </w:rPr>
      </w:pPr>
    </w:p>
    <w:p w14:paraId="2887DA7F" w14:textId="35379FC5" w:rsidR="000F264F" w:rsidRPr="007E24F0" w:rsidRDefault="009B3EB0" w:rsidP="004B5573">
      <w:pPr>
        <w:shd w:val="clear" w:color="auto" w:fill="A6A6A6" w:themeFill="background1" w:themeFillShade="A6"/>
        <w:spacing w:line="240" w:lineRule="auto"/>
        <w:ind w:left="851"/>
        <w:rPr>
          <w:rStyle w:val="TEXTOGENERALCar"/>
          <w:rFonts w:ascii="Times New Roman" w:hAnsi="Times New Roman" w:cs="Times New Roman"/>
          <w:b/>
          <w:bCs/>
          <w:color w:val="FFFFFF" w:themeColor="background1"/>
          <w:sz w:val="32"/>
          <w:szCs w:val="32"/>
          <w:lang w:val="en-GB"/>
        </w:rPr>
      </w:pPr>
      <w:r>
        <w:rPr>
          <w:rStyle w:val="TEXTOGENERALCar"/>
          <w:rFonts w:ascii="Times New Roman" w:hAnsi="Times New Roman" w:cs="Times New Roman"/>
          <w:b/>
          <w:bCs/>
          <w:color w:val="FFFFFF" w:themeColor="background1"/>
          <w:sz w:val="32"/>
          <w:szCs w:val="32"/>
        </w:rPr>
        <w:lastRenderedPageBreak/>
        <w:t>Index</w:t>
      </w: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9"/>
      </w:tblGrid>
      <w:tr w:rsidR="004E765D" w:rsidRPr="004E765D" w14:paraId="0FA2E840" w14:textId="77777777" w:rsidTr="008B630D">
        <w:tc>
          <w:tcPr>
            <w:tcW w:w="15628" w:type="dxa"/>
          </w:tcPr>
          <w:p w14:paraId="32ED430A" w14:textId="35F92CBC" w:rsidR="00F858EE" w:rsidRDefault="007B1B77">
            <w:pPr>
              <w:pStyle w:val="TDC1"/>
              <w:rPr>
                <w:rFonts w:asciiTheme="minorHAnsi" w:eastAsiaTheme="minorEastAsia" w:hAnsiTheme="minorHAnsi" w:cstheme="minorBidi"/>
                <w:b w:val="0"/>
                <w:bCs w:val="0"/>
                <w:i w:val="0"/>
                <w:iCs w:val="0"/>
                <w:noProof/>
                <w:sz w:val="22"/>
                <w:szCs w:val="22"/>
                <w:lang w:eastAsia="es-ES"/>
              </w:rPr>
            </w:pPr>
            <w:r>
              <w:rPr>
                <w:rFonts w:cs="Times New Roman"/>
                <w:sz w:val="32"/>
                <w:szCs w:val="32"/>
                <w:lang w:val="en-GB"/>
              </w:rPr>
              <w:fldChar w:fldCharType="begin"/>
            </w:r>
            <w:r>
              <w:rPr>
                <w:rFonts w:cs="Times New Roman"/>
                <w:sz w:val="32"/>
                <w:szCs w:val="32"/>
                <w:lang w:val="en-GB"/>
              </w:rPr>
              <w:instrText xml:space="preserve"> TOC \o "1-2" \h \z \u </w:instrText>
            </w:r>
            <w:r>
              <w:rPr>
                <w:rFonts w:cs="Times New Roman"/>
                <w:sz w:val="32"/>
                <w:szCs w:val="32"/>
                <w:lang w:val="en-GB"/>
              </w:rPr>
              <w:fldChar w:fldCharType="separate"/>
            </w:r>
            <w:hyperlink w:anchor="_Toc89351157" w:history="1">
              <w:r w:rsidR="00F858EE" w:rsidRPr="00464304">
                <w:rPr>
                  <w:rStyle w:val="Hipervnculo"/>
                  <w:rFonts w:cs="Times New Roman"/>
                  <w:noProof/>
                </w:rPr>
                <w:t>1. Need for the intervention</w:t>
              </w:r>
              <w:r w:rsidR="00F858EE">
                <w:rPr>
                  <w:noProof/>
                  <w:webHidden/>
                </w:rPr>
                <w:tab/>
              </w:r>
              <w:r w:rsidR="00F858EE">
                <w:rPr>
                  <w:noProof/>
                  <w:webHidden/>
                </w:rPr>
                <w:fldChar w:fldCharType="begin"/>
              </w:r>
              <w:r w:rsidR="00F858EE">
                <w:rPr>
                  <w:noProof/>
                  <w:webHidden/>
                </w:rPr>
                <w:instrText xml:space="preserve"> PAGEREF _Toc89351157 \h </w:instrText>
              </w:r>
              <w:r w:rsidR="00F858EE">
                <w:rPr>
                  <w:noProof/>
                  <w:webHidden/>
                </w:rPr>
              </w:r>
              <w:r w:rsidR="00F858EE">
                <w:rPr>
                  <w:noProof/>
                  <w:webHidden/>
                </w:rPr>
                <w:fldChar w:fldCharType="separate"/>
              </w:r>
              <w:r w:rsidR="00F858EE">
                <w:rPr>
                  <w:noProof/>
                  <w:webHidden/>
                </w:rPr>
                <w:t>5</w:t>
              </w:r>
              <w:r w:rsidR="00F858EE">
                <w:rPr>
                  <w:noProof/>
                  <w:webHidden/>
                </w:rPr>
                <w:fldChar w:fldCharType="end"/>
              </w:r>
            </w:hyperlink>
          </w:p>
          <w:p w14:paraId="5331A59B" w14:textId="2C76579D"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58" w:history="1">
              <w:r w:rsidR="00F858EE" w:rsidRPr="00464304">
                <w:rPr>
                  <w:rStyle w:val="Hipervnculo"/>
                  <w:rFonts w:cs="Times New Roman"/>
                  <w:b/>
                  <w:noProof/>
                  <w:lang w:val="en-GB"/>
                </w:rPr>
                <w:t>1.1.</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Disease severity</w:t>
              </w:r>
              <w:r w:rsidR="00F858EE">
                <w:rPr>
                  <w:noProof/>
                  <w:webHidden/>
                </w:rPr>
                <w:tab/>
              </w:r>
              <w:r w:rsidR="00F858EE">
                <w:rPr>
                  <w:noProof/>
                  <w:webHidden/>
                </w:rPr>
                <w:fldChar w:fldCharType="begin"/>
              </w:r>
              <w:r w:rsidR="00F858EE">
                <w:rPr>
                  <w:noProof/>
                  <w:webHidden/>
                </w:rPr>
                <w:instrText xml:space="preserve"> PAGEREF _Toc89351158 \h </w:instrText>
              </w:r>
              <w:r w:rsidR="00F858EE">
                <w:rPr>
                  <w:noProof/>
                  <w:webHidden/>
                </w:rPr>
              </w:r>
              <w:r w:rsidR="00F858EE">
                <w:rPr>
                  <w:noProof/>
                  <w:webHidden/>
                </w:rPr>
                <w:fldChar w:fldCharType="separate"/>
              </w:r>
              <w:r w:rsidR="00F858EE">
                <w:rPr>
                  <w:noProof/>
                  <w:webHidden/>
                </w:rPr>
                <w:t>5</w:t>
              </w:r>
              <w:r w:rsidR="00F858EE">
                <w:rPr>
                  <w:noProof/>
                  <w:webHidden/>
                </w:rPr>
                <w:fldChar w:fldCharType="end"/>
              </w:r>
            </w:hyperlink>
          </w:p>
          <w:p w14:paraId="32AB1662" w14:textId="16FCCA0C"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59" w:history="1">
              <w:r w:rsidR="00F858EE" w:rsidRPr="00464304">
                <w:rPr>
                  <w:rStyle w:val="Hipervnculo"/>
                  <w:rFonts w:cs="Times New Roman"/>
                  <w:b/>
                  <w:noProof/>
                  <w:lang w:val="en-GB"/>
                </w:rPr>
                <w:t>1.2.</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Size of affected population</w:t>
              </w:r>
              <w:r w:rsidR="00F858EE">
                <w:rPr>
                  <w:noProof/>
                  <w:webHidden/>
                </w:rPr>
                <w:tab/>
              </w:r>
              <w:r w:rsidR="00F858EE">
                <w:rPr>
                  <w:noProof/>
                  <w:webHidden/>
                </w:rPr>
                <w:fldChar w:fldCharType="begin"/>
              </w:r>
              <w:r w:rsidR="00F858EE">
                <w:rPr>
                  <w:noProof/>
                  <w:webHidden/>
                </w:rPr>
                <w:instrText xml:space="preserve"> PAGEREF _Toc89351159 \h </w:instrText>
              </w:r>
              <w:r w:rsidR="00F858EE">
                <w:rPr>
                  <w:noProof/>
                  <w:webHidden/>
                </w:rPr>
              </w:r>
              <w:r w:rsidR="00F858EE">
                <w:rPr>
                  <w:noProof/>
                  <w:webHidden/>
                </w:rPr>
                <w:fldChar w:fldCharType="separate"/>
              </w:r>
              <w:r w:rsidR="00F858EE">
                <w:rPr>
                  <w:noProof/>
                  <w:webHidden/>
                </w:rPr>
                <w:t>6</w:t>
              </w:r>
              <w:r w:rsidR="00F858EE">
                <w:rPr>
                  <w:noProof/>
                  <w:webHidden/>
                </w:rPr>
                <w:fldChar w:fldCharType="end"/>
              </w:r>
            </w:hyperlink>
          </w:p>
          <w:p w14:paraId="688676BB" w14:textId="0DC112EA"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0" w:history="1">
              <w:r w:rsidR="00F858EE" w:rsidRPr="00464304">
                <w:rPr>
                  <w:rStyle w:val="Hipervnculo"/>
                  <w:rFonts w:cs="Times New Roman"/>
                  <w:b/>
                  <w:noProof/>
                  <w:lang w:val="en-GB"/>
                </w:rPr>
                <w:t>1.3.</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Unmet needs</w:t>
              </w:r>
              <w:r w:rsidR="00F858EE">
                <w:rPr>
                  <w:noProof/>
                  <w:webHidden/>
                </w:rPr>
                <w:tab/>
              </w:r>
              <w:r w:rsidR="00F858EE">
                <w:rPr>
                  <w:noProof/>
                  <w:webHidden/>
                </w:rPr>
                <w:fldChar w:fldCharType="begin"/>
              </w:r>
              <w:r w:rsidR="00F858EE">
                <w:rPr>
                  <w:noProof/>
                  <w:webHidden/>
                </w:rPr>
                <w:instrText xml:space="preserve"> PAGEREF _Toc89351160 \h </w:instrText>
              </w:r>
              <w:r w:rsidR="00F858EE">
                <w:rPr>
                  <w:noProof/>
                  <w:webHidden/>
                </w:rPr>
              </w:r>
              <w:r w:rsidR="00F858EE">
                <w:rPr>
                  <w:noProof/>
                  <w:webHidden/>
                </w:rPr>
                <w:fldChar w:fldCharType="separate"/>
              </w:r>
              <w:r w:rsidR="00F858EE">
                <w:rPr>
                  <w:noProof/>
                  <w:webHidden/>
                </w:rPr>
                <w:t>7</w:t>
              </w:r>
              <w:r w:rsidR="00F858EE">
                <w:rPr>
                  <w:noProof/>
                  <w:webHidden/>
                </w:rPr>
                <w:fldChar w:fldCharType="end"/>
              </w:r>
            </w:hyperlink>
          </w:p>
          <w:p w14:paraId="0985C891" w14:textId="15A30D40" w:rsidR="00F858EE" w:rsidRDefault="00063939">
            <w:pPr>
              <w:pStyle w:val="TDC1"/>
              <w:rPr>
                <w:rFonts w:asciiTheme="minorHAnsi" w:eastAsiaTheme="minorEastAsia" w:hAnsiTheme="minorHAnsi" w:cstheme="minorBidi"/>
                <w:b w:val="0"/>
                <w:bCs w:val="0"/>
                <w:i w:val="0"/>
                <w:iCs w:val="0"/>
                <w:noProof/>
                <w:sz w:val="22"/>
                <w:szCs w:val="22"/>
                <w:lang w:eastAsia="es-ES"/>
              </w:rPr>
            </w:pPr>
            <w:hyperlink w:anchor="_Toc89351161" w:history="1">
              <w:r w:rsidR="00F858EE" w:rsidRPr="00464304">
                <w:rPr>
                  <w:rStyle w:val="Hipervnculo"/>
                  <w:rFonts w:cs="Times New Roman"/>
                  <w:noProof/>
                </w:rPr>
                <w:t>2. Outcomes of the intervention</w:t>
              </w:r>
              <w:r w:rsidR="00F858EE">
                <w:rPr>
                  <w:noProof/>
                  <w:webHidden/>
                </w:rPr>
                <w:tab/>
              </w:r>
              <w:r w:rsidR="00F858EE">
                <w:rPr>
                  <w:noProof/>
                  <w:webHidden/>
                </w:rPr>
                <w:fldChar w:fldCharType="begin"/>
              </w:r>
              <w:r w:rsidR="00F858EE">
                <w:rPr>
                  <w:noProof/>
                  <w:webHidden/>
                </w:rPr>
                <w:instrText xml:space="preserve"> PAGEREF _Toc89351161 \h </w:instrText>
              </w:r>
              <w:r w:rsidR="00F858EE">
                <w:rPr>
                  <w:noProof/>
                  <w:webHidden/>
                </w:rPr>
              </w:r>
              <w:r w:rsidR="00F858EE">
                <w:rPr>
                  <w:noProof/>
                  <w:webHidden/>
                </w:rPr>
                <w:fldChar w:fldCharType="separate"/>
              </w:r>
              <w:r w:rsidR="00F858EE">
                <w:rPr>
                  <w:noProof/>
                  <w:webHidden/>
                </w:rPr>
                <w:t>8</w:t>
              </w:r>
              <w:r w:rsidR="00F858EE">
                <w:rPr>
                  <w:noProof/>
                  <w:webHidden/>
                </w:rPr>
                <w:fldChar w:fldCharType="end"/>
              </w:r>
            </w:hyperlink>
          </w:p>
          <w:p w14:paraId="6C6C13FA" w14:textId="5A86FBB1"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3" w:history="1">
              <w:r w:rsidR="00F858EE" w:rsidRPr="00464304">
                <w:rPr>
                  <w:rStyle w:val="Hipervnculo"/>
                  <w:rFonts w:cs="Times New Roman"/>
                  <w:b/>
                  <w:noProof/>
                  <w:lang w:val="en-GB"/>
                </w:rPr>
                <w:t>2.1.</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Level of clearance</w:t>
              </w:r>
              <w:r w:rsidR="00F858EE">
                <w:rPr>
                  <w:noProof/>
                  <w:webHidden/>
                </w:rPr>
                <w:tab/>
              </w:r>
              <w:r w:rsidR="00F858EE">
                <w:rPr>
                  <w:noProof/>
                  <w:webHidden/>
                </w:rPr>
                <w:fldChar w:fldCharType="begin"/>
              </w:r>
              <w:r w:rsidR="00F858EE">
                <w:rPr>
                  <w:noProof/>
                  <w:webHidden/>
                </w:rPr>
                <w:instrText xml:space="preserve"> PAGEREF _Toc89351163 \h </w:instrText>
              </w:r>
              <w:r w:rsidR="00F858EE">
                <w:rPr>
                  <w:noProof/>
                  <w:webHidden/>
                </w:rPr>
              </w:r>
              <w:r w:rsidR="00F858EE">
                <w:rPr>
                  <w:noProof/>
                  <w:webHidden/>
                </w:rPr>
                <w:fldChar w:fldCharType="separate"/>
              </w:r>
              <w:r w:rsidR="00F858EE">
                <w:rPr>
                  <w:noProof/>
                  <w:webHidden/>
                </w:rPr>
                <w:t>8</w:t>
              </w:r>
              <w:r w:rsidR="00F858EE">
                <w:rPr>
                  <w:noProof/>
                  <w:webHidden/>
                </w:rPr>
                <w:fldChar w:fldCharType="end"/>
              </w:r>
            </w:hyperlink>
          </w:p>
          <w:p w14:paraId="09474B98" w14:textId="4626DFEC"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4" w:history="1">
              <w:r w:rsidR="00F858EE" w:rsidRPr="00464304">
                <w:rPr>
                  <w:rStyle w:val="Hipervnculo"/>
                  <w:rFonts w:cs="Times New Roman"/>
                  <w:b/>
                  <w:noProof/>
                  <w:lang w:val="en-GB"/>
                </w:rPr>
                <w:t>2.2.</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Rapidity of clearance</w:t>
              </w:r>
              <w:r w:rsidR="00F858EE">
                <w:rPr>
                  <w:noProof/>
                  <w:webHidden/>
                </w:rPr>
                <w:tab/>
              </w:r>
              <w:r w:rsidR="00F858EE">
                <w:rPr>
                  <w:noProof/>
                  <w:webHidden/>
                </w:rPr>
                <w:fldChar w:fldCharType="begin"/>
              </w:r>
              <w:r w:rsidR="00F858EE">
                <w:rPr>
                  <w:noProof/>
                  <w:webHidden/>
                </w:rPr>
                <w:instrText xml:space="preserve"> PAGEREF _Toc89351164 \h </w:instrText>
              </w:r>
              <w:r w:rsidR="00F858EE">
                <w:rPr>
                  <w:noProof/>
                  <w:webHidden/>
                </w:rPr>
              </w:r>
              <w:r w:rsidR="00F858EE">
                <w:rPr>
                  <w:noProof/>
                  <w:webHidden/>
                </w:rPr>
                <w:fldChar w:fldCharType="separate"/>
              </w:r>
              <w:r w:rsidR="00F858EE">
                <w:rPr>
                  <w:noProof/>
                  <w:webHidden/>
                </w:rPr>
                <w:t>9</w:t>
              </w:r>
              <w:r w:rsidR="00F858EE">
                <w:rPr>
                  <w:noProof/>
                  <w:webHidden/>
                </w:rPr>
                <w:fldChar w:fldCharType="end"/>
              </w:r>
            </w:hyperlink>
          </w:p>
          <w:p w14:paraId="0F2BBDBE" w14:textId="6C33421D"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5" w:history="1">
              <w:r w:rsidR="00F858EE" w:rsidRPr="00464304">
                <w:rPr>
                  <w:rStyle w:val="Hipervnculo"/>
                  <w:rFonts w:cs="Times New Roman"/>
                  <w:b/>
                  <w:noProof/>
                  <w:lang w:val="en-GB"/>
                </w:rPr>
                <w:t>2.3.</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Persistence of clearance</w:t>
              </w:r>
              <w:r w:rsidR="00F858EE">
                <w:rPr>
                  <w:noProof/>
                  <w:webHidden/>
                </w:rPr>
                <w:tab/>
              </w:r>
              <w:r w:rsidR="00F858EE">
                <w:rPr>
                  <w:noProof/>
                  <w:webHidden/>
                </w:rPr>
                <w:fldChar w:fldCharType="begin"/>
              </w:r>
              <w:r w:rsidR="00F858EE">
                <w:rPr>
                  <w:noProof/>
                  <w:webHidden/>
                </w:rPr>
                <w:instrText xml:space="preserve"> PAGEREF _Toc89351165 \h </w:instrText>
              </w:r>
              <w:r w:rsidR="00F858EE">
                <w:rPr>
                  <w:noProof/>
                  <w:webHidden/>
                </w:rPr>
              </w:r>
              <w:r w:rsidR="00F858EE">
                <w:rPr>
                  <w:noProof/>
                  <w:webHidden/>
                </w:rPr>
                <w:fldChar w:fldCharType="separate"/>
              </w:r>
              <w:r w:rsidR="00F858EE">
                <w:rPr>
                  <w:noProof/>
                  <w:webHidden/>
                </w:rPr>
                <w:t>10</w:t>
              </w:r>
              <w:r w:rsidR="00F858EE">
                <w:rPr>
                  <w:noProof/>
                  <w:webHidden/>
                </w:rPr>
                <w:fldChar w:fldCharType="end"/>
              </w:r>
            </w:hyperlink>
          </w:p>
          <w:p w14:paraId="1C1AEC5B" w14:textId="09A4DBA9"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6" w:history="1">
              <w:r w:rsidR="00F858EE" w:rsidRPr="00464304">
                <w:rPr>
                  <w:rStyle w:val="Hipervnculo"/>
                  <w:rFonts w:cs="Times New Roman"/>
                  <w:b/>
                  <w:noProof/>
                  <w:lang w:val="en-GB"/>
                </w:rPr>
                <w:t>2.4.</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Safety / tolerability</w:t>
              </w:r>
              <w:r w:rsidR="00F858EE">
                <w:rPr>
                  <w:noProof/>
                  <w:webHidden/>
                </w:rPr>
                <w:tab/>
              </w:r>
              <w:r w:rsidR="00F858EE">
                <w:rPr>
                  <w:noProof/>
                  <w:webHidden/>
                </w:rPr>
                <w:fldChar w:fldCharType="begin"/>
              </w:r>
              <w:r w:rsidR="00F858EE">
                <w:rPr>
                  <w:noProof/>
                  <w:webHidden/>
                </w:rPr>
                <w:instrText xml:space="preserve"> PAGEREF _Toc89351166 \h </w:instrText>
              </w:r>
              <w:r w:rsidR="00F858EE">
                <w:rPr>
                  <w:noProof/>
                  <w:webHidden/>
                </w:rPr>
              </w:r>
              <w:r w:rsidR="00F858EE">
                <w:rPr>
                  <w:noProof/>
                  <w:webHidden/>
                </w:rPr>
                <w:fldChar w:fldCharType="separate"/>
              </w:r>
              <w:r w:rsidR="00F858EE">
                <w:rPr>
                  <w:noProof/>
                  <w:webHidden/>
                </w:rPr>
                <w:t>11</w:t>
              </w:r>
              <w:r w:rsidR="00F858EE">
                <w:rPr>
                  <w:noProof/>
                  <w:webHidden/>
                </w:rPr>
                <w:fldChar w:fldCharType="end"/>
              </w:r>
            </w:hyperlink>
          </w:p>
          <w:p w14:paraId="4FEA19BA" w14:textId="1D83F893"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67" w:history="1">
              <w:r w:rsidR="00F858EE" w:rsidRPr="00464304">
                <w:rPr>
                  <w:rStyle w:val="Hipervnculo"/>
                  <w:rFonts w:cs="Times New Roman"/>
                  <w:b/>
                  <w:noProof/>
                  <w:lang w:val="en-GB"/>
                </w:rPr>
                <w:t>2.5.</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Patient reported outcomes</w:t>
              </w:r>
              <w:r w:rsidR="00F858EE">
                <w:rPr>
                  <w:noProof/>
                  <w:webHidden/>
                </w:rPr>
                <w:tab/>
              </w:r>
              <w:r w:rsidR="00F858EE">
                <w:rPr>
                  <w:noProof/>
                  <w:webHidden/>
                </w:rPr>
                <w:fldChar w:fldCharType="begin"/>
              </w:r>
              <w:r w:rsidR="00F858EE">
                <w:rPr>
                  <w:noProof/>
                  <w:webHidden/>
                </w:rPr>
                <w:instrText xml:space="preserve"> PAGEREF _Toc89351167 \h </w:instrText>
              </w:r>
              <w:r w:rsidR="00F858EE">
                <w:rPr>
                  <w:noProof/>
                  <w:webHidden/>
                </w:rPr>
              </w:r>
              <w:r w:rsidR="00F858EE">
                <w:rPr>
                  <w:noProof/>
                  <w:webHidden/>
                </w:rPr>
                <w:fldChar w:fldCharType="separate"/>
              </w:r>
              <w:r w:rsidR="00F858EE">
                <w:rPr>
                  <w:noProof/>
                  <w:webHidden/>
                </w:rPr>
                <w:t>13</w:t>
              </w:r>
              <w:r w:rsidR="00F858EE">
                <w:rPr>
                  <w:noProof/>
                  <w:webHidden/>
                </w:rPr>
                <w:fldChar w:fldCharType="end"/>
              </w:r>
            </w:hyperlink>
          </w:p>
          <w:p w14:paraId="62E9D706" w14:textId="7799B3CB" w:rsidR="00F858EE" w:rsidRDefault="00063939">
            <w:pPr>
              <w:pStyle w:val="TDC1"/>
              <w:rPr>
                <w:rFonts w:asciiTheme="minorHAnsi" w:eastAsiaTheme="minorEastAsia" w:hAnsiTheme="minorHAnsi" w:cstheme="minorBidi"/>
                <w:b w:val="0"/>
                <w:bCs w:val="0"/>
                <w:i w:val="0"/>
                <w:iCs w:val="0"/>
                <w:noProof/>
                <w:sz w:val="22"/>
                <w:szCs w:val="22"/>
                <w:lang w:eastAsia="es-ES"/>
              </w:rPr>
            </w:pPr>
            <w:hyperlink w:anchor="_Toc89351168" w:history="1">
              <w:r w:rsidR="00F858EE" w:rsidRPr="00464304">
                <w:rPr>
                  <w:rStyle w:val="Hipervnculo"/>
                  <w:rFonts w:cs="Times New Roman"/>
                  <w:noProof/>
                </w:rPr>
                <w:t>3. Type of benefit of the intervention</w:t>
              </w:r>
              <w:r w:rsidR="00F858EE">
                <w:rPr>
                  <w:noProof/>
                  <w:webHidden/>
                </w:rPr>
                <w:tab/>
              </w:r>
              <w:r w:rsidR="00F858EE">
                <w:rPr>
                  <w:noProof/>
                  <w:webHidden/>
                </w:rPr>
                <w:fldChar w:fldCharType="begin"/>
              </w:r>
              <w:r w:rsidR="00F858EE">
                <w:rPr>
                  <w:noProof/>
                  <w:webHidden/>
                </w:rPr>
                <w:instrText xml:space="preserve"> PAGEREF _Toc89351168 \h </w:instrText>
              </w:r>
              <w:r w:rsidR="00F858EE">
                <w:rPr>
                  <w:noProof/>
                  <w:webHidden/>
                </w:rPr>
              </w:r>
              <w:r w:rsidR="00F858EE">
                <w:rPr>
                  <w:noProof/>
                  <w:webHidden/>
                </w:rPr>
                <w:fldChar w:fldCharType="separate"/>
              </w:r>
              <w:r w:rsidR="00F858EE">
                <w:rPr>
                  <w:noProof/>
                  <w:webHidden/>
                </w:rPr>
                <w:t>15</w:t>
              </w:r>
              <w:r w:rsidR="00F858EE">
                <w:rPr>
                  <w:noProof/>
                  <w:webHidden/>
                </w:rPr>
                <w:fldChar w:fldCharType="end"/>
              </w:r>
            </w:hyperlink>
          </w:p>
          <w:p w14:paraId="3FEAF4F2" w14:textId="72028CBC"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0" w:history="1">
              <w:r w:rsidR="00F858EE" w:rsidRPr="00464304">
                <w:rPr>
                  <w:rStyle w:val="Hipervnculo"/>
                  <w:rFonts w:cs="Times New Roman"/>
                  <w:b/>
                  <w:noProof/>
                  <w:lang w:val="en-GB"/>
                </w:rPr>
                <w:t>3.1.</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Type of therapeutic benefit</w:t>
              </w:r>
              <w:r w:rsidR="00F858EE">
                <w:rPr>
                  <w:noProof/>
                  <w:webHidden/>
                </w:rPr>
                <w:tab/>
              </w:r>
              <w:r w:rsidR="00F858EE">
                <w:rPr>
                  <w:noProof/>
                  <w:webHidden/>
                </w:rPr>
                <w:fldChar w:fldCharType="begin"/>
              </w:r>
              <w:r w:rsidR="00F858EE">
                <w:rPr>
                  <w:noProof/>
                  <w:webHidden/>
                </w:rPr>
                <w:instrText xml:space="preserve"> PAGEREF _Toc89351170 \h </w:instrText>
              </w:r>
              <w:r w:rsidR="00F858EE">
                <w:rPr>
                  <w:noProof/>
                  <w:webHidden/>
                </w:rPr>
              </w:r>
              <w:r w:rsidR="00F858EE">
                <w:rPr>
                  <w:noProof/>
                  <w:webHidden/>
                </w:rPr>
                <w:fldChar w:fldCharType="separate"/>
              </w:r>
              <w:r w:rsidR="00F858EE">
                <w:rPr>
                  <w:noProof/>
                  <w:webHidden/>
                </w:rPr>
                <w:t>15</w:t>
              </w:r>
              <w:r w:rsidR="00F858EE">
                <w:rPr>
                  <w:noProof/>
                  <w:webHidden/>
                </w:rPr>
                <w:fldChar w:fldCharType="end"/>
              </w:r>
            </w:hyperlink>
          </w:p>
          <w:p w14:paraId="33C3B3BE" w14:textId="3131EAE5"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1" w:history="1">
              <w:r w:rsidR="00F858EE" w:rsidRPr="00464304">
                <w:rPr>
                  <w:rStyle w:val="Hipervnculo"/>
                  <w:rFonts w:cs="Times New Roman"/>
                  <w:b/>
                  <w:noProof/>
                  <w:lang w:val="en-GB"/>
                </w:rPr>
                <w:t>3.2.</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Consistency of the effect</w:t>
              </w:r>
              <w:r w:rsidR="00F858EE">
                <w:rPr>
                  <w:noProof/>
                  <w:webHidden/>
                </w:rPr>
                <w:tab/>
              </w:r>
              <w:r w:rsidR="00F858EE">
                <w:rPr>
                  <w:noProof/>
                  <w:webHidden/>
                </w:rPr>
                <w:fldChar w:fldCharType="begin"/>
              </w:r>
              <w:r w:rsidR="00F858EE">
                <w:rPr>
                  <w:noProof/>
                  <w:webHidden/>
                </w:rPr>
                <w:instrText xml:space="preserve"> PAGEREF _Toc89351171 \h </w:instrText>
              </w:r>
              <w:r w:rsidR="00F858EE">
                <w:rPr>
                  <w:noProof/>
                  <w:webHidden/>
                </w:rPr>
              </w:r>
              <w:r w:rsidR="00F858EE">
                <w:rPr>
                  <w:noProof/>
                  <w:webHidden/>
                </w:rPr>
                <w:fldChar w:fldCharType="separate"/>
              </w:r>
              <w:r w:rsidR="00F858EE">
                <w:rPr>
                  <w:noProof/>
                  <w:webHidden/>
                </w:rPr>
                <w:t>16</w:t>
              </w:r>
              <w:r w:rsidR="00F858EE">
                <w:rPr>
                  <w:noProof/>
                  <w:webHidden/>
                </w:rPr>
                <w:fldChar w:fldCharType="end"/>
              </w:r>
            </w:hyperlink>
          </w:p>
          <w:p w14:paraId="75D352F7" w14:textId="5DB89702" w:rsidR="00F858EE" w:rsidRDefault="00063939">
            <w:pPr>
              <w:pStyle w:val="TDC1"/>
              <w:rPr>
                <w:rFonts w:asciiTheme="minorHAnsi" w:eastAsiaTheme="minorEastAsia" w:hAnsiTheme="minorHAnsi" w:cstheme="minorBidi"/>
                <w:b w:val="0"/>
                <w:bCs w:val="0"/>
                <w:i w:val="0"/>
                <w:iCs w:val="0"/>
                <w:noProof/>
                <w:sz w:val="22"/>
                <w:szCs w:val="22"/>
                <w:lang w:eastAsia="es-ES"/>
              </w:rPr>
            </w:pPr>
            <w:hyperlink w:anchor="_Toc89351172" w:history="1">
              <w:r w:rsidR="00F858EE" w:rsidRPr="00464304">
                <w:rPr>
                  <w:rStyle w:val="Hipervnculo"/>
                  <w:rFonts w:cs="Times New Roman"/>
                  <w:noProof/>
                </w:rPr>
                <w:t>4. Economic consequences of the intervention</w:t>
              </w:r>
              <w:r w:rsidR="00F858EE">
                <w:rPr>
                  <w:noProof/>
                  <w:webHidden/>
                </w:rPr>
                <w:tab/>
              </w:r>
              <w:r w:rsidR="00F858EE">
                <w:rPr>
                  <w:noProof/>
                  <w:webHidden/>
                </w:rPr>
                <w:fldChar w:fldCharType="begin"/>
              </w:r>
              <w:r w:rsidR="00F858EE">
                <w:rPr>
                  <w:noProof/>
                  <w:webHidden/>
                </w:rPr>
                <w:instrText xml:space="preserve"> PAGEREF _Toc89351172 \h </w:instrText>
              </w:r>
              <w:r w:rsidR="00F858EE">
                <w:rPr>
                  <w:noProof/>
                  <w:webHidden/>
                </w:rPr>
              </w:r>
              <w:r w:rsidR="00F858EE">
                <w:rPr>
                  <w:noProof/>
                  <w:webHidden/>
                </w:rPr>
                <w:fldChar w:fldCharType="separate"/>
              </w:r>
              <w:r w:rsidR="00F858EE">
                <w:rPr>
                  <w:noProof/>
                  <w:webHidden/>
                </w:rPr>
                <w:t>18</w:t>
              </w:r>
              <w:r w:rsidR="00F858EE">
                <w:rPr>
                  <w:noProof/>
                  <w:webHidden/>
                </w:rPr>
                <w:fldChar w:fldCharType="end"/>
              </w:r>
            </w:hyperlink>
          </w:p>
          <w:p w14:paraId="4722D0DB" w14:textId="170C01C4"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4" w:history="1">
              <w:r w:rsidR="00F858EE" w:rsidRPr="00464304">
                <w:rPr>
                  <w:rStyle w:val="Hipervnculo"/>
                  <w:rFonts w:cs="Times New Roman"/>
                  <w:b/>
                  <w:noProof/>
                  <w:lang w:val="en-GB"/>
                </w:rPr>
                <w:t>4.1.</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Cost of intervention</w:t>
              </w:r>
              <w:r w:rsidR="00F858EE">
                <w:rPr>
                  <w:noProof/>
                  <w:webHidden/>
                </w:rPr>
                <w:tab/>
              </w:r>
              <w:r w:rsidR="00F858EE">
                <w:rPr>
                  <w:noProof/>
                  <w:webHidden/>
                </w:rPr>
                <w:fldChar w:fldCharType="begin"/>
              </w:r>
              <w:r w:rsidR="00F858EE">
                <w:rPr>
                  <w:noProof/>
                  <w:webHidden/>
                </w:rPr>
                <w:instrText xml:space="preserve"> PAGEREF _Toc89351174 \h </w:instrText>
              </w:r>
              <w:r w:rsidR="00F858EE">
                <w:rPr>
                  <w:noProof/>
                  <w:webHidden/>
                </w:rPr>
              </w:r>
              <w:r w:rsidR="00F858EE">
                <w:rPr>
                  <w:noProof/>
                  <w:webHidden/>
                </w:rPr>
                <w:fldChar w:fldCharType="separate"/>
              </w:r>
              <w:r w:rsidR="00F858EE">
                <w:rPr>
                  <w:noProof/>
                  <w:webHidden/>
                </w:rPr>
                <w:t>18</w:t>
              </w:r>
              <w:r w:rsidR="00F858EE">
                <w:rPr>
                  <w:noProof/>
                  <w:webHidden/>
                </w:rPr>
                <w:fldChar w:fldCharType="end"/>
              </w:r>
            </w:hyperlink>
          </w:p>
          <w:p w14:paraId="1DB3369B" w14:textId="0B3104E9"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5" w:history="1">
              <w:r w:rsidR="00F858EE" w:rsidRPr="00464304">
                <w:rPr>
                  <w:rStyle w:val="Hipervnculo"/>
                  <w:rFonts w:cs="Times New Roman"/>
                  <w:b/>
                  <w:noProof/>
                  <w:lang w:val="en-GB"/>
                </w:rPr>
                <w:t>4.2.</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Impact on other direct costs</w:t>
              </w:r>
              <w:r w:rsidR="00F858EE">
                <w:rPr>
                  <w:noProof/>
                  <w:webHidden/>
                </w:rPr>
                <w:tab/>
              </w:r>
              <w:r w:rsidR="00F858EE">
                <w:rPr>
                  <w:noProof/>
                  <w:webHidden/>
                </w:rPr>
                <w:fldChar w:fldCharType="begin"/>
              </w:r>
              <w:r w:rsidR="00F858EE">
                <w:rPr>
                  <w:noProof/>
                  <w:webHidden/>
                </w:rPr>
                <w:instrText xml:space="preserve"> PAGEREF _Toc89351175 \h </w:instrText>
              </w:r>
              <w:r w:rsidR="00F858EE">
                <w:rPr>
                  <w:noProof/>
                  <w:webHidden/>
                </w:rPr>
              </w:r>
              <w:r w:rsidR="00F858EE">
                <w:rPr>
                  <w:noProof/>
                  <w:webHidden/>
                </w:rPr>
                <w:fldChar w:fldCharType="separate"/>
              </w:r>
              <w:r w:rsidR="00F858EE">
                <w:rPr>
                  <w:noProof/>
                  <w:webHidden/>
                </w:rPr>
                <w:t>19</w:t>
              </w:r>
              <w:r w:rsidR="00F858EE">
                <w:rPr>
                  <w:noProof/>
                  <w:webHidden/>
                </w:rPr>
                <w:fldChar w:fldCharType="end"/>
              </w:r>
            </w:hyperlink>
          </w:p>
          <w:p w14:paraId="7F429200" w14:textId="2AE0448F"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6" w:history="1">
              <w:r w:rsidR="00F858EE" w:rsidRPr="00464304">
                <w:rPr>
                  <w:rStyle w:val="Hipervnculo"/>
                  <w:rFonts w:cs="Times New Roman"/>
                  <w:b/>
                  <w:noProof/>
                  <w:lang w:val="en-GB"/>
                </w:rPr>
                <w:t>4.3.</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Impact on indirect costs</w:t>
              </w:r>
              <w:r w:rsidR="00F858EE">
                <w:rPr>
                  <w:noProof/>
                  <w:webHidden/>
                </w:rPr>
                <w:tab/>
              </w:r>
              <w:r w:rsidR="00F858EE">
                <w:rPr>
                  <w:noProof/>
                  <w:webHidden/>
                </w:rPr>
                <w:fldChar w:fldCharType="begin"/>
              </w:r>
              <w:r w:rsidR="00F858EE">
                <w:rPr>
                  <w:noProof/>
                  <w:webHidden/>
                </w:rPr>
                <w:instrText xml:space="preserve"> PAGEREF _Toc89351176 \h </w:instrText>
              </w:r>
              <w:r w:rsidR="00F858EE">
                <w:rPr>
                  <w:noProof/>
                  <w:webHidden/>
                </w:rPr>
              </w:r>
              <w:r w:rsidR="00F858EE">
                <w:rPr>
                  <w:noProof/>
                  <w:webHidden/>
                </w:rPr>
                <w:fldChar w:fldCharType="separate"/>
              </w:r>
              <w:r w:rsidR="00F858EE">
                <w:rPr>
                  <w:noProof/>
                  <w:webHidden/>
                </w:rPr>
                <w:t>20</w:t>
              </w:r>
              <w:r w:rsidR="00F858EE">
                <w:rPr>
                  <w:noProof/>
                  <w:webHidden/>
                </w:rPr>
                <w:fldChar w:fldCharType="end"/>
              </w:r>
            </w:hyperlink>
          </w:p>
          <w:p w14:paraId="37E804F5" w14:textId="741CD988" w:rsidR="00F858EE" w:rsidRDefault="00063939">
            <w:pPr>
              <w:pStyle w:val="TDC1"/>
              <w:rPr>
                <w:rFonts w:asciiTheme="minorHAnsi" w:eastAsiaTheme="minorEastAsia" w:hAnsiTheme="minorHAnsi" w:cstheme="minorBidi"/>
                <w:b w:val="0"/>
                <w:bCs w:val="0"/>
                <w:i w:val="0"/>
                <w:iCs w:val="0"/>
                <w:noProof/>
                <w:sz w:val="22"/>
                <w:szCs w:val="22"/>
                <w:lang w:eastAsia="es-ES"/>
              </w:rPr>
            </w:pPr>
            <w:hyperlink w:anchor="_Toc89351177" w:history="1">
              <w:r w:rsidR="00F858EE" w:rsidRPr="00464304">
                <w:rPr>
                  <w:rStyle w:val="Hipervnculo"/>
                  <w:rFonts w:cs="Times New Roman"/>
                  <w:noProof/>
                </w:rPr>
                <w:t>5. Knowledge of the intervention</w:t>
              </w:r>
              <w:r w:rsidR="00F858EE">
                <w:rPr>
                  <w:noProof/>
                  <w:webHidden/>
                </w:rPr>
                <w:tab/>
              </w:r>
              <w:r w:rsidR="00F858EE">
                <w:rPr>
                  <w:noProof/>
                  <w:webHidden/>
                </w:rPr>
                <w:fldChar w:fldCharType="begin"/>
              </w:r>
              <w:r w:rsidR="00F858EE">
                <w:rPr>
                  <w:noProof/>
                  <w:webHidden/>
                </w:rPr>
                <w:instrText xml:space="preserve"> PAGEREF _Toc89351177 \h </w:instrText>
              </w:r>
              <w:r w:rsidR="00F858EE">
                <w:rPr>
                  <w:noProof/>
                  <w:webHidden/>
                </w:rPr>
              </w:r>
              <w:r w:rsidR="00F858EE">
                <w:rPr>
                  <w:noProof/>
                  <w:webHidden/>
                </w:rPr>
                <w:fldChar w:fldCharType="separate"/>
              </w:r>
              <w:r w:rsidR="00F858EE">
                <w:rPr>
                  <w:noProof/>
                  <w:webHidden/>
                </w:rPr>
                <w:t>21</w:t>
              </w:r>
              <w:r w:rsidR="00F858EE">
                <w:rPr>
                  <w:noProof/>
                  <w:webHidden/>
                </w:rPr>
                <w:fldChar w:fldCharType="end"/>
              </w:r>
            </w:hyperlink>
          </w:p>
          <w:p w14:paraId="5B1307B0" w14:textId="7794B2CA"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79" w:history="1">
              <w:r w:rsidR="00F858EE" w:rsidRPr="00464304">
                <w:rPr>
                  <w:rStyle w:val="Hipervnculo"/>
                  <w:rFonts w:cs="Times New Roman"/>
                  <w:b/>
                  <w:noProof/>
                  <w:lang w:val="en-GB"/>
                </w:rPr>
                <w:t>5.1.</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Quality of the evidence</w:t>
              </w:r>
              <w:r w:rsidR="00F858EE">
                <w:rPr>
                  <w:noProof/>
                  <w:webHidden/>
                </w:rPr>
                <w:tab/>
              </w:r>
              <w:r w:rsidR="00F858EE">
                <w:rPr>
                  <w:noProof/>
                  <w:webHidden/>
                </w:rPr>
                <w:fldChar w:fldCharType="begin"/>
              </w:r>
              <w:r w:rsidR="00F858EE">
                <w:rPr>
                  <w:noProof/>
                  <w:webHidden/>
                </w:rPr>
                <w:instrText xml:space="preserve"> PAGEREF _Toc89351179 \h </w:instrText>
              </w:r>
              <w:r w:rsidR="00F858EE">
                <w:rPr>
                  <w:noProof/>
                  <w:webHidden/>
                </w:rPr>
              </w:r>
              <w:r w:rsidR="00F858EE">
                <w:rPr>
                  <w:noProof/>
                  <w:webHidden/>
                </w:rPr>
                <w:fldChar w:fldCharType="separate"/>
              </w:r>
              <w:r w:rsidR="00F858EE">
                <w:rPr>
                  <w:noProof/>
                  <w:webHidden/>
                </w:rPr>
                <w:t>21</w:t>
              </w:r>
              <w:r w:rsidR="00F858EE">
                <w:rPr>
                  <w:noProof/>
                  <w:webHidden/>
                </w:rPr>
                <w:fldChar w:fldCharType="end"/>
              </w:r>
            </w:hyperlink>
          </w:p>
          <w:p w14:paraId="041ADF3B" w14:textId="1BEF27DD" w:rsidR="00F858EE" w:rsidRDefault="00063939">
            <w:pPr>
              <w:pStyle w:val="TDC2"/>
              <w:tabs>
                <w:tab w:val="left" w:pos="880"/>
                <w:tab w:val="right" w:leader="underscore" w:pos="15628"/>
              </w:tabs>
              <w:rPr>
                <w:rFonts w:asciiTheme="minorHAnsi" w:eastAsiaTheme="minorEastAsia" w:hAnsiTheme="minorHAnsi" w:cstheme="minorBidi"/>
                <w:bCs w:val="0"/>
                <w:noProof/>
                <w:lang w:eastAsia="es-ES"/>
              </w:rPr>
            </w:pPr>
            <w:hyperlink w:anchor="_Toc89351180" w:history="1">
              <w:r w:rsidR="00F858EE" w:rsidRPr="00464304">
                <w:rPr>
                  <w:rStyle w:val="Hipervnculo"/>
                  <w:rFonts w:cs="Times New Roman"/>
                  <w:b/>
                  <w:noProof/>
                  <w:lang w:val="en-GB"/>
                </w:rPr>
                <w:t>5.2.</w:t>
              </w:r>
              <w:r w:rsidR="00F858EE">
                <w:rPr>
                  <w:rFonts w:asciiTheme="minorHAnsi" w:eastAsiaTheme="minorEastAsia" w:hAnsiTheme="minorHAnsi" w:cstheme="minorBidi"/>
                  <w:bCs w:val="0"/>
                  <w:noProof/>
                  <w:lang w:eastAsia="es-ES"/>
                </w:rPr>
                <w:tab/>
              </w:r>
              <w:r w:rsidR="00F858EE" w:rsidRPr="00464304">
                <w:rPr>
                  <w:rStyle w:val="Hipervnculo"/>
                  <w:rFonts w:cs="Times New Roman"/>
                  <w:b/>
                  <w:noProof/>
                  <w:lang w:val="en-GB"/>
                </w:rPr>
                <w:t>Expert consensus / clinical practice guidelines</w:t>
              </w:r>
              <w:r w:rsidR="00F858EE">
                <w:rPr>
                  <w:noProof/>
                  <w:webHidden/>
                </w:rPr>
                <w:tab/>
              </w:r>
              <w:r w:rsidR="00F858EE">
                <w:rPr>
                  <w:noProof/>
                  <w:webHidden/>
                </w:rPr>
                <w:fldChar w:fldCharType="begin"/>
              </w:r>
              <w:r w:rsidR="00F858EE">
                <w:rPr>
                  <w:noProof/>
                  <w:webHidden/>
                </w:rPr>
                <w:instrText xml:space="preserve"> PAGEREF _Toc89351180 \h </w:instrText>
              </w:r>
              <w:r w:rsidR="00F858EE">
                <w:rPr>
                  <w:noProof/>
                  <w:webHidden/>
                </w:rPr>
              </w:r>
              <w:r w:rsidR="00F858EE">
                <w:rPr>
                  <w:noProof/>
                  <w:webHidden/>
                </w:rPr>
                <w:fldChar w:fldCharType="separate"/>
              </w:r>
              <w:r w:rsidR="00F858EE">
                <w:rPr>
                  <w:noProof/>
                  <w:webHidden/>
                </w:rPr>
                <w:t>22</w:t>
              </w:r>
              <w:r w:rsidR="00F858EE">
                <w:rPr>
                  <w:noProof/>
                  <w:webHidden/>
                </w:rPr>
                <w:fldChar w:fldCharType="end"/>
              </w:r>
            </w:hyperlink>
          </w:p>
          <w:p w14:paraId="15F28A51" w14:textId="7D681AA8" w:rsidR="00F858EE" w:rsidRDefault="00063939">
            <w:pPr>
              <w:pStyle w:val="TDC1"/>
              <w:rPr>
                <w:rFonts w:asciiTheme="minorHAnsi" w:eastAsiaTheme="minorEastAsia" w:hAnsiTheme="minorHAnsi" w:cstheme="minorBidi"/>
                <w:b w:val="0"/>
                <w:bCs w:val="0"/>
                <w:i w:val="0"/>
                <w:iCs w:val="0"/>
                <w:noProof/>
                <w:sz w:val="22"/>
                <w:szCs w:val="22"/>
                <w:lang w:eastAsia="es-ES"/>
              </w:rPr>
            </w:pPr>
            <w:hyperlink w:anchor="_Toc89351181" w:history="1">
              <w:r w:rsidR="00F858EE" w:rsidRPr="00464304">
                <w:rPr>
                  <w:rStyle w:val="Hipervnculo"/>
                  <w:rFonts w:cs="Times New Roman"/>
                  <w:noProof/>
                </w:rPr>
                <w:t>References</w:t>
              </w:r>
              <w:r w:rsidR="00F858EE">
                <w:rPr>
                  <w:noProof/>
                  <w:webHidden/>
                </w:rPr>
                <w:tab/>
              </w:r>
              <w:r w:rsidR="00F858EE">
                <w:rPr>
                  <w:noProof/>
                  <w:webHidden/>
                </w:rPr>
                <w:fldChar w:fldCharType="begin"/>
              </w:r>
              <w:r w:rsidR="00F858EE">
                <w:rPr>
                  <w:noProof/>
                  <w:webHidden/>
                </w:rPr>
                <w:instrText xml:space="preserve"> PAGEREF _Toc89351181 \h </w:instrText>
              </w:r>
              <w:r w:rsidR="00F858EE">
                <w:rPr>
                  <w:noProof/>
                  <w:webHidden/>
                </w:rPr>
              </w:r>
              <w:r w:rsidR="00F858EE">
                <w:rPr>
                  <w:noProof/>
                  <w:webHidden/>
                </w:rPr>
                <w:fldChar w:fldCharType="separate"/>
              </w:r>
              <w:r w:rsidR="00F858EE">
                <w:rPr>
                  <w:noProof/>
                  <w:webHidden/>
                </w:rPr>
                <w:t>23</w:t>
              </w:r>
              <w:r w:rsidR="00F858EE">
                <w:rPr>
                  <w:noProof/>
                  <w:webHidden/>
                </w:rPr>
                <w:fldChar w:fldCharType="end"/>
              </w:r>
            </w:hyperlink>
          </w:p>
          <w:p w14:paraId="539B80A4" w14:textId="14B0FB87" w:rsidR="004E765D" w:rsidRPr="004E765D" w:rsidRDefault="007B1B77" w:rsidP="004B5573">
            <w:pPr>
              <w:pStyle w:val="TDC1"/>
              <w:rPr>
                <w:lang w:val="en-GB"/>
              </w:rPr>
            </w:pPr>
            <w:r>
              <w:rPr>
                <w:lang w:val="en-GB"/>
              </w:rPr>
              <w:fldChar w:fldCharType="end"/>
            </w:r>
          </w:p>
        </w:tc>
      </w:tr>
    </w:tbl>
    <w:p w14:paraId="0F5EA3E4" w14:textId="6E1E2F49" w:rsidR="000F264F" w:rsidRPr="004B5573" w:rsidRDefault="000F264F" w:rsidP="009A688B">
      <w:pPr>
        <w:spacing w:before="120"/>
        <w:ind w:left="709"/>
        <w:jc w:val="left"/>
        <w:rPr>
          <w:rFonts w:ascii="Times New Roman" w:hAnsi="Times New Roman" w:cs="Times New Roman"/>
          <w:b/>
          <w:bCs/>
          <w:sz w:val="24"/>
          <w:szCs w:val="24"/>
          <w:lang w:val="en-GB"/>
        </w:rPr>
      </w:pPr>
    </w:p>
    <w:p w14:paraId="1708E946" w14:textId="30DCEFDE" w:rsidR="004B5573" w:rsidRDefault="004B5573" w:rsidP="009A688B">
      <w:pPr>
        <w:spacing w:before="120"/>
        <w:ind w:left="709"/>
        <w:jc w:val="left"/>
        <w:rPr>
          <w:rFonts w:ascii="Times New Roman" w:hAnsi="Times New Roman" w:cs="Times New Roman"/>
          <w:b/>
          <w:bCs/>
          <w:sz w:val="24"/>
          <w:szCs w:val="24"/>
          <w:lang w:val="en-GB"/>
        </w:rPr>
      </w:pPr>
    </w:p>
    <w:p w14:paraId="26EAEC52" w14:textId="77777777" w:rsidR="004B5573" w:rsidRPr="004B5573" w:rsidRDefault="004B5573" w:rsidP="009A688B">
      <w:pPr>
        <w:spacing w:before="120"/>
        <w:ind w:left="709"/>
        <w:jc w:val="left"/>
        <w:rPr>
          <w:rFonts w:ascii="Times New Roman" w:hAnsi="Times New Roman" w:cs="Times New Roman"/>
          <w:b/>
          <w:bCs/>
          <w:sz w:val="24"/>
          <w:szCs w:val="24"/>
          <w:lang w:val="en-GB"/>
        </w:rPr>
      </w:pPr>
    </w:p>
    <w:p w14:paraId="5393A8A4" w14:textId="67407DA3" w:rsidR="00A1538C" w:rsidRPr="007E24F0" w:rsidRDefault="00A1538C" w:rsidP="004B5573">
      <w:pPr>
        <w:shd w:val="clear" w:color="auto" w:fill="A6A6A6" w:themeFill="background1" w:themeFillShade="A6"/>
        <w:spacing w:line="240" w:lineRule="auto"/>
        <w:ind w:left="851"/>
        <w:rPr>
          <w:rStyle w:val="TEXTOGENERALCar"/>
          <w:rFonts w:ascii="Times New Roman" w:hAnsi="Times New Roman" w:cs="Times New Roman"/>
          <w:b/>
          <w:bCs/>
          <w:color w:val="FFFFFF" w:themeColor="background1"/>
          <w:sz w:val="32"/>
          <w:szCs w:val="32"/>
        </w:rPr>
      </w:pPr>
      <w:r w:rsidRPr="007E24F0">
        <w:rPr>
          <w:rStyle w:val="TEXTOGENERALCar"/>
          <w:rFonts w:ascii="Times New Roman" w:hAnsi="Times New Roman" w:cs="Times New Roman"/>
          <w:b/>
          <w:bCs/>
          <w:color w:val="FFFFFF" w:themeColor="background1"/>
          <w:sz w:val="32"/>
          <w:szCs w:val="32"/>
        </w:rPr>
        <w:lastRenderedPageBreak/>
        <w:t>List of tables</w:t>
      </w: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9"/>
      </w:tblGrid>
      <w:tr w:rsidR="00A1538C" w:rsidRPr="007B1B77" w14:paraId="21F52B69" w14:textId="77777777" w:rsidTr="007F2DFC">
        <w:tc>
          <w:tcPr>
            <w:tcW w:w="15628" w:type="dxa"/>
          </w:tcPr>
          <w:p w14:paraId="1E4819F4" w14:textId="40D82156" w:rsidR="00AC3E15" w:rsidRDefault="004B5573">
            <w:pPr>
              <w:pStyle w:val="Tabladeilustraciones"/>
              <w:tabs>
                <w:tab w:val="right" w:leader="dot" w:pos="15628"/>
              </w:tabs>
              <w:rPr>
                <w:rFonts w:asciiTheme="minorHAnsi" w:eastAsiaTheme="minorEastAsia" w:hAnsiTheme="minorHAnsi" w:cstheme="minorBidi"/>
                <w:b w:val="0"/>
                <w:i w:val="0"/>
                <w:iCs w:val="0"/>
                <w:noProof/>
                <w:szCs w:val="22"/>
                <w:lang w:eastAsia="es-ES"/>
              </w:rPr>
            </w:pPr>
            <w:r>
              <w:rPr>
                <w:rFonts w:cs="Times New Roman"/>
                <w:szCs w:val="22"/>
                <w:lang w:val="en-GB"/>
              </w:rPr>
              <w:fldChar w:fldCharType="begin"/>
            </w:r>
            <w:r>
              <w:rPr>
                <w:rFonts w:cs="Times New Roman"/>
                <w:szCs w:val="22"/>
                <w:lang w:val="en-GB"/>
              </w:rPr>
              <w:instrText xml:space="preserve"> TOC \h \z \c "Tabla" </w:instrText>
            </w:r>
            <w:r>
              <w:rPr>
                <w:rFonts w:cs="Times New Roman"/>
                <w:szCs w:val="22"/>
                <w:lang w:val="en-GB"/>
              </w:rPr>
              <w:fldChar w:fldCharType="separate"/>
            </w:r>
            <w:hyperlink w:anchor="_Toc89078647" w:history="1">
              <w:r w:rsidR="00AC3E15" w:rsidRPr="00B35D34">
                <w:rPr>
                  <w:rStyle w:val="Hipervnculo"/>
                  <w:rFonts w:cs="Times New Roman"/>
                  <w:bCs/>
                  <w:noProof/>
                  <w:lang w:val="en-GB"/>
                </w:rPr>
                <w:t>Table (S1).1: Drugs</w:t>
              </w:r>
              <w:r w:rsidR="00AC3E15">
                <w:rPr>
                  <w:noProof/>
                  <w:webHidden/>
                </w:rPr>
                <w:tab/>
              </w:r>
              <w:r w:rsidR="00AC3E15">
                <w:rPr>
                  <w:noProof/>
                  <w:webHidden/>
                </w:rPr>
                <w:fldChar w:fldCharType="begin"/>
              </w:r>
              <w:r w:rsidR="00AC3E15">
                <w:rPr>
                  <w:noProof/>
                  <w:webHidden/>
                </w:rPr>
                <w:instrText xml:space="preserve"> PAGEREF _Toc89078647 \h </w:instrText>
              </w:r>
              <w:r w:rsidR="00AC3E15">
                <w:rPr>
                  <w:noProof/>
                  <w:webHidden/>
                </w:rPr>
              </w:r>
              <w:r w:rsidR="00AC3E15">
                <w:rPr>
                  <w:noProof/>
                  <w:webHidden/>
                </w:rPr>
                <w:fldChar w:fldCharType="separate"/>
              </w:r>
              <w:r w:rsidR="00AC3E15">
                <w:rPr>
                  <w:noProof/>
                  <w:webHidden/>
                </w:rPr>
                <w:t>4</w:t>
              </w:r>
              <w:r w:rsidR="00AC3E15">
                <w:rPr>
                  <w:noProof/>
                  <w:webHidden/>
                </w:rPr>
                <w:fldChar w:fldCharType="end"/>
              </w:r>
            </w:hyperlink>
          </w:p>
          <w:p w14:paraId="4F185F1C" w14:textId="7BAE902D"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48" w:history="1">
              <w:r w:rsidR="00AC3E15" w:rsidRPr="00B35D34">
                <w:rPr>
                  <w:rStyle w:val="Hipervnculo"/>
                  <w:rFonts w:cs="Times New Roman"/>
                  <w:bCs/>
                  <w:noProof/>
                  <w:lang w:val="en-GB"/>
                </w:rPr>
                <w:t>Table (S1).2: Main aspects related to the severity of moderate-to-severe psoriasis</w:t>
              </w:r>
              <w:r w:rsidR="00AC3E15">
                <w:rPr>
                  <w:noProof/>
                  <w:webHidden/>
                </w:rPr>
                <w:tab/>
              </w:r>
              <w:r w:rsidR="00AC3E15">
                <w:rPr>
                  <w:noProof/>
                  <w:webHidden/>
                </w:rPr>
                <w:fldChar w:fldCharType="begin"/>
              </w:r>
              <w:r w:rsidR="00AC3E15">
                <w:rPr>
                  <w:noProof/>
                  <w:webHidden/>
                </w:rPr>
                <w:instrText xml:space="preserve"> PAGEREF _Toc89078648 \h </w:instrText>
              </w:r>
              <w:r w:rsidR="00AC3E15">
                <w:rPr>
                  <w:noProof/>
                  <w:webHidden/>
                </w:rPr>
              </w:r>
              <w:r w:rsidR="00AC3E15">
                <w:rPr>
                  <w:noProof/>
                  <w:webHidden/>
                </w:rPr>
                <w:fldChar w:fldCharType="separate"/>
              </w:r>
              <w:r w:rsidR="00AC3E15">
                <w:rPr>
                  <w:noProof/>
                  <w:webHidden/>
                </w:rPr>
                <w:t>5</w:t>
              </w:r>
              <w:r w:rsidR="00AC3E15">
                <w:rPr>
                  <w:noProof/>
                  <w:webHidden/>
                </w:rPr>
                <w:fldChar w:fldCharType="end"/>
              </w:r>
            </w:hyperlink>
          </w:p>
          <w:p w14:paraId="75059B39" w14:textId="435DF89A"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49" w:history="1">
              <w:r w:rsidR="00AC3E15" w:rsidRPr="00B35D34">
                <w:rPr>
                  <w:rStyle w:val="Hipervnculo"/>
                  <w:rFonts w:cs="Times New Roman"/>
                  <w:bCs/>
                  <w:noProof/>
                  <w:lang w:val="en-GB"/>
                </w:rPr>
                <w:t>Table (S1).3: Level of clearance, PASI, IGA, PGA, % of patients, weeks 12-24</w:t>
              </w:r>
              <w:r w:rsidR="00AC3E15">
                <w:rPr>
                  <w:noProof/>
                  <w:webHidden/>
                </w:rPr>
                <w:tab/>
              </w:r>
              <w:r w:rsidR="00AC3E15">
                <w:rPr>
                  <w:noProof/>
                  <w:webHidden/>
                </w:rPr>
                <w:fldChar w:fldCharType="begin"/>
              </w:r>
              <w:r w:rsidR="00AC3E15">
                <w:rPr>
                  <w:noProof/>
                  <w:webHidden/>
                </w:rPr>
                <w:instrText xml:space="preserve"> PAGEREF _Toc89078649 \h </w:instrText>
              </w:r>
              <w:r w:rsidR="00AC3E15">
                <w:rPr>
                  <w:noProof/>
                  <w:webHidden/>
                </w:rPr>
              </w:r>
              <w:r w:rsidR="00AC3E15">
                <w:rPr>
                  <w:noProof/>
                  <w:webHidden/>
                </w:rPr>
                <w:fldChar w:fldCharType="separate"/>
              </w:r>
              <w:r w:rsidR="00AC3E15">
                <w:rPr>
                  <w:noProof/>
                  <w:webHidden/>
                </w:rPr>
                <w:t>8</w:t>
              </w:r>
              <w:r w:rsidR="00AC3E15">
                <w:rPr>
                  <w:noProof/>
                  <w:webHidden/>
                </w:rPr>
                <w:fldChar w:fldCharType="end"/>
              </w:r>
            </w:hyperlink>
          </w:p>
          <w:p w14:paraId="7320C2AE" w14:textId="3848CF1C"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0" w:history="1">
              <w:r w:rsidR="00AC3E15" w:rsidRPr="00B35D34">
                <w:rPr>
                  <w:rStyle w:val="Hipervnculo"/>
                  <w:rFonts w:cs="Times New Roman"/>
                  <w:bCs/>
                  <w:noProof/>
                  <w:lang w:val="en-GB"/>
                </w:rPr>
                <w:t>Table (S1).4: Level of clearance, % of patients with PASI 75, week 4</w:t>
              </w:r>
              <w:r w:rsidR="00AC3E15">
                <w:rPr>
                  <w:noProof/>
                  <w:webHidden/>
                </w:rPr>
                <w:tab/>
              </w:r>
              <w:r w:rsidR="00AC3E15">
                <w:rPr>
                  <w:noProof/>
                  <w:webHidden/>
                </w:rPr>
                <w:fldChar w:fldCharType="begin"/>
              </w:r>
              <w:r w:rsidR="00AC3E15">
                <w:rPr>
                  <w:noProof/>
                  <w:webHidden/>
                </w:rPr>
                <w:instrText xml:space="preserve"> PAGEREF _Toc89078650 \h </w:instrText>
              </w:r>
              <w:r w:rsidR="00AC3E15">
                <w:rPr>
                  <w:noProof/>
                  <w:webHidden/>
                </w:rPr>
              </w:r>
              <w:r w:rsidR="00AC3E15">
                <w:rPr>
                  <w:noProof/>
                  <w:webHidden/>
                </w:rPr>
                <w:fldChar w:fldCharType="separate"/>
              </w:r>
              <w:r w:rsidR="00AC3E15">
                <w:rPr>
                  <w:noProof/>
                  <w:webHidden/>
                </w:rPr>
                <w:t>9</w:t>
              </w:r>
              <w:r w:rsidR="00AC3E15">
                <w:rPr>
                  <w:noProof/>
                  <w:webHidden/>
                </w:rPr>
                <w:fldChar w:fldCharType="end"/>
              </w:r>
            </w:hyperlink>
          </w:p>
          <w:p w14:paraId="4AD9797B" w14:textId="7226DFF7"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1" w:history="1">
              <w:r w:rsidR="00AC3E15" w:rsidRPr="00B35D34">
                <w:rPr>
                  <w:rStyle w:val="Hipervnculo"/>
                  <w:rFonts w:cs="Times New Roman"/>
                  <w:bCs/>
                  <w:noProof/>
                  <w:lang w:val="en-GB"/>
                </w:rPr>
                <w:t>Table (S1).5: Rapidity ​​of clearance, response time to achieve specified objectives, in weeks</w:t>
              </w:r>
              <w:r w:rsidR="00AC3E15">
                <w:rPr>
                  <w:noProof/>
                  <w:webHidden/>
                </w:rPr>
                <w:tab/>
              </w:r>
              <w:r w:rsidR="00AC3E15">
                <w:rPr>
                  <w:noProof/>
                  <w:webHidden/>
                </w:rPr>
                <w:fldChar w:fldCharType="begin"/>
              </w:r>
              <w:r w:rsidR="00AC3E15">
                <w:rPr>
                  <w:noProof/>
                  <w:webHidden/>
                </w:rPr>
                <w:instrText xml:space="preserve"> PAGEREF _Toc89078651 \h </w:instrText>
              </w:r>
              <w:r w:rsidR="00AC3E15">
                <w:rPr>
                  <w:noProof/>
                  <w:webHidden/>
                </w:rPr>
              </w:r>
              <w:r w:rsidR="00AC3E15">
                <w:rPr>
                  <w:noProof/>
                  <w:webHidden/>
                </w:rPr>
                <w:fldChar w:fldCharType="separate"/>
              </w:r>
              <w:r w:rsidR="00AC3E15">
                <w:rPr>
                  <w:noProof/>
                  <w:webHidden/>
                </w:rPr>
                <w:t>9</w:t>
              </w:r>
              <w:r w:rsidR="00AC3E15">
                <w:rPr>
                  <w:noProof/>
                  <w:webHidden/>
                </w:rPr>
                <w:fldChar w:fldCharType="end"/>
              </w:r>
            </w:hyperlink>
          </w:p>
          <w:p w14:paraId="14164FA9" w14:textId="773AA700"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2" w:history="1">
              <w:r w:rsidR="00AC3E15" w:rsidRPr="00B35D34">
                <w:rPr>
                  <w:rStyle w:val="Hipervnculo"/>
                  <w:rFonts w:cs="Times New Roman"/>
                  <w:bCs/>
                  <w:noProof/>
                  <w:lang w:val="en-GB"/>
                </w:rPr>
                <w:t>Table (S1).6: Persistence of clearance, % of patients, weeks 48-60</w:t>
              </w:r>
              <w:r w:rsidR="00AC3E15">
                <w:rPr>
                  <w:noProof/>
                  <w:webHidden/>
                </w:rPr>
                <w:tab/>
              </w:r>
              <w:r w:rsidR="00AC3E15">
                <w:rPr>
                  <w:noProof/>
                  <w:webHidden/>
                </w:rPr>
                <w:fldChar w:fldCharType="begin"/>
              </w:r>
              <w:r w:rsidR="00AC3E15">
                <w:rPr>
                  <w:noProof/>
                  <w:webHidden/>
                </w:rPr>
                <w:instrText xml:space="preserve"> PAGEREF _Toc89078652 \h </w:instrText>
              </w:r>
              <w:r w:rsidR="00AC3E15">
                <w:rPr>
                  <w:noProof/>
                  <w:webHidden/>
                </w:rPr>
              </w:r>
              <w:r w:rsidR="00AC3E15">
                <w:rPr>
                  <w:noProof/>
                  <w:webHidden/>
                </w:rPr>
                <w:fldChar w:fldCharType="separate"/>
              </w:r>
              <w:r w:rsidR="00AC3E15">
                <w:rPr>
                  <w:noProof/>
                  <w:webHidden/>
                </w:rPr>
                <w:t>10</w:t>
              </w:r>
              <w:r w:rsidR="00AC3E15">
                <w:rPr>
                  <w:noProof/>
                  <w:webHidden/>
                </w:rPr>
                <w:fldChar w:fldCharType="end"/>
              </w:r>
            </w:hyperlink>
          </w:p>
          <w:p w14:paraId="36FAB00E" w14:textId="579E6C08"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3" w:history="1">
              <w:r w:rsidR="00AC3E15" w:rsidRPr="00B35D34">
                <w:rPr>
                  <w:rStyle w:val="Hipervnculo"/>
                  <w:rFonts w:cs="Times New Roman"/>
                  <w:bCs/>
                  <w:noProof/>
                  <w:lang w:val="en-GB"/>
                </w:rPr>
                <w:t>Table (S1).7: Safety / tolerability, % of patients, short term*</w:t>
              </w:r>
              <w:r w:rsidR="00AC3E15">
                <w:rPr>
                  <w:noProof/>
                  <w:webHidden/>
                </w:rPr>
                <w:tab/>
              </w:r>
              <w:r w:rsidR="00AC3E15">
                <w:rPr>
                  <w:noProof/>
                  <w:webHidden/>
                </w:rPr>
                <w:fldChar w:fldCharType="begin"/>
              </w:r>
              <w:r w:rsidR="00AC3E15">
                <w:rPr>
                  <w:noProof/>
                  <w:webHidden/>
                </w:rPr>
                <w:instrText xml:space="preserve"> PAGEREF _Toc89078653 \h </w:instrText>
              </w:r>
              <w:r w:rsidR="00AC3E15">
                <w:rPr>
                  <w:noProof/>
                  <w:webHidden/>
                </w:rPr>
              </w:r>
              <w:r w:rsidR="00AC3E15">
                <w:rPr>
                  <w:noProof/>
                  <w:webHidden/>
                </w:rPr>
                <w:fldChar w:fldCharType="separate"/>
              </w:r>
              <w:r w:rsidR="00AC3E15">
                <w:rPr>
                  <w:noProof/>
                  <w:webHidden/>
                </w:rPr>
                <w:t>11</w:t>
              </w:r>
              <w:r w:rsidR="00AC3E15">
                <w:rPr>
                  <w:noProof/>
                  <w:webHidden/>
                </w:rPr>
                <w:fldChar w:fldCharType="end"/>
              </w:r>
            </w:hyperlink>
          </w:p>
          <w:p w14:paraId="4A40E2A0" w14:textId="1506F978"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4" w:history="1">
              <w:r w:rsidR="00AC3E15" w:rsidRPr="00B35D34">
                <w:rPr>
                  <w:rStyle w:val="Hipervnculo"/>
                  <w:rFonts w:cs="Times New Roman"/>
                  <w:bCs/>
                  <w:noProof/>
                  <w:lang w:val="en-GB"/>
                </w:rPr>
                <w:t>Table (S1).8: Safety / tolerability, % of patients, long term*</w:t>
              </w:r>
              <w:r w:rsidR="00AC3E15">
                <w:rPr>
                  <w:noProof/>
                  <w:webHidden/>
                </w:rPr>
                <w:tab/>
              </w:r>
              <w:r w:rsidR="00AC3E15">
                <w:rPr>
                  <w:noProof/>
                  <w:webHidden/>
                </w:rPr>
                <w:fldChar w:fldCharType="begin"/>
              </w:r>
              <w:r w:rsidR="00AC3E15">
                <w:rPr>
                  <w:noProof/>
                  <w:webHidden/>
                </w:rPr>
                <w:instrText xml:space="preserve"> PAGEREF _Toc89078654 \h </w:instrText>
              </w:r>
              <w:r w:rsidR="00AC3E15">
                <w:rPr>
                  <w:noProof/>
                  <w:webHidden/>
                </w:rPr>
              </w:r>
              <w:r w:rsidR="00AC3E15">
                <w:rPr>
                  <w:noProof/>
                  <w:webHidden/>
                </w:rPr>
                <w:fldChar w:fldCharType="separate"/>
              </w:r>
              <w:r w:rsidR="00AC3E15">
                <w:rPr>
                  <w:noProof/>
                  <w:webHidden/>
                </w:rPr>
                <w:t>12</w:t>
              </w:r>
              <w:r w:rsidR="00AC3E15">
                <w:rPr>
                  <w:noProof/>
                  <w:webHidden/>
                </w:rPr>
                <w:fldChar w:fldCharType="end"/>
              </w:r>
            </w:hyperlink>
          </w:p>
          <w:p w14:paraId="3642F04A" w14:textId="01A6DFCB"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5" w:history="1">
              <w:r w:rsidR="00AC3E15" w:rsidRPr="00B35D34">
                <w:rPr>
                  <w:rStyle w:val="Hipervnculo"/>
                  <w:rFonts w:cs="Times New Roman"/>
                  <w:bCs/>
                  <w:noProof/>
                  <w:lang w:val="en-GB"/>
                </w:rPr>
                <w:t>Table (S1).9: Patient reported outcomes, % of patients, weeks 12-56</w:t>
              </w:r>
              <w:r w:rsidR="00AC3E15">
                <w:rPr>
                  <w:noProof/>
                  <w:webHidden/>
                </w:rPr>
                <w:tab/>
              </w:r>
              <w:r w:rsidR="00AC3E15">
                <w:rPr>
                  <w:noProof/>
                  <w:webHidden/>
                </w:rPr>
                <w:fldChar w:fldCharType="begin"/>
              </w:r>
              <w:r w:rsidR="00AC3E15">
                <w:rPr>
                  <w:noProof/>
                  <w:webHidden/>
                </w:rPr>
                <w:instrText xml:space="preserve"> PAGEREF _Toc89078655 \h </w:instrText>
              </w:r>
              <w:r w:rsidR="00AC3E15">
                <w:rPr>
                  <w:noProof/>
                  <w:webHidden/>
                </w:rPr>
              </w:r>
              <w:r w:rsidR="00AC3E15">
                <w:rPr>
                  <w:noProof/>
                  <w:webHidden/>
                </w:rPr>
                <w:fldChar w:fldCharType="separate"/>
              </w:r>
              <w:r w:rsidR="00AC3E15">
                <w:rPr>
                  <w:noProof/>
                  <w:webHidden/>
                </w:rPr>
                <w:t>13</w:t>
              </w:r>
              <w:r w:rsidR="00AC3E15">
                <w:rPr>
                  <w:noProof/>
                  <w:webHidden/>
                </w:rPr>
                <w:fldChar w:fldCharType="end"/>
              </w:r>
            </w:hyperlink>
          </w:p>
          <w:p w14:paraId="41090A65" w14:textId="0AD36288"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6" w:history="1">
              <w:r w:rsidR="00AC3E15" w:rsidRPr="00B35D34">
                <w:rPr>
                  <w:rStyle w:val="Hipervnculo"/>
                  <w:rFonts w:cs="Times New Roman"/>
                  <w:bCs/>
                  <w:noProof/>
                  <w:lang w:val="en-GB"/>
                </w:rPr>
                <w:t>Table (S1).10: Convenience, number of times the drug is administered per year (in parentheses, number of injections per year), n</w:t>
              </w:r>
              <w:r w:rsidR="00AC3E15">
                <w:rPr>
                  <w:noProof/>
                  <w:webHidden/>
                </w:rPr>
                <w:tab/>
              </w:r>
              <w:r w:rsidR="00AC3E15">
                <w:rPr>
                  <w:noProof/>
                  <w:webHidden/>
                </w:rPr>
                <w:fldChar w:fldCharType="begin"/>
              </w:r>
              <w:r w:rsidR="00AC3E15">
                <w:rPr>
                  <w:noProof/>
                  <w:webHidden/>
                </w:rPr>
                <w:instrText xml:space="preserve"> PAGEREF _Toc89078656 \h </w:instrText>
              </w:r>
              <w:r w:rsidR="00AC3E15">
                <w:rPr>
                  <w:noProof/>
                  <w:webHidden/>
                </w:rPr>
              </w:r>
              <w:r w:rsidR="00AC3E15">
                <w:rPr>
                  <w:noProof/>
                  <w:webHidden/>
                </w:rPr>
                <w:fldChar w:fldCharType="separate"/>
              </w:r>
              <w:r w:rsidR="00AC3E15">
                <w:rPr>
                  <w:noProof/>
                  <w:webHidden/>
                </w:rPr>
                <w:t>14</w:t>
              </w:r>
              <w:r w:rsidR="00AC3E15">
                <w:rPr>
                  <w:noProof/>
                  <w:webHidden/>
                </w:rPr>
                <w:fldChar w:fldCharType="end"/>
              </w:r>
            </w:hyperlink>
          </w:p>
          <w:p w14:paraId="12E0916C" w14:textId="6AFC3352"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7" w:history="1">
              <w:r w:rsidR="00AC3E15" w:rsidRPr="00B35D34">
                <w:rPr>
                  <w:rStyle w:val="Hipervnculo"/>
                  <w:rFonts w:cs="Times New Roman"/>
                  <w:bCs/>
                  <w:noProof/>
                  <w:lang w:val="en-GB"/>
                </w:rPr>
                <w:t>Table (S1).11: Consistency of the effect in patients with psoriasis and psoriatic arthritis, % of patients, weeks 12-24</w:t>
              </w:r>
              <w:r w:rsidR="00AC3E15">
                <w:rPr>
                  <w:noProof/>
                  <w:webHidden/>
                </w:rPr>
                <w:tab/>
              </w:r>
              <w:r w:rsidR="00AC3E15">
                <w:rPr>
                  <w:noProof/>
                  <w:webHidden/>
                </w:rPr>
                <w:fldChar w:fldCharType="begin"/>
              </w:r>
              <w:r w:rsidR="00AC3E15">
                <w:rPr>
                  <w:noProof/>
                  <w:webHidden/>
                </w:rPr>
                <w:instrText xml:space="preserve"> PAGEREF _Toc89078657 \h </w:instrText>
              </w:r>
              <w:r w:rsidR="00AC3E15">
                <w:rPr>
                  <w:noProof/>
                  <w:webHidden/>
                </w:rPr>
              </w:r>
              <w:r w:rsidR="00AC3E15">
                <w:rPr>
                  <w:noProof/>
                  <w:webHidden/>
                </w:rPr>
                <w:fldChar w:fldCharType="separate"/>
              </w:r>
              <w:r w:rsidR="00AC3E15">
                <w:rPr>
                  <w:noProof/>
                  <w:webHidden/>
                </w:rPr>
                <w:t>16</w:t>
              </w:r>
              <w:r w:rsidR="00AC3E15">
                <w:rPr>
                  <w:noProof/>
                  <w:webHidden/>
                </w:rPr>
                <w:fldChar w:fldCharType="end"/>
              </w:r>
            </w:hyperlink>
          </w:p>
          <w:p w14:paraId="4C378FB6" w14:textId="203C6ECA"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8" w:history="1">
              <w:r w:rsidR="00AC3E15" w:rsidRPr="00B35D34">
                <w:rPr>
                  <w:rStyle w:val="Hipervnculo"/>
                  <w:rFonts w:cs="Times New Roman"/>
                  <w:bCs/>
                  <w:noProof/>
                  <w:lang w:val="en-GB"/>
                </w:rPr>
                <w:t>Table (S1).12: Consistency of the effect in patients with psoriasis in different locations, % of patients, weeks 12-24</w:t>
              </w:r>
              <w:r w:rsidR="00AC3E15">
                <w:rPr>
                  <w:noProof/>
                  <w:webHidden/>
                </w:rPr>
                <w:tab/>
              </w:r>
              <w:r w:rsidR="00AC3E15">
                <w:rPr>
                  <w:noProof/>
                  <w:webHidden/>
                </w:rPr>
                <w:fldChar w:fldCharType="begin"/>
              </w:r>
              <w:r w:rsidR="00AC3E15">
                <w:rPr>
                  <w:noProof/>
                  <w:webHidden/>
                </w:rPr>
                <w:instrText xml:space="preserve"> PAGEREF _Toc89078658 \h </w:instrText>
              </w:r>
              <w:r w:rsidR="00AC3E15">
                <w:rPr>
                  <w:noProof/>
                  <w:webHidden/>
                </w:rPr>
              </w:r>
              <w:r w:rsidR="00AC3E15">
                <w:rPr>
                  <w:noProof/>
                  <w:webHidden/>
                </w:rPr>
                <w:fldChar w:fldCharType="separate"/>
              </w:r>
              <w:r w:rsidR="00AC3E15">
                <w:rPr>
                  <w:noProof/>
                  <w:webHidden/>
                </w:rPr>
                <w:t>17</w:t>
              </w:r>
              <w:r w:rsidR="00AC3E15">
                <w:rPr>
                  <w:noProof/>
                  <w:webHidden/>
                </w:rPr>
                <w:fldChar w:fldCharType="end"/>
              </w:r>
            </w:hyperlink>
          </w:p>
          <w:p w14:paraId="0A910ACB" w14:textId="5B7B2ACB" w:rsidR="00AC3E15" w:rsidRDefault="00063939">
            <w:pPr>
              <w:pStyle w:val="Tabladeilustraciones"/>
              <w:tabs>
                <w:tab w:val="right" w:leader="dot" w:pos="15628"/>
              </w:tabs>
              <w:rPr>
                <w:rFonts w:asciiTheme="minorHAnsi" w:eastAsiaTheme="minorEastAsia" w:hAnsiTheme="minorHAnsi" w:cstheme="minorBidi"/>
                <w:b w:val="0"/>
                <w:i w:val="0"/>
                <w:iCs w:val="0"/>
                <w:noProof/>
                <w:szCs w:val="22"/>
                <w:lang w:eastAsia="es-ES"/>
              </w:rPr>
            </w:pPr>
            <w:hyperlink w:anchor="_Toc89078659" w:history="1">
              <w:r w:rsidR="00AC3E15" w:rsidRPr="00B35D34">
                <w:rPr>
                  <w:rStyle w:val="Hipervnculo"/>
                  <w:rFonts w:cs="Times New Roman"/>
                  <w:bCs/>
                  <w:noProof/>
                  <w:lang w:val="en-GB"/>
                </w:rPr>
                <w:t>Table (S1).13: Annual cost of intervention (drug acquisition cost per patient, PVL)</w:t>
              </w:r>
              <w:r w:rsidR="00AC3E15">
                <w:rPr>
                  <w:noProof/>
                  <w:webHidden/>
                </w:rPr>
                <w:tab/>
              </w:r>
              <w:r w:rsidR="00AC3E15">
                <w:rPr>
                  <w:noProof/>
                  <w:webHidden/>
                </w:rPr>
                <w:fldChar w:fldCharType="begin"/>
              </w:r>
              <w:r w:rsidR="00AC3E15">
                <w:rPr>
                  <w:noProof/>
                  <w:webHidden/>
                </w:rPr>
                <w:instrText xml:space="preserve"> PAGEREF _Toc89078659 \h </w:instrText>
              </w:r>
              <w:r w:rsidR="00AC3E15">
                <w:rPr>
                  <w:noProof/>
                  <w:webHidden/>
                </w:rPr>
              </w:r>
              <w:r w:rsidR="00AC3E15">
                <w:rPr>
                  <w:noProof/>
                  <w:webHidden/>
                </w:rPr>
                <w:fldChar w:fldCharType="separate"/>
              </w:r>
              <w:r w:rsidR="00AC3E15">
                <w:rPr>
                  <w:noProof/>
                  <w:webHidden/>
                </w:rPr>
                <w:t>18</w:t>
              </w:r>
              <w:r w:rsidR="00AC3E15">
                <w:rPr>
                  <w:noProof/>
                  <w:webHidden/>
                </w:rPr>
                <w:fldChar w:fldCharType="end"/>
              </w:r>
            </w:hyperlink>
          </w:p>
          <w:p w14:paraId="1483DE55" w14:textId="7957C0C5" w:rsidR="00A1538C" w:rsidRPr="007B1B77" w:rsidRDefault="004B5573" w:rsidP="004B5573">
            <w:pPr>
              <w:pStyle w:val="Tabladeilustraciones"/>
              <w:tabs>
                <w:tab w:val="right" w:leader="dot" w:pos="15628"/>
              </w:tabs>
              <w:rPr>
                <w:rFonts w:cs="Times New Roman"/>
                <w:szCs w:val="22"/>
                <w:lang w:val="en-GB"/>
              </w:rPr>
            </w:pPr>
            <w:r>
              <w:rPr>
                <w:rFonts w:cs="Times New Roman"/>
                <w:szCs w:val="22"/>
                <w:lang w:val="en-GB"/>
              </w:rPr>
              <w:fldChar w:fldCharType="end"/>
            </w:r>
          </w:p>
        </w:tc>
      </w:tr>
    </w:tbl>
    <w:p w14:paraId="3020CCC1" w14:textId="5CD72A26" w:rsidR="00A1538C" w:rsidRDefault="00A1538C" w:rsidP="00A1538C">
      <w:pPr>
        <w:ind w:left="709"/>
        <w:rPr>
          <w:lang w:val="en-GB"/>
        </w:rPr>
      </w:pPr>
    </w:p>
    <w:p w14:paraId="4578D5E3" w14:textId="47B23663" w:rsidR="007F2DFC" w:rsidRDefault="007F2DFC" w:rsidP="00A1538C">
      <w:pPr>
        <w:ind w:left="709"/>
        <w:rPr>
          <w:lang w:val="en-GB"/>
        </w:rPr>
      </w:pPr>
    </w:p>
    <w:p w14:paraId="1ADD5466" w14:textId="37FB9E21" w:rsidR="007F2DFC" w:rsidRDefault="007F2DFC" w:rsidP="00A1538C">
      <w:pPr>
        <w:ind w:left="709"/>
        <w:rPr>
          <w:lang w:val="en-GB"/>
        </w:rPr>
      </w:pPr>
    </w:p>
    <w:p w14:paraId="4AEE1FFE" w14:textId="2C4E4278" w:rsidR="007F2DFC" w:rsidRDefault="007F2DFC" w:rsidP="00A1538C">
      <w:pPr>
        <w:ind w:left="709"/>
        <w:rPr>
          <w:lang w:val="en-GB"/>
        </w:rPr>
      </w:pPr>
    </w:p>
    <w:p w14:paraId="5158BE59" w14:textId="548B447B" w:rsidR="007F2DFC" w:rsidRDefault="007F2DFC" w:rsidP="00A1538C">
      <w:pPr>
        <w:ind w:left="709"/>
        <w:rPr>
          <w:lang w:val="en-GB"/>
        </w:rPr>
      </w:pPr>
    </w:p>
    <w:p w14:paraId="026F6F39" w14:textId="58691D3E" w:rsidR="009365B9" w:rsidRPr="009B3EB0" w:rsidRDefault="00485DA3" w:rsidP="004B5573">
      <w:pPr>
        <w:shd w:val="clear" w:color="auto" w:fill="A6A6A6" w:themeFill="background1" w:themeFillShade="A6"/>
        <w:spacing w:line="240" w:lineRule="auto"/>
        <w:ind w:left="709"/>
        <w:rPr>
          <w:rStyle w:val="TEXTOGENERALCar"/>
          <w:rFonts w:ascii="Times New Roman" w:hAnsi="Times New Roman" w:cs="Times New Roman"/>
          <w:b/>
          <w:bCs/>
          <w:color w:val="FFFFFF" w:themeColor="background1"/>
          <w:sz w:val="32"/>
          <w:szCs w:val="32"/>
          <w:lang w:val="en-GB"/>
        </w:rPr>
      </w:pPr>
      <w:r w:rsidRPr="009B3EB0">
        <w:rPr>
          <w:rStyle w:val="TEXTOGENERALCar"/>
          <w:rFonts w:ascii="Times New Roman" w:hAnsi="Times New Roman" w:cs="Times New Roman"/>
          <w:b/>
          <w:bCs/>
          <w:color w:val="FFFFFF" w:themeColor="background1"/>
          <w:sz w:val="32"/>
          <w:szCs w:val="32"/>
          <w:lang w:val="en-GB"/>
        </w:rPr>
        <w:lastRenderedPageBreak/>
        <w:t>Introduction</w:t>
      </w:r>
    </w:p>
    <w:p w14:paraId="080A9C0D" w14:textId="5E3B3FA4" w:rsidR="00C54169" w:rsidRPr="004722FF" w:rsidRDefault="00C54169" w:rsidP="00B10DD1">
      <w:pPr>
        <w:spacing w:before="120"/>
        <w:ind w:left="700"/>
        <w:rPr>
          <w:rFonts w:ascii="Times New Roman" w:hAnsi="Times New Roman" w:cs="Times New Roman"/>
          <w:lang w:val="en-GB"/>
        </w:rPr>
      </w:pPr>
      <w:r w:rsidRPr="004722FF">
        <w:rPr>
          <w:rFonts w:ascii="Times New Roman" w:hAnsi="Times New Roman" w:cs="Times New Roman"/>
          <w:lang w:val="en-GB"/>
        </w:rPr>
        <w:t xml:space="preserve">There are multiple biological </w:t>
      </w:r>
      <w:r w:rsidR="002507CE">
        <w:rPr>
          <w:rFonts w:ascii="Times New Roman" w:hAnsi="Times New Roman" w:cs="Times New Roman"/>
          <w:lang w:val="en-GB"/>
        </w:rPr>
        <w:t>drugs</w:t>
      </w:r>
      <w:r w:rsidRPr="004722FF">
        <w:rPr>
          <w:rFonts w:ascii="Times New Roman" w:hAnsi="Times New Roman" w:cs="Times New Roman"/>
          <w:lang w:val="en-GB"/>
        </w:rPr>
        <w:t>, with different mechanisms of action, to treat moderate-</w:t>
      </w:r>
      <w:r w:rsidR="002507CE">
        <w:rPr>
          <w:rFonts w:ascii="Times New Roman" w:hAnsi="Times New Roman" w:cs="Times New Roman"/>
          <w:lang w:val="en-GB"/>
        </w:rPr>
        <w:t>to-</w:t>
      </w:r>
      <w:r w:rsidRPr="004722FF">
        <w:rPr>
          <w:rFonts w:ascii="Times New Roman" w:hAnsi="Times New Roman" w:cs="Times New Roman"/>
          <w:lang w:val="en-GB"/>
        </w:rPr>
        <w:t xml:space="preserve">severe psoriasis. </w:t>
      </w:r>
      <w:r w:rsidR="002507CE">
        <w:rPr>
          <w:rFonts w:ascii="Times New Roman" w:hAnsi="Times New Roman" w:cs="Times New Roman"/>
          <w:lang w:val="en-GB"/>
        </w:rPr>
        <w:t xml:space="preserve">For the realisation of this MCDA, </w:t>
      </w:r>
      <w:r w:rsidRPr="004722FF">
        <w:rPr>
          <w:rFonts w:ascii="Times New Roman" w:hAnsi="Times New Roman" w:cs="Times New Roman"/>
          <w:lang w:val="en-GB"/>
        </w:rPr>
        <w:t>in order to avoid excessive complexity of the exercise, we have selected</w:t>
      </w:r>
      <w:r w:rsidR="002507CE">
        <w:rPr>
          <w:rFonts w:ascii="Times New Roman" w:hAnsi="Times New Roman" w:cs="Times New Roman"/>
          <w:lang w:val="en-GB"/>
        </w:rPr>
        <w:t xml:space="preserve"> the comparators of bimekizumab based on the inclusion of at least</w:t>
      </w:r>
      <w:r w:rsidRPr="004722FF">
        <w:rPr>
          <w:rFonts w:ascii="Times New Roman" w:hAnsi="Times New Roman" w:cs="Times New Roman"/>
          <w:lang w:val="en-GB"/>
        </w:rPr>
        <w:t xml:space="preserve"> </w:t>
      </w:r>
      <w:r w:rsidR="002507CE">
        <w:rPr>
          <w:rFonts w:ascii="Times New Roman" w:hAnsi="Times New Roman" w:cs="Times New Roman"/>
          <w:lang w:val="en-GB"/>
        </w:rPr>
        <w:t xml:space="preserve">one </w:t>
      </w:r>
      <w:r w:rsidRPr="004722FF">
        <w:rPr>
          <w:rFonts w:ascii="Times New Roman" w:hAnsi="Times New Roman" w:cs="Times New Roman"/>
          <w:lang w:val="en-GB"/>
        </w:rPr>
        <w:t>treatment representative of each type of mechanism of action (prioriti</w:t>
      </w:r>
      <w:r w:rsidR="00B10DD1">
        <w:rPr>
          <w:rFonts w:ascii="Times New Roman" w:hAnsi="Times New Roman" w:cs="Times New Roman"/>
          <w:lang w:val="en-GB"/>
        </w:rPr>
        <w:t>s</w:t>
      </w:r>
      <w:r w:rsidRPr="004722FF">
        <w:rPr>
          <w:rFonts w:ascii="Times New Roman" w:hAnsi="Times New Roman" w:cs="Times New Roman"/>
          <w:lang w:val="en-GB"/>
        </w:rPr>
        <w:t xml:space="preserve">ing those that have head-to-head trials with bimekizumab, except for the IL-17A, for which we will use two alternative comparators). Therefore, biological </w:t>
      </w:r>
      <w:r w:rsidR="002507CE">
        <w:rPr>
          <w:rFonts w:ascii="Times New Roman" w:hAnsi="Times New Roman" w:cs="Times New Roman"/>
          <w:lang w:val="en-GB"/>
        </w:rPr>
        <w:t>drugs</w:t>
      </w:r>
      <w:r w:rsidRPr="004722FF">
        <w:rPr>
          <w:rFonts w:ascii="Times New Roman" w:hAnsi="Times New Roman" w:cs="Times New Roman"/>
          <w:lang w:val="en-GB"/>
        </w:rPr>
        <w:t xml:space="preserve"> such as guselkumab, brodalumab, tildrakizumab, certolizumab, infliximab and etanercept, as well as conventional systemic </w:t>
      </w:r>
      <w:r w:rsidR="008846A4">
        <w:rPr>
          <w:rFonts w:ascii="Times New Roman" w:hAnsi="Times New Roman" w:cs="Times New Roman"/>
          <w:lang w:val="en-GB"/>
        </w:rPr>
        <w:t>therapies</w:t>
      </w:r>
      <w:r w:rsidRPr="004722FF">
        <w:rPr>
          <w:rFonts w:ascii="Times New Roman" w:hAnsi="Times New Roman" w:cs="Times New Roman"/>
          <w:lang w:val="en-GB"/>
        </w:rPr>
        <w:t>, are excluded from this exercise.</w:t>
      </w:r>
    </w:p>
    <w:p w14:paraId="1A115700" w14:textId="7F9E10DB" w:rsidR="001B4767" w:rsidRPr="008846A4" w:rsidRDefault="001B4767" w:rsidP="00B10DD1">
      <w:pPr>
        <w:pStyle w:val="TITULOTABLASYFIGURAS"/>
        <w:spacing w:before="360"/>
        <w:ind w:left="709"/>
        <w:rPr>
          <w:rFonts w:ascii="Times New Roman" w:hAnsi="Times New Roman" w:cs="Times New Roman"/>
          <w:b/>
          <w:bCs/>
          <w:smallCaps w:val="0"/>
          <w:color w:val="auto"/>
          <w:sz w:val="22"/>
          <w:szCs w:val="56"/>
          <w:lang w:val="en-GB"/>
        </w:rPr>
      </w:pPr>
      <w:bookmarkStart w:id="7" w:name="_Toc89078647"/>
      <w:r w:rsidRPr="008846A4">
        <w:rPr>
          <w:rFonts w:ascii="Times New Roman" w:hAnsi="Times New Roman" w:cs="Times New Roman"/>
          <w:b/>
          <w:bCs/>
          <w:smallCaps w:val="0"/>
          <w:color w:val="auto"/>
          <w:sz w:val="22"/>
          <w:szCs w:val="56"/>
          <w:lang w:val="en-GB"/>
        </w:rPr>
        <w:t xml:space="preserve">Table </w:t>
      </w:r>
      <w:r w:rsidR="00C450BC">
        <w:rPr>
          <w:rFonts w:ascii="Times New Roman" w:hAnsi="Times New Roman" w:cs="Times New Roman"/>
          <w:b/>
          <w:bCs/>
          <w:smallCaps w:val="0"/>
          <w:color w:val="auto"/>
          <w:sz w:val="22"/>
          <w:szCs w:val="56"/>
          <w:lang w:val="en-GB"/>
        </w:rPr>
        <w:t>(S1).</w:t>
      </w:r>
      <w:r w:rsidRPr="008846A4">
        <w:rPr>
          <w:rFonts w:ascii="Times New Roman" w:hAnsi="Times New Roman" w:cs="Times New Roman"/>
          <w:b/>
          <w:bCs/>
          <w:smallCaps w:val="0"/>
          <w:color w:val="auto"/>
          <w:sz w:val="22"/>
          <w:szCs w:val="56"/>
          <w:lang w:val="en-GB"/>
        </w:rPr>
        <w:fldChar w:fldCharType="begin"/>
      </w:r>
      <w:r w:rsidRPr="008846A4">
        <w:rPr>
          <w:rFonts w:ascii="Times New Roman" w:hAnsi="Times New Roman" w:cs="Times New Roman"/>
          <w:b/>
          <w:bCs/>
          <w:smallCaps w:val="0"/>
          <w:color w:val="auto"/>
          <w:sz w:val="22"/>
          <w:szCs w:val="56"/>
          <w:lang w:val="en-GB"/>
        </w:rPr>
        <w:instrText xml:space="preserve"> SEQ Tabla \* ARABIC </w:instrText>
      </w:r>
      <w:r w:rsidRPr="008846A4">
        <w:rPr>
          <w:rFonts w:ascii="Times New Roman" w:hAnsi="Times New Roman" w:cs="Times New Roman"/>
          <w:b/>
          <w:bCs/>
          <w:smallCaps w:val="0"/>
          <w:color w:val="auto"/>
          <w:sz w:val="22"/>
          <w:szCs w:val="56"/>
          <w:lang w:val="en-GB"/>
        </w:rPr>
        <w:fldChar w:fldCharType="separate"/>
      </w:r>
      <w:r w:rsidR="00A35209" w:rsidRPr="008846A4">
        <w:rPr>
          <w:rFonts w:ascii="Times New Roman" w:hAnsi="Times New Roman" w:cs="Times New Roman"/>
          <w:b/>
          <w:bCs/>
          <w:smallCaps w:val="0"/>
          <w:noProof/>
          <w:color w:val="auto"/>
          <w:sz w:val="22"/>
          <w:szCs w:val="56"/>
          <w:lang w:val="en-GB"/>
        </w:rPr>
        <w:t>1</w:t>
      </w:r>
      <w:r w:rsidRPr="008846A4">
        <w:rPr>
          <w:rFonts w:ascii="Times New Roman" w:hAnsi="Times New Roman" w:cs="Times New Roman"/>
          <w:b/>
          <w:bCs/>
          <w:smallCaps w:val="0"/>
          <w:color w:val="auto"/>
          <w:sz w:val="22"/>
          <w:szCs w:val="56"/>
          <w:lang w:val="en-GB"/>
        </w:rPr>
        <w:fldChar w:fldCharType="end"/>
      </w:r>
      <w:r w:rsidRPr="008846A4">
        <w:rPr>
          <w:rFonts w:ascii="Times New Roman" w:hAnsi="Times New Roman" w:cs="Times New Roman"/>
          <w:b/>
          <w:bCs/>
          <w:smallCaps w:val="0"/>
          <w:color w:val="auto"/>
          <w:sz w:val="22"/>
          <w:szCs w:val="56"/>
          <w:lang w:val="en-GB"/>
        </w:rPr>
        <w:t>: Drugs</w:t>
      </w:r>
      <w:bookmarkEnd w:id="7"/>
      <w:r w:rsidRPr="008846A4">
        <w:rPr>
          <w:rFonts w:ascii="Times New Roman" w:hAnsi="Times New Roman" w:cs="Times New Roman"/>
          <w:b/>
          <w:bCs/>
          <w:smallCaps w:val="0"/>
          <w:color w:val="auto"/>
          <w:sz w:val="22"/>
          <w:szCs w:val="56"/>
          <w:lang w:val="en-GB"/>
        </w:rPr>
        <w:t xml:space="preserve"> </w:t>
      </w:r>
    </w:p>
    <w:tbl>
      <w:tblPr>
        <w:tblStyle w:val="Tabladelista3"/>
        <w:tblW w:w="14852" w:type="dxa"/>
        <w:tblInd w:w="751" w:type="dxa"/>
        <w:tblLook w:val="00A0" w:firstRow="1" w:lastRow="0" w:firstColumn="1" w:lastColumn="0" w:noHBand="0" w:noVBand="0"/>
      </w:tblPr>
      <w:tblGrid>
        <w:gridCol w:w="2814"/>
        <w:gridCol w:w="1669"/>
        <w:gridCol w:w="1613"/>
        <w:gridCol w:w="2098"/>
        <w:gridCol w:w="1665"/>
        <w:gridCol w:w="1668"/>
        <w:gridCol w:w="1650"/>
        <w:gridCol w:w="1675"/>
      </w:tblGrid>
      <w:tr w:rsidR="004722FF" w:rsidRPr="008846A4" w14:paraId="07F3E9E1" w14:textId="77777777" w:rsidTr="008846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42" w:type="dxa"/>
          </w:tcPr>
          <w:p w14:paraId="7B936456" w14:textId="1A2E5A95" w:rsidR="001B4767" w:rsidRPr="008846A4" w:rsidRDefault="001B4767" w:rsidP="00677C01">
            <w:pPr>
              <w:spacing w:before="0" w:after="0" w:line="240" w:lineRule="auto"/>
              <w:jc w:val="left"/>
              <w:rPr>
                <w:rFonts w:ascii="Times New Roman" w:hAnsi="Times New Roman" w:cs="Times New Roman"/>
                <w:color w:val="auto"/>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701" w:type="dxa"/>
          </w:tcPr>
          <w:p w14:paraId="607D43CE" w14:textId="77777777" w:rsidR="00562595" w:rsidRPr="008846A4" w:rsidRDefault="00562595"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Bimekizumab</w:t>
            </w:r>
          </w:p>
          <w:p w14:paraId="409F2CBF" w14:textId="77777777" w:rsidR="001B4767" w:rsidRPr="008846A4" w:rsidRDefault="00562595"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(BKZ)</w:t>
            </w:r>
          </w:p>
        </w:tc>
        <w:tc>
          <w:tcPr>
            <w:tcW w:w="1701" w:type="dxa"/>
          </w:tcPr>
          <w:p w14:paraId="35847F58" w14:textId="77777777" w:rsidR="008F027F"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Placebo</w:t>
            </w:r>
          </w:p>
          <w:p w14:paraId="37161249" w14:textId="77777777" w:rsidR="001B4767"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702" w:type="dxa"/>
          </w:tcPr>
          <w:p w14:paraId="64C840A7" w14:textId="77777777" w:rsidR="008F027F" w:rsidRPr="008846A4" w:rsidRDefault="008F027F"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 xml:space="preserve">Adalimumab </w:t>
            </w:r>
          </w:p>
          <w:p w14:paraId="7165211B" w14:textId="77777777" w:rsidR="001B4767" w:rsidRPr="008846A4" w:rsidRDefault="008F027F"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(ADA)</w:t>
            </w:r>
          </w:p>
        </w:tc>
        <w:tc>
          <w:tcPr>
            <w:tcW w:w="1701" w:type="dxa"/>
          </w:tcPr>
          <w:p w14:paraId="4FB3EBDD" w14:textId="77777777" w:rsidR="008F027F"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Ustekinumab</w:t>
            </w:r>
          </w:p>
          <w:p w14:paraId="446C5C38" w14:textId="77777777" w:rsidR="001B4767"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702" w:type="dxa"/>
          </w:tcPr>
          <w:p w14:paraId="0C1AAF82" w14:textId="77777777" w:rsidR="008F027F" w:rsidRPr="008846A4" w:rsidRDefault="008F027F"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 xml:space="preserve">Secukinumab </w:t>
            </w:r>
          </w:p>
          <w:p w14:paraId="76CBB590" w14:textId="77777777" w:rsidR="001B4767" w:rsidRPr="008846A4" w:rsidRDefault="008F027F"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(SEC)</w:t>
            </w:r>
          </w:p>
        </w:tc>
        <w:tc>
          <w:tcPr>
            <w:tcW w:w="1701" w:type="dxa"/>
          </w:tcPr>
          <w:p w14:paraId="00013D04" w14:textId="77777777" w:rsidR="008F027F"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Ixekizumab</w:t>
            </w:r>
          </w:p>
          <w:p w14:paraId="4A8E84EA" w14:textId="77777777" w:rsidR="001B4767" w:rsidRPr="008846A4" w:rsidRDefault="008F027F"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702" w:type="dxa"/>
          </w:tcPr>
          <w:p w14:paraId="588DE345" w14:textId="77777777" w:rsidR="008F027F" w:rsidRPr="008846A4" w:rsidRDefault="008F027F"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Risankizumab</w:t>
            </w:r>
          </w:p>
          <w:p w14:paraId="5654A2BC" w14:textId="77777777" w:rsidR="001B4767" w:rsidRPr="008846A4" w:rsidRDefault="00980135" w:rsidP="00677C01">
            <w:pPr>
              <w:spacing w:before="0" w:after="0" w:line="240" w:lineRule="auto"/>
              <w:jc w:val="center"/>
              <w:rPr>
                <w:rFonts w:ascii="Times New Roman" w:hAnsi="Times New Roman" w:cs="Times New Roman"/>
                <w:b w:val="0"/>
                <w:bCs w:val="0"/>
                <w:color w:val="auto"/>
                <w:sz w:val="20"/>
                <w:szCs w:val="20"/>
                <w:lang w:val="en-GB"/>
              </w:rPr>
            </w:pPr>
            <w:r w:rsidRPr="008846A4">
              <w:rPr>
                <w:rFonts w:ascii="Times New Roman" w:hAnsi="Times New Roman" w:cs="Times New Roman"/>
                <w:color w:val="auto"/>
                <w:sz w:val="20"/>
                <w:szCs w:val="20"/>
                <w:lang w:val="en-GB"/>
              </w:rPr>
              <w:t>(RIS)</w:t>
            </w:r>
          </w:p>
        </w:tc>
      </w:tr>
      <w:tr w:rsidR="004722FF" w:rsidRPr="008846A4" w14:paraId="0E320AA0" w14:textId="77777777" w:rsidTr="008846A4">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vAlign w:val="center"/>
          </w:tcPr>
          <w:p w14:paraId="7BD378C5" w14:textId="77777777" w:rsidR="001B4767" w:rsidRPr="008846A4" w:rsidRDefault="001B4767" w:rsidP="001B4767">
            <w:pPr>
              <w:spacing w:before="0" w:after="0" w:line="240" w:lineRule="auto"/>
              <w:jc w:val="left"/>
              <w:rPr>
                <w:rFonts w:ascii="Times New Roman" w:hAnsi="Times New Roman" w:cs="Times New Roman"/>
                <w:b w:val="0"/>
                <w:bCs w:val="0"/>
                <w:sz w:val="20"/>
                <w:szCs w:val="20"/>
                <w:lang w:val="en-GB"/>
              </w:rPr>
            </w:pPr>
            <w:r w:rsidRPr="008846A4">
              <w:rPr>
                <w:rFonts w:ascii="Times New Roman" w:hAnsi="Times New Roman" w:cs="Times New Roman"/>
                <w:b w:val="0"/>
                <w:bCs w:val="0"/>
                <w:sz w:val="20"/>
                <w:szCs w:val="20"/>
                <w:lang w:val="en-GB"/>
              </w:rPr>
              <w:t>Drug type</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7ACD0D0E"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IL-17A / IL-17F</w:t>
            </w:r>
          </w:p>
        </w:tc>
        <w:tc>
          <w:tcPr>
            <w:tcW w:w="0" w:type="auto"/>
            <w:vAlign w:val="center"/>
          </w:tcPr>
          <w:p w14:paraId="277ADD14"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2F802002"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TNFα</w:t>
            </w:r>
          </w:p>
        </w:tc>
        <w:tc>
          <w:tcPr>
            <w:tcW w:w="0" w:type="auto"/>
            <w:vAlign w:val="center"/>
          </w:tcPr>
          <w:p w14:paraId="6158BB1A"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IL-12 / IL-23</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240EAE23"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IL-17A</w:t>
            </w:r>
          </w:p>
        </w:tc>
        <w:tc>
          <w:tcPr>
            <w:tcW w:w="0" w:type="auto"/>
            <w:vAlign w:val="center"/>
          </w:tcPr>
          <w:p w14:paraId="623B3873"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IL-17A</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14F17569"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IL-23</w:t>
            </w:r>
          </w:p>
        </w:tc>
      </w:tr>
      <w:tr w:rsidR="004722FF" w:rsidRPr="008846A4" w14:paraId="5BC8A643" w14:textId="77777777" w:rsidTr="008846A4">
        <w:trPr>
          <w:trHeight w:val="567"/>
        </w:trPr>
        <w:tc>
          <w:tcPr>
            <w:cnfStyle w:val="001000000000" w:firstRow="0" w:lastRow="0" w:firstColumn="1" w:lastColumn="0" w:oddVBand="0" w:evenVBand="0" w:oddHBand="0" w:evenHBand="0" w:firstRowFirstColumn="0" w:firstRowLastColumn="0" w:lastRowFirstColumn="0" w:lastRowLastColumn="0"/>
            <w:tcW w:w="0" w:type="auto"/>
            <w:vAlign w:val="center"/>
          </w:tcPr>
          <w:p w14:paraId="30CE488F" w14:textId="5A602007" w:rsidR="001B4767" w:rsidRPr="008846A4" w:rsidRDefault="008846A4" w:rsidP="001B4767">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Marketing authorisation</w:t>
            </w:r>
            <w:r w:rsidR="001B4767" w:rsidRPr="008846A4">
              <w:rPr>
                <w:rFonts w:ascii="Times New Roman" w:hAnsi="Times New Roman" w:cs="Times New Roman"/>
                <w:b w:val="0"/>
                <w:bCs w:val="0"/>
                <w:sz w:val="20"/>
                <w:szCs w:val="20"/>
                <w:lang w:val="en-GB"/>
              </w:rPr>
              <w:t xml:space="preserve"> </w:t>
            </w:r>
            <w:r>
              <w:rPr>
                <w:rFonts w:ascii="Times New Roman" w:hAnsi="Times New Roman" w:cs="Times New Roman"/>
                <w:b w:val="0"/>
                <w:bCs w:val="0"/>
                <w:sz w:val="20"/>
                <w:szCs w:val="20"/>
                <w:lang w:val="en-GB"/>
              </w:rPr>
              <w:t xml:space="preserve">by </w:t>
            </w:r>
            <w:r w:rsidR="001B4767" w:rsidRPr="008846A4">
              <w:rPr>
                <w:rFonts w:ascii="Times New Roman" w:hAnsi="Times New Roman" w:cs="Times New Roman"/>
                <w:b w:val="0"/>
                <w:bCs w:val="0"/>
                <w:sz w:val="20"/>
                <w:szCs w:val="20"/>
                <w:lang w:val="en-GB"/>
              </w:rPr>
              <w:t xml:space="preserve">EMA </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74C264C5" w14:textId="55F0EC92" w:rsidR="001B4767" w:rsidRPr="008846A4" w:rsidRDefault="008846A4" w:rsidP="001B4767">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Yes</w:t>
            </w:r>
          </w:p>
        </w:tc>
        <w:tc>
          <w:tcPr>
            <w:tcW w:w="0" w:type="auto"/>
            <w:vAlign w:val="center"/>
          </w:tcPr>
          <w:p w14:paraId="60A0DD10" w14:textId="77777777" w:rsidR="001B4767" w:rsidRPr="008846A4" w:rsidRDefault="001B4767" w:rsidP="001B47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164DA6A0"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Yes</w:t>
            </w:r>
          </w:p>
        </w:tc>
        <w:tc>
          <w:tcPr>
            <w:tcW w:w="0" w:type="auto"/>
            <w:vAlign w:val="center"/>
          </w:tcPr>
          <w:p w14:paraId="3BFE0C9C" w14:textId="77777777" w:rsidR="001B4767" w:rsidRPr="008846A4" w:rsidRDefault="001B4767" w:rsidP="001B47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1C369743"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Yes</w:t>
            </w:r>
          </w:p>
        </w:tc>
        <w:tc>
          <w:tcPr>
            <w:tcW w:w="0" w:type="auto"/>
            <w:vAlign w:val="center"/>
          </w:tcPr>
          <w:p w14:paraId="7555AFF7" w14:textId="77777777" w:rsidR="001B4767" w:rsidRPr="008846A4" w:rsidRDefault="001B4767" w:rsidP="001B47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734C93A2"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Yes</w:t>
            </w:r>
          </w:p>
        </w:tc>
      </w:tr>
      <w:tr w:rsidR="004722FF" w:rsidRPr="008846A4" w14:paraId="509F75DE" w14:textId="77777777" w:rsidTr="008846A4">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vAlign w:val="center"/>
          </w:tcPr>
          <w:p w14:paraId="3B9F2E48" w14:textId="28E5F7AE" w:rsidR="001B4767" w:rsidRPr="008846A4" w:rsidRDefault="008846A4" w:rsidP="001B4767">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 xml:space="preserve">Commercialisation </w:t>
            </w:r>
            <w:r w:rsidR="001B4767" w:rsidRPr="008846A4">
              <w:rPr>
                <w:rFonts w:ascii="Times New Roman" w:hAnsi="Times New Roman" w:cs="Times New Roman"/>
                <w:b w:val="0"/>
                <w:bCs w:val="0"/>
                <w:sz w:val="20"/>
                <w:szCs w:val="20"/>
                <w:lang w:val="en-GB"/>
              </w:rPr>
              <w:t>in Spain</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64BF671B"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No</w:t>
            </w:r>
          </w:p>
        </w:tc>
        <w:tc>
          <w:tcPr>
            <w:tcW w:w="0" w:type="auto"/>
            <w:vAlign w:val="center"/>
          </w:tcPr>
          <w:p w14:paraId="1DE366AE"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37E6DBF5"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2004, 2018 (biosimilars)</w:t>
            </w:r>
          </w:p>
        </w:tc>
        <w:tc>
          <w:tcPr>
            <w:tcW w:w="0" w:type="auto"/>
            <w:vAlign w:val="center"/>
          </w:tcPr>
          <w:p w14:paraId="2E910911"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2010</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0D159A76" w14:textId="0A1B3729"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2015</w:t>
            </w:r>
          </w:p>
        </w:tc>
        <w:tc>
          <w:tcPr>
            <w:tcW w:w="0" w:type="auto"/>
            <w:vAlign w:val="center"/>
          </w:tcPr>
          <w:p w14:paraId="10D346B6" w14:textId="77777777" w:rsidR="001B4767" w:rsidRPr="008846A4" w:rsidRDefault="001B4767" w:rsidP="001B47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8846A4">
              <w:rPr>
                <w:rFonts w:ascii="Times New Roman" w:hAnsi="Times New Roman" w:cs="Times New Roman"/>
                <w:sz w:val="20"/>
                <w:szCs w:val="20"/>
                <w:lang w:val="en-GB"/>
              </w:rPr>
              <w:t>2016</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144C5D2E" w14:textId="77777777" w:rsidR="001B4767" w:rsidRPr="008846A4" w:rsidRDefault="001B4767" w:rsidP="001B4767">
            <w:pPr>
              <w:spacing w:before="0" w:after="0" w:line="240" w:lineRule="auto"/>
              <w:jc w:val="center"/>
              <w:rPr>
                <w:rFonts w:ascii="Times New Roman" w:hAnsi="Times New Roman" w:cs="Times New Roman"/>
                <w:sz w:val="20"/>
                <w:szCs w:val="20"/>
                <w:lang w:val="en-GB"/>
              </w:rPr>
            </w:pPr>
            <w:r w:rsidRPr="008846A4">
              <w:rPr>
                <w:rFonts w:ascii="Times New Roman" w:hAnsi="Times New Roman" w:cs="Times New Roman"/>
                <w:sz w:val="20"/>
                <w:szCs w:val="20"/>
                <w:lang w:val="en-GB"/>
              </w:rPr>
              <w:t>2020</w:t>
            </w:r>
          </w:p>
        </w:tc>
      </w:tr>
    </w:tbl>
    <w:p w14:paraId="24727563" w14:textId="0DA7BCC8" w:rsidR="000C47EE" w:rsidRDefault="00DF511D" w:rsidP="00B10DD1">
      <w:pPr>
        <w:spacing w:before="360"/>
        <w:ind w:left="697"/>
        <w:rPr>
          <w:rFonts w:ascii="Times New Roman" w:hAnsi="Times New Roman" w:cs="Times New Roman"/>
          <w:lang w:val="en-GB"/>
        </w:rPr>
      </w:pPr>
      <w:r w:rsidRPr="004722FF">
        <w:rPr>
          <w:rFonts w:ascii="Times New Roman" w:hAnsi="Times New Roman" w:cs="Times New Roman"/>
          <w:lang w:val="en-GB"/>
        </w:rPr>
        <w:t>The summary tables in this document summari</w:t>
      </w:r>
      <w:r w:rsidR="00775F51">
        <w:rPr>
          <w:rFonts w:ascii="Times New Roman" w:hAnsi="Times New Roman" w:cs="Times New Roman"/>
          <w:lang w:val="en-GB"/>
        </w:rPr>
        <w:t>s</w:t>
      </w:r>
      <w:r w:rsidRPr="004722FF">
        <w:rPr>
          <w:rFonts w:ascii="Times New Roman" w:hAnsi="Times New Roman" w:cs="Times New Roman"/>
          <w:lang w:val="en-GB"/>
        </w:rPr>
        <w:t>e the evidence published on the 15 criteria validated in the first meeting of the committee: the first three criteria refer to the pathology (moderate-</w:t>
      </w:r>
      <w:r w:rsidR="00775F51">
        <w:rPr>
          <w:rFonts w:ascii="Times New Roman" w:hAnsi="Times New Roman" w:cs="Times New Roman"/>
          <w:lang w:val="en-GB"/>
        </w:rPr>
        <w:t>to-</w:t>
      </w:r>
      <w:r w:rsidRPr="004722FF">
        <w:rPr>
          <w:rFonts w:ascii="Times New Roman" w:hAnsi="Times New Roman" w:cs="Times New Roman"/>
          <w:lang w:val="en-GB"/>
        </w:rPr>
        <w:t xml:space="preserve">severe psoriasis) and the others refer to the evaluated drug, with some criteria being absolute and others </w:t>
      </w:r>
      <w:r w:rsidR="00775F51">
        <w:rPr>
          <w:rFonts w:ascii="Times New Roman" w:hAnsi="Times New Roman" w:cs="Times New Roman"/>
          <w:lang w:val="en-GB"/>
        </w:rPr>
        <w:t>relative</w:t>
      </w:r>
      <w:r w:rsidRPr="004722FF">
        <w:rPr>
          <w:rFonts w:ascii="Times New Roman" w:hAnsi="Times New Roman" w:cs="Times New Roman"/>
          <w:lang w:val="en-GB"/>
        </w:rPr>
        <w:t xml:space="preserve"> to the different selected comparators. Where data are available, drug comparisons are based on head-to-head trials (direct comparisons). In the rest of the cases (for ixekizumab and risankizumab), the evidence is shown based on the data that is available, that is, each of these drugs versus placebo, compared to bimekizumab versus placebo, so the </w:t>
      </w:r>
      <w:r w:rsidR="00775F51">
        <w:rPr>
          <w:rFonts w:ascii="Times New Roman" w:hAnsi="Times New Roman" w:cs="Times New Roman"/>
          <w:lang w:val="en-GB"/>
        </w:rPr>
        <w:t xml:space="preserve">scientific </w:t>
      </w:r>
      <w:r w:rsidRPr="004722FF">
        <w:rPr>
          <w:rFonts w:ascii="Times New Roman" w:hAnsi="Times New Roman" w:cs="Times New Roman"/>
          <w:lang w:val="en-GB"/>
        </w:rPr>
        <w:t xml:space="preserve">rigor is </w:t>
      </w:r>
      <w:r w:rsidR="00775F51">
        <w:rPr>
          <w:rFonts w:ascii="Times New Roman" w:hAnsi="Times New Roman" w:cs="Times New Roman"/>
          <w:lang w:val="en-GB"/>
        </w:rPr>
        <w:t>lower</w:t>
      </w:r>
      <w:r w:rsidRPr="004722FF">
        <w:rPr>
          <w:rFonts w:ascii="Times New Roman" w:hAnsi="Times New Roman" w:cs="Times New Roman"/>
          <w:lang w:val="en-GB"/>
        </w:rPr>
        <w:t>, since results of different studies are compared without having individual data</w:t>
      </w:r>
      <w:r w:rsidR="00775F51">
        <w:rPr>
          <w:rFonts w:ascii="Times New Roman" w:hAnsi="Times New Roman" w:cs="Times New Roman"/>
          <w:lang w:val="en-GB"/>
        </w:rPr>
        <w:t xml:space="preserve"> </w:t>
      </w:r>
      <w:r w:rsidR="00775F51" w:rsidRPr="004722FF">
        <w:rPr>
          <w:rFonts w:ascii="Times New Roman" w:hAnsi="Times New Roman" w:cs="Times New Roman"/>
          <w:lang w:val="en-GB"/>
        </w:rPr>
        <w:t>(“</w:t>
      </w:r>
      <w:r w:rsidR="00775F51">
        <w:rPr>
          <w:rFonts w:ascii="Times New Roman" w:hAnsi="Times New Roman" w:cs="Times New Roman"/>
          <w:lang w:val="en-GB"/>
        </w:rPr>
        <w:t>eyeball comparison</w:t>
      </w:r>
      <w:r w:rsidR="00775F51" w:rsidRPr="004722FF">
        <w:rPr>
          <w:rFonts w:ascii="Times New Roman" w:hAnsi="Times New Roman" w:cs="Times New Roman"/>
          <w:lang w:val="en-GB"/>
        </w:rPr>
        <w:t>”)</w:t>
      </w:r>
      <w:r w:rsidRPr="004722FF">
        <w:rPr>
          <w:rFonts w:ascii="Times New Roman" w:hAnsi="Times New Roman" w:cs="Times New Roman"/>
          <w:lang w:val="en-GB"/>
        </w:rPr>
        <w:t>.</w:t>
      </w:r>
      <w:r w:rsidR="00775F51">
        <w:rPr>
          <w:rFonts w:ascii="Times New Roman" w:hAnsi="Times New Roman" w:cs="Times New Roman"/>
          <w:lang w:val="en-GB"/>
        </w:rPr>
        <w:t xml:space="preserve"> Finally</w:t>
      </w:r>
      <w:r w:rsidRPr="004722FF">
        <w:rPr>
          <w:rFonts w:ascii="Times New Roman" w:hAnsi="Times New Roman" w:cs="Times New Roman"/>
          <w:lang w:val="en-GB"/>
        </w:rPr>
        <w:t xml:space="preserve">, for the criterion of consistency of </w:t>
      </w:r>
      <w:r w:rsidR="00775F51">
        <w:rPr>
          <w:rFonts w:ascii="Times New Roman" w:hAnsi="Times New Roman" w:cs="Times New Roman"/>
          <w:lang w:val="en-GB"/>
        </w:rPr>
        <w:t>de effect</w:t>
      </w:r>
      <w:r w:rsidRPr="004722FF">
        <w:rPr>
          <w:rFonts w:ascii="Times New Roman" w:hAnsi="Times New Roman" w:cs="Times New Roman"/>
          <w:lang w:val="en-GB"/>
        </w:rPr>
        <w:t>, part of the provided evidence is also based on comparisons of different studies without individual data.</w:t>
      </w:r>
    </w:p>
    <w:p w14:paraId="770208EA" w14:textId="241CE50E" w:rsidR="00B10DD1" w:rsidRDefault="00B10DD1" w:rsidP="00B10DD1">
      <w:pPr>
        <w:ind w:left="697"/>
        <w:rPr>
          <w:rFonts w:ascii="Times New Roman" w:hAnsi="Times New Roman" w:cs="Times New Roman"/>
          <w:lang w:val="en-GB"/>
        </w:rPr>
      </w:pPr>
    </w:p>
    <w:p w14:paraId="024ED6E5" w14:textId="77777777" w:rsidR="00B10DD1" w:rsidRDefault="00B10DD1" w:rsidP="00B10DD1">
      <w:pPr>
        <w:ind w:left="697"/>
        <w:rPr>
          <w:rFonts w:ascii="Times New Roman" w:hAnsi="Times New Roman" w:cs="Times New Roman"/>
          <w:lang w:val="en-GB"/>
        </w:rPr>
      </w:pPr>
    </w:p>
    <w:p w14:paraId="234E4EA9" w14:textId="5D308A23" w:rsidR="00775F51" w:rsidRDefault="00775F51" w:rsidP="00775F51">
      <w:pPr>
        <w:spacing w:line="480" w:lineRule="auto"/>
        <w:ind w:left="697"/>
        <w:rPr>
          <w:rFonts w:ascii="Times New Roman" w:hAnsi="Times New Roman" w:cs="Times New Roman"/>
          <w:lang w:val="en-GB"/>
        </w:rPr>
      </w:pPr>
    </w:p>
    <w:p w14:paraId="2A3049D7" w14:textId="77777777" w:rsidR="007E24F0" w:rsidRDefault="007E24F0" w:rsidP="00775F51">
      <w:pPr>
        <w:spacing w:line="480" w:lineRule="auto"/>
        <w:ind w:left="697"/>
        <w:rPr>
          <w:rFonts w:ascii="Times New Roman" w:hAnsi="Times New Roman" w:cs="Times New Roman"/>
          <w:lang w:val="en-GB"/>
        </w:rPr>
      </w:pPr>
    </w:p>
    <w:p w14:paraId="75F528BA" w14:textId="0E9996B7" w:rsidR="00C05D6D" w:rsidRPr="00C450BC" w:rsidRDefault="00C05D6D" w:rsidP="00C450BC">
      <w:pPr>
        <w:pStyle w:val="Ttulo1"/>
        <w:shd w:val="clear" w:color="auto" w:fill="A6A6A6" w:themeFill="background1" w:themeFillShade="A6"/>
        <w:spacing w:before="120" w:after="120"/>
        <w:ind w:left="709"/>
        <w:jc w:val="left"/>
        <w:rPr>
          <w:rFonts w:ascii="Times New Roman" w:hAnsi="Times New Roman" w:cs="Times New Roman"/>
          <w:b/>
          <w:bCs/>
          <w:color w:val="FFFFFF" w:themeColor="background1"/>
          <w:sz w:val="32"/>
          <w:szCs w:val="32"/>
        </w:rPr>
      </w:pPr>
      <w:bookmarkStart w:id="8" w:name="_Toc89351157"/>
      <w:r w:rsidRPr="00C450BC">
        <w:rPr>
          <w:rStyle w:val="TEXTOGENERALCar"/>
          <w:rFonts w:ascii="Times New Roman" w:hAnsi="Times New Roman" w:cs="Times New Roman"/>
          <w:b/>
          <w:bCs/>
          <w:color w:val="FFFFFF" w:themeColor="background1"/>
          <w:sz w:val="32"/>
          <w:szCs w:val="32"/>
        </w:rPr>
        <w:lastRenderedPageBreak/>
        <w:t>1</w:t>
      </w:r>
      <w:r w:rsidR="00775F51" w:rsidRPr="00C450BC">
        <w:rPr>
          <w:rStyle w:val="TEXTOGENERALCar"/>
          <w:rFonts w:ascii="Times New Roman" w:hAnsi="Times New Roman" w:cs="Times New Roman"/>
          <w:b/>
          <w:bCs/>
          <w:color w:val="FFFFFF" w:themeColor="background1"/>
          <w:sz w:val="32"/>
          <w:szCs w:val="32"/>
        </w:rPr>
        <w:t>.</w:t>
      </w:r>
      <w:r w:rsidR="00775F51" w:rsidRPr="00C450BC">
        <w:rPr>
          <w:rFonts w:ascii="Times New Roman" w:hAnsi="Times New Roman" w:cs="Times New Roman"/>
          <w:b/>
          <w:bCs/>
          <w:color w:val="FFFFFF" w:themeColor="background1"/>
          <w:sz w:val="32"/>
          <w:szCs w:val="32"/>
        </w:rPr>
        <w:t xml:space="preserve"> </w:t>
      </w:r>
      <w:r w:rsidR="0092119C">
        <w:rPr>
          <w:rFonts w:ascii="Times New Roman" w:hAnsi="Times New Roman" w:cs="Times New Roman"/>
          <w:b/>
          <w:bCs/>
          <w:color w:val="FFFFFF" w:themeColor="background1"/>
          <w:sz w:val="32"/>
          <w:szCs w:val="32"/>
        </w:rPr>
        <w:t>Need for the intervention</w:t>
      </w:r>
      <w:bookmarkEnd w:id="8"/>
    </w:p>
    <w:p w14:paraId="5928509E" w14:textId="655AEE54" w:rsidR="00C05D6D" w:rsidRPr="00775F51" w:rsidRDefault="00775F51" w:rsidP="00C450BC">
      <w:pPr>
        <w:pStyle w:val="Ttulo2"/>
        <w:numPr>
          <w:ilvl w:val="1"/>
          <w:numId w:val="1"/>
        </w:numPr>
        <w:spacing w:line="240" w:lineRule="auto"/>
        <w:ind w:left="992" w:firstLine="0"/>
        <w:rPr>
          <w:rFonts w:ascii="Times New Roman" w:hAnsi="Times New Roman" w:cs="Times New Roman"/>
          <w:b/>
          <w:bCs/>
          <w:smallCaps w:val="0"/>
          <w:color w:val="auto"/>
          <w:sz w:val="24"/>
          <w:szCs w:val="24"/>
          <w:lang w:val="en-GB"/>
        </w:rPr>
      </w:pPr>
      <w:bookmarkStart w:id="9" w:name="_Toc89351158"/>
      <w:r>
        <w:rPr>
          <w:rFonts w:ascii="Times New Roman" w:hAnsi="Times New Roman" w:cs="Times New Roman"/>
          <w:b/>
          <w:bCs/>
          <w:smallCaps w:val="0"/>
          <w:color w:val="auto"/>
          <w:sz w:val="24"/>
          <w:szCs w:val="24"/>
          <w:lang w:val="en-GB"/>
        </w:rPr>
        <w:t>Disease severity</w:t>
      </w:r>
      <w:bookmarkEnd w:id="9"/>
      <w:r w:rsidR="00C05D6D" w:rsidRPr="00775F51">
        <w:rPr>
          <w:rFonts w:ascii="Times New Roman" w:hAnsi="Times New Roman" w:cs="Times New Roman"/>
          <w:b/>
          <w:bCs/>
          <w:smallCaps w:val="0"/>
          <w:color w:val="auto"/>
          <w:sz w:val="24"/>
          <w:szCs w:val="24"/>
          <w:lang w:val="en-GB"/>
        </w:rPr>
        <w:t xml:space="preserve"> </w:t>
      </w:r>
    </w:p>
    <w:p w14:paraId="7AA9B0B6" w14:textId="5FE6A997" w:rsidR="00C05D6D" w:rsidRPr="00775F51" w:rsidRDefault="00C05D6D" w:rsidP="00C05D6D">
      <w:pPr>
        <w:pStyle w:val="TITULOTABLASYFIGURAS"/>
        <w:ind w:left="709"/>
        <w:rPr>
          <w:rFonts w:ascii="Times New Roman" w:hAnsi="Times New Roman" w:cs="Times New Roman"/>
          <w:b/>
          <w:bCs/>
          <w:smallCaps w:val="0"/>
          <w:color w:val="auto"/>
          <w:sz w:val="22"/>
          <w:szCs w:val="56"/>
          <w:lang w:val="en-GB"/>
        </w:rPr>
      </w:pPr>
      <w:bookmarkStart w:id="10" w:name="_Toc89078648"/>
      <w:r w:rsidRPr="00775F51">
        <w:rPr>
          <w:rFonts w:ascii="Times New Roman" w:hAnsi="Times New Roman" w:cs="Times New Roman"/>
          <w:b/>
          <w:bCs/>
          <w:smallCaps w:val="0"/>
          <w:color w:val="auto"/>
          <w:sz w:val="22"/>
          <w:szCs w:val="56"/>
          <w:lang w:val="en-GB"/>
        </w:rPr>
        <w:t xml:space="preserve">Table </w:t>
      </w:r>
      <w:r w:rsidR="00C450BC">
        <w:rPr>
          <w:rFonts w:ascii="Times New Roman" w:hAnsi="Times New Roman" w:cs="Times New Roman"/>
          <w:b/>
          <w:bCs/>
          <w:smallCaps w:val="0"/>
          <w:color w:val="auto"/>
          <w:sz w:val="22"/>
          <w:szCs w:val="56"/>
          <w:lang w:val="en-GB"/>
        </w:rPr>
        <w:t>(S1).</w:t>
      </w:r>
      <w:r w:rsidRPr="00775F51">
        <w:rPr>
          <w:rFonts w:ascii="Times New Roman" w:hAnsi="Times New Roman" w:cs="Times New Roman"/>
          <w:b/>
          <w:bCs/>
          <w:smallCaps w:val="0"/>
          <w:color w:val="auto"/>
          <w:sz w:val="22"/>
          <w:szCs w:val="56"/>
          <w:lang w:val="en-GB"/>
        </w:rPr>
        <w:fldChar w:fldCharType="begin"/>
      </w:r>
      <w:r w:rsidRPr="00775F51">
        <w:rPr>
          <w:rFonts w:ascii="Times New Roman" w:hAnsi="Times New Roman" w:cs="Times New Roman"/>
          <w:b/>
          <w:bCs/>
          <w:smallCaps w:val="0"/>
          <w:color w:val="auto"/>
          <w:sz w:val="22"/>
          <w:szCs w:val="56"/>
          <w:lang w:val="en-GB"/>
        </w:rPr>
        <w:instrText xml:space="preserve"> SEQ Tabla \* ARABIC </w:instrText>
      </w:r>
      <w:r w:rsidRPr="00775F51">
        <w:rPr>
          <w:rFonts w:ascii="Times New Roman" w:hAnsi="Times New Roman" w:cs="Times New Roman"/>
          <w:b/>
          <w:bCs/>
          <w:smallCaps w:val="0"/>
          <w:color w:val="auto"/>
          <w:sz w:val="22"/>
          <w:szCs w:val="56"/>
          <w:lang w:val="en-GB"/>
        </w:rPr>
        <w:fldChar w:fldCharType="separate"/>
      </w:r>
      <w:r w:rsidR="00A35209" w:rsidRPr="00775F51">
        <w:rPr>
          <w:rFonts w:ascii="Times New Roman" w:hAnsi="Times New Roman" w:cs="Times New Roman"/>
          <w:b/>
          <w:bCs/>
          <w:smallCaps w:val="0"/>
          <w:noProof/>
          <w:color w:val="auto"/>
          <w:sz w:val="22"/>
          <w:szCs w:val="56"/>
          <w:lang w:val="en-GB"/>
        </w:rPr>
        <w:t>2</w:t>
      </w:r>
      <w:r w:rsidRPr="00775F51">
        <w:rPr>
          <w:rFonts w:ascii="Times New Roman" w:hAnsi="Times New Roman" w:cs="Times New Roman"/>
          <w:b/>
          <w:bCs/>
          <w:smallCaps w:val="0"/>
          <w:color w:val="auto"/>
          <w:sz w:val="22"/>
          <w:szCs w:val="56"/>
          <w:lang w:val="en-GB"/>
        </w:rPr>
        <w:fldChar w:fldCharType="end"/>
      </w:r>
      <w:r w:rsidRPr="00775F51">
        <w:rPr>
          <w:rFonts w:ascii="Times New Roman" w:hAnsi="Times New Roman" w:cs="Times New Roman"/>
          <w:b/>
          <w:bCs/>
          <w:smallCaps w:val="0"/>
          <w:color w:val="auto"/>
          <w:sz w:val="22"/>
          <w:szCs w:val="56"/>
          <w:lang w:val="en-GB"/>
        </w:rPr>
        <w:t xml:space="preserve">: Main </w:t>
      </w:r>
      <w:r w:rsidR="00C450BC">
        <w:rPr>
          <w:rFonts w:ascii="Times New Roman" w:hAnsi="Times New Roman" w:cs="Times New Roman"/>
          <w:b/>
          <w:bCs/>
          <w:smallCaps w:val="0"/>
          <w:color w:val="auto"/>
          <w:sz w:val="22"/>
          <w:szCs w:val="56"/>
          <w:lang w:val="en-GB"/>
        </w:rPr>
        <w:t>aspects</w:t>
      </w:r>
      <w:r w:rsidRPr="00775F51">
        <w:rPr>
          <w:rFonts w:ascii="Times New Roman" w:hAnsi="Times New Roman" w:cs="Times New Roman"/>
          <w:b/>
          <w:bCs/>
          <w:smallCaps w:val="0"/>
          <w:color w:val="auto"/>
          <w:sz w:val="22"/>
          <w:szCs w:val="56"/>
          <w:lang w:val="en-GB"/>
        </w:rPr>
        <w:t xml:space="preserve"> related to the severity of moderate-</w:t>
      </w:r>
      <w:r w:rsidR="00775F51">
        <w:rPr>
          <w:rFonts w:ascii="Times New Roman" w:hAnsi="Times New Roman" w:cs="Times New Roman"/>
          <w:b/>
          <w:bCs/>
          <w:smallCaps w:val="0"/>
          <w:color w:val="auto"/>
          <w:sz w:val="22"/>
          <w:szCs w:val="56"/>
          <w:lang w:val="en-GB"/>
        </w:rPr>
        <w:t>to-</w:t>
      </w:r>
      <w:r w:rsidRPr="00775F51">
        <w:rPr>
          <w:rFonts w:ascii="Times New Roman" w:hAnsi="Times New Roman" w:cs="Times New Roman"/>
          <w:b/>
          <w:bCs/>
          <w:smallCaps w:val="0"/>
          <w:color w:val="auto"/>
          <w:sz w:val="22"/>
          <w:szCs w:val="56"/>
          <w:lang w:val="en-GB"/>
        </w:rPr>
        <w:t>severe psoriasis</w:t>
      </w:r>
      <w:bookmarkEnd w:id="10"/>
    </w:p>
    <w:tbl>
      <w:tblPr>
        <w:tblStyle w:val="Tabladelista3"/>
        <w:tblW w:w="14884" w:type="dxa"/>
        <w:tblInd w:w="728" w:type="dxa"/>
        <w:tblLook w:val="04A0" w:firstRow="1" w:lastRow="0" w:firstColumn="1" w:lastColumn="0" w:noHBand="0" w:noVBand="1"/>
      </w:tblPr>
      <w:tblGrid>
        <w:gridCol w:w="1678"/>
        <w:gridCol w:w="13206"/>
      </w:tblGrid>
      <w:tr w:rsidR="004722FF" w:rsidRPr="00DD24B9" w14:paraId="1E4C1C7A" w14:textId="77777777" w:rsidTr="001B57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78" w:type="dxa"/>
            <w:tcMar>
              <w:top w:w="57" w:type="dxa"/>
              <w:bottom w:w="57" w:type="dxa"/>
            </w:tcMar>
          </w:tcPr>
          <w:p w14:paraId="5AED24DC" w14:textId="77777777" w:rsidR="00C05D6D" w:rsidRPr="00DD24B9" w:rsidRDefault="00C05D6D" w:rsidP="001B57EC">
            <w:pPr>
              <w:spacing w:before="0" w:after="0" w:line="276" w:lineRule="auto"/>
              <w:ind w:left="11"/>
              <w:jc w:val="left"/>
              <w:rPr>
                <w:rFonts w:ascii="Times New Roman" w:hAnsi="Times New Roman" w:cs="Times New Roman"/>
                <w:color w:val="auto"/>
                <w:sz w:val="20"/>
                <w:szCs w:val="20"/>
                <w:lang w:val="en-GB"/>
              </w:rPr>
            </w:pPr>
            <w:r w:rsidRPr="00DD24B9">
              <w:rPr>
                <w:rFonts w:ascii="Times New Roman" w:hAnsi="Times New Roman" w:cs="Times New Roman"/>
                <w:color w:val="auto"/>
                <w:sz w:val="20"/>
                <w:szCs w:val="20"/>
                <w:lang w:val="en-GB"/>
              </w:rPr>
              <w:t>Domain</w:t>
            </w:r>
          </w:p>
        </w:tc>
        <w:tc>
          <w:tcPr>
            <w:tcW w:w="13206" w:type="dxa"/>
            <w:tcMar>
              <w:top w:w="57" w:type="dxa"/>
              <w:bottom w:w="57" w:type="dxa"/>
            </w:tcMar>
          </w:tcPr>
          <w:p w14:paraId="56ABF7BE" w14:textId="6FB4CD0A" w:rsidR="00C05D6D" w:rsidRPr="00DD24B9" w:rsidRDefault="00C05D6D" w:rsidP="001B57EC">
            <w:pPr>
              <w:tabs>
                <w:tab w:val="left" w:pos="5160"/>
              </w:tabs>
              <w:spacing w:before="0" w:after="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DD24B9">
              <w:rPr>
                <w:rFonts w:ascii="Times New Roman" w:hAnsi="Times New Roman" w:cs="Times New Roman"/>
                <w:color w:val="auto"/>
                <w:sz w:val="20"/>
                <w:szCs w:val="20"/>
                <w:lang w:val="en-GB"/>
              </w:rPr>
              <w:t>Main elements</w:t>
            </w:r>
            <w:r w:rsidR="006B0ABB" w:rsidRPr="00DD24B9">
              <w:rPr>
                <w:rFonts w:ascii="Times New Roman" w:hAnsi="Times New Roman" w:cs="Times New Roman"/>
                <w:color w:val="auto"/>
                <w:sz w:val="20"/>
                <w:szCs w:val="20"/>
                <w:lang w:val="en-GB"/>
              </w:rPr>
              <w:tab/>
            </w:r>
          </w:p>
        </w:tc>
      </w:tr>
      <w:tr w:rsidR="004722FF" w:rsidRPr="007B4152" w14:paraId="7310ED3A" w14:textId="77777777" w:rsidTr="001B5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68ED2FBC" w14:textId="77777777" w:rsidR="00C05D6D" w:rsidRPr="00DD24B9" w:rsidRDefault="00C05D6D" w:rsidP="001B57EC">
            <w:pPr>
              <w:spacing w:before="0" w:after="0" w:line="276" w:lineRule="auto"/>
              <w:jc w:val="left"/>
              <w:rPr>
                <w:rFonts w:ascii="Times New Roman" w:hAnsi="Times New Roman" w:cs="Times New Roman"/>
                <w:sz w:val="20"/>
                <w:szCs w:val="20"/>
                <w:lang w:val="en-GB"/>
              </w:rPr>
            </w:pPr>
            <w:r w:rsidRPr="00DD24B9">
              <w:rPr>
                <w:rFonts w:ascii="Times New Roman" w:hAnsi="Times New Roman" w:cs="Times New Roman"/>
                <w:sz w:val="20"/>
                <w:szCs w:val="20"/>
                <w:lang w:val="en-GB"/>
              </w:rPr>
              <w:t>Description of the disease</w:t>
            </w:r>
          </w:p>
        </w:tc>
        <w:tc>
          <w:tcPr>
            <w:tcW w:w="13206" w:type="dxa"/>
            <w:tcMar>
              <w:top w:w="57" w:type="dxa"/>
              <w:bottom w:w="57" w:type="dxa"/>
            </w:tcMar>
          </w:tcPr>
          <w:p w14:paraId="6E4D4112" w14:textId="28DBC1B2" w:rsidR="00C05D6D" w:rsidRPr="00DD24B9" w:rsidRDefault="00D175BF"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Immune-mediated and chronic inflammatory dermatosis</w:t>
            </w:r>
            <w:r w:rsidR="00C05D6D"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{"citationID":"ttLNrl0M","properties":{"formattedCitation":"\\super 1\\nosupersub{}","plainCitation":"1","noteIndex":0},"citationItems":[{"id":22494,"uris":["http://zotero.org/groups/337550/items/APMXKHXM"],"uri":["http://zotero.org/groups/337550/items/APMXKHXM"],"itemData":{"id":22494,"type":"article-journal","abstract":"Introduction and objectives\nUp to 30% of patients with psoriasis develop joint disease, the course of which can be improved by early diagnosis and treatment. The aim of this study was to describe our experience with a new multidisciplinary psoriasis and psoriatic arthritis unit over a period of 4 years (2009-2012).\nMaterial and methods\nImplementation of a PSOriasis Rheumatology and Dermatology unit (PSORD) to provide patient care and physician training. In the first phase of the project, referral criteria for the unit were defined and several meetings were organized to train and prepare the specialists involved in the program. In the second phase, a schedule was drawn up for monthly patient visits with the PSORD team. Starting in 2011, training was offered to dermatologists and rheumatologists from other hospitals interested in implementing a similar model.\nResults\nA total of 259 visits (71% first visits, 8% no-shows) were scheduled during the period analyzed, with a median of 8 visits (range, 2-14 visits) per session. Sixty-three percent of the patients were referred from the rheumatology department. Diagnosis and treatment were modified in 32% and 47% of cases, respectively. Three training courses were held with 15 physicians from 6 hospitals, 3 of which created similar units.\nConclusions\nThe PSORD model improved the management of difficult-to-diagnose and/or uncontrolled disease, the early diagnosis and treatment of psoriatic arthritis, and collaboration between dermatologists and rheumatologists. Finally, the model lends itself to being exported to other settings.","container-title":"Actas Dermo-Sifiliográficas (English Edition)","DOI":"10.1016/j.adengl.2013.10.010","ISSN":"1578-2190","issue":"4","journalAbbreviation":"Actas Dermo-Sifiliográficas (English Edition)","page":"371-377","source":"ScienceDirect","title":"Multidisciplinary Psoriasis and Psoriactic Arthritis Unit: Report of 4 years’ Experience","title-short":"Multidisciplinary Psoriasis and Psoriactic Arthritis Unit","volume":"105","author":[{"family":"Luelmo","given":"J."},{"family":"Gratacos","given":"J."},{"family":"Moreno Martínez-Losa","given":"M."},{"family":"Ribera","given":"M."},{"family":"Romaní","given":"J."},{"family":"Calvet","given":"J."},{"family":"Leal","given":"L."},{"family":"Larrosa","given":"M."}],"issued":{"date-parts":[["2014"]]}}}],"schema":"https://github.com/citation-style-language/schema/raw/master/csl-citation.json"} </w:instrText>
            </w:r>
            <w:r w:rsidR="00C05D6D"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1</w:t>
            </w:r>
            <w:r w:rsidR="00C05D6D" w:rsidRPr="00DD24B9">
              <w:rPr>
                <w:rFonts w:ascii="Times New Roman" w:hAnsi="Times New Roman" w:cs="Times New Roman"/>
                <w:sz w:val="20"/>
                <w:szCs w:val="20"/>
                <w:lang w:val="en-GB"/>
              </w:rPr>
              <w:fldChar w:fldCharType="end"/>
            </w:r>
            <w:r w:rsidR="006A0AA4" w:rsidRPr="00DD24B9">
              <w:rPr>
                <w:rFonts w:ascii="Times New Roman" w:hAnsi="Times New Roman" w:cs="Times New Roman"/>
                <w:sz w:val="20"/>
                <w:szCs w:val="20"/>
                <w:lang w:val="en-GB"/>
              </w:rPr>
              <w:t xml:space="preserve">, with a clinical course of </w:t>
            </w:r>
            <w:r w:rsidR="004B3EDE">
              <w:rPr>
                <w:rFonts w:ascii="Times New Roman" w:hAnsi="Times New Roman" w:cs="Times New Roman"/>
                <w:sz w:val="20"/>
                <w:szCs w:val="20"/>
                <w:lang w:val="en-GB"/>
              </w:rPr>
              <w:t xml:space="preserve">persistent </w:t>
            </w:r>
            <w:r w:rsidR="006A0AA4" w:rsidRPr="00DD24B9">
              <w:rPr>
                <w:rFonts w:ascii="Times New Roman" w:hAnsi="Times New Roman" w:cs="Times New Roman"/>
                <w:sz w:val="20"/>
                <w:szCs w:val="20"/>
                <w:lang w:val="en-GB"/>
              </w:rPr>
              <w:t>relapses and remissions</w:t>
            </w:r>
            <w:r w:rsidR="00C05D6D"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{"citationID":"cILDXnZG","properties":{"formattedCitation":"\\super 1\\nosupersub{}","plainCitation":"1","noteIndex":0},"citationItems":[{"id":22494,"uris":["http://zotero.org/groups/337550/items/APMXKHXM"],"uri":["http://zotero.org/groups/337550/items/APMXKHXM"],"itemData":{"id":22494,"type":"article-journal","abstract":"Introduction and objectives\nUp to 30% of patients with psoriasis develop joint disease, the course of which can be improved by early diagnosis and treatment. The aim of this study was to describe our experience with a new multidisciplinary psoriasis and psoriatic arthritis unit over a period of 4 years (2009-2012).\nMaterial and methods\nImplementation of a PSOriasis Rheumatology and Dermatology unit (PSORD) to provide patient care and physician training. In the first phase of the project, referral criteria for the unit were defined and several meetings were organized to train and prepare the specialists involved in the program. In the second phase, a schedule was drawn up for monthly patient visits with the PSORD team. Starting in 2011, training was offered to dermatologists and rheumatologists from other hospitals interested in implementing a similar model.\nResults\nA total of 259 visits (71% first visits, 8% no-shows) were scheduled during the period analyzed, with a median of 8 visits (range, 2-14 visits) per session. Sixty-three percent of the patients were referred from the rheumatology department. Diagnosis and treatment were modified in 32% and 47% of cases, respectively. Three training courses were held with 15 physicians from 6 hospitals, 3 of which created similar units.\nConclusions\nThe PSORD model improved the management of difficult-to-diagnose and/or uncontrolled disease, the early diagnosis and treatment of psoriatic arthritis, and collaboration between dermatologists and rheumatologists. Finally, the model lends itself to being exported to other settings.","container-title":"Actas Dermo-Sifiliográficas (English Edition)","DOI":"10.1016/j.adengl.2013.10.010","ISSN":"1578-2190","issue":"4","journalAbbreviation":"Actas Dermo-Sifiliográficas (English Edition)","page":"371-377","source":"ScienceDirect","title":"Multidisciplinary Psoriasis and Psoriactic Arthritis Unit: Report of 4 years’ Experience","title-short":"Multidisciplinary Psoriasis and Psoriactic Arthritis Unit","volume":"105","author":[{"family":"Luelmo","given":"J."},{"family":"Gratacos","given":"J."},{"family":"Moreno Martínez-Losa","given":"M."},{"family":"Ribera","given":"M."},{"family":"Romaní","given":"J."},{"family":"Calvet","given":"J."},{"family":"Leal","given":"L."},{"family":"Larrosa","given":"M."}],"issued":{"date-parts":[["2014"]]}}}],"schema":"https://github.com/citation-style-language/schema/raw/master/csl-citation.json"} </w:instrText>
            </w:r>
            <w:r w:rsidR="00C05D6D" w:rsidRPr="00DD24B9">
              <w:rPr>
                <w:rFonts w:ascii="Times New Roman" w:hAnsi="Times New Roman" w:cs="Times New Roman"/>
                <w:sz w:val="20"/>
                <w:szCs w:val="20"/>
                <w:lang w:val="en-GB"/>
              </w:rPr>
              <w:fldChar w:fldCharType="separate"/>
            </w:r>
            <w:r w:rsidR="0099784B" w:rsidRPr="0099784B">
              <w:rPr>
                <w:rFonts w:ascii="Times New Roman" w:hAnsi="Times New Roman" w:cs="Times New Roman"/>
                <w:sz w:val="20"/>
                <w:szCs w:val="24"/>
                <w:vertAlign w:val="superscript"/>
              </w:rPr>
              <w:t>1</w:t>
            </w:r>
            <w:r w:rsidR="00C05D6D" w:rsidRPr="00DD24B9">
              <w:rPr>
                <w:rFonts w:ascii="Times New Roman" w:hAnsi="Times New Roman" w:cs="Times New Roman"/>
                <w:sz w:val="20"/>
                <w:szCs w:val="20"/>
                <w:lang w:val="en-GB"/>
              </w:rPr>
              <w:fldChar w:fldCharType="end"/>
            </w:r>
            <w:r w:rsidR="00C05D6D" w:rsidRPr="00DD24B9">
              <w:rPr>
                <w:rFonts w:ascii="Times New Roman" w:hAnsi="Times New Roman" w:cs="Times New Roman"/>
                <w:sz w:val="20"/>
                <w:szCs w:val="20"/>
                <w:lang w:val="en-GB"/>
              </w:rPr>
              <w:t>.</w:t>
            </w:r>
          </w:p>
          <w:p w14:paraId="24C64075" w14:textId="47CC245D" w:rsidR="00D175BF"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Plaque psoriasis is the most common</w:t>
            </w:r>
            <w:r w:rsidR="004B3EDE">
              <w:rPr>
                <w:rFonts w:ascii="Times New Roman" w:hAnsi="Times New Roman" w:cs="Times New Roman"/>
                <w:sz w:val="20"/>
                <w:szCs w:val="20"/>
                <w:lang w:val="en-GB"/>
              </w:rPr>
              <w:t xml:space="preserve"> type of psoriasis</w:t>
            </w:r>
            <w:r w:rsidRPr="00DD24B9">
              <w:rPr>
                <w:rFonts w:ascii="Times New Roman" w:hAnsi="Times New Roman" w:cs="Times New Roman"/>
                <w:sz w:val="20"/>
                <w:szCs w:val="20"/>
                <w:lang w:val="en-GB"/>
              </w:rPr>
              <w:t xml:space="preserve">, accounting for </w:t>
            </w:r>
            <w:r w:rsidR="00CC1634">
              <w:rPr>
                <w:rFonts w:ascii="Times New Roman" w:hAnsi="Times New Roman" w:cs="Times New Roman"/>
                <w:sz w:val="20"/>
                <w:szCs w:val="20"/>
                <w:lang w:val="en-GB"/>
              </w:rPr>
              <w:t>around</w:t>
            </w:r>
            <w:r w:rsidRPr="00DD24B9">
              <w:rPr>
                <w:rFonts w:ascii="Times New Roman" w:hAnsi="Times New Roman" w:cs="Times New Roman"/>
                <w:sz w:val="20"/>
                <w:szCs w:val="20"/>
                <w:lang w:val="en-GB"/>
              </w:rPr>
              <w:t xml:space="preserve"> 90% of cases</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{"citationID":"psvBFJ5P","properties":{"formattedCitation":"\\super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2</w:t>
            </w:r>
            <w:r w:rsidRPr="00DD24B9">
              <w:rPr>
                <w:rFonts w:ascii="Times New Roman" w:hAnsi="Times New Roman" w:cs="Times New Roman"/>
                <w:sz w:val="20"/>
                <w:szCs w:val="20"/>
                <w:lang w:val="en-GB"/>
              </w:rPr>
              <w:fldChar w:fldCharType="end"/>
            </w:r>
            <w:r w:rsidR="00CC1634">
              <w:rPr>
                <w:rFonts w:ascii="Times New Roman" w:hAnsi="Times New Roman" w:cs="Times New Roman"/>
                <w:sz w:val="20"/>
                <w:szCs w:val="20"/>
                <w:lang w:val="en-GB"/>
              </w:rPr>
              <w:t xml:space="preserve">. It is </w:t>
            </w:r>
            <w:r w:rsidR="004355F4" w:rsidRPr="00DD24B9">
              <w:rPr>
                <w:rFonts w:ascii="Times New Roman" w:hAnsi="Times New Roman" w:cs="Times New Roman"/>
                <w:sz w:val="20"/>
                <w:szCs w:val="20"/>
                <w:lang w:val="en-GB"/>
              </w:rPr>
              <w:t>characterized by the presence of erythematous plaques with clear margins, variable size (between 1 and several cm in diameter) and covered with fine</w:t>
            </w:r>
            <w:r w:rsidR="004B3EDE">
              <w:rPr>
                <w:rFonts w:ascii="Times New Roman" w:hAnsi="Times New Roman" w:cs="Times New Roman"/>
                <w:sz w:val="20"/>
                <w:szCs w:val="20"/>
                <w:lang w:val="en-GB"/>
              </w:rPr>
              <w:t xml:space="preserve"> and</w:t>
            </w:r>
            <w:r w:rsidR="004355F4" w:rsidRPr="00DD24B9">
              <w:rPr>
                <w:rFonts w:ascii="Times New Roman" w:hAnsi="Times New Roman" w:cs="Times New Roman"/>
                <w:sz w:val="20"/>
                <w:szCs w:val="20"/>
                <w:lang w:val="en-GB"/>
              </w:rPr>
              <w:t xml:space="preserve"> pearly scales of different thickness</w:t>
            </w:r>
            <w:r w:rsidR="00D175BF"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{"citationID":"UjhjGOPg","properties":{"formattedCitation":"\\super 1\\nosupersub{}","plainCitation":"1","noteIndex":0},"citationItems":[{"id":22494,"uris":["http://zotero.org/groups/337550/items/APMXKHXM"],"uri":["http://zotero.org/groups/337550/items/APMXKHXM"],"itemData":{"id":22494,"type":"article-journal","abstract":"Introduction and objectives\nUp to 30% of patients with psoriasis develop joint disease, the course of which can be improved by early diagnosis and treatment. The aim of this study was to describe our experience with a new multidisciplinary psoriasis and psoriatic arthritis unit over a period of 4 years (2009-2012).\nMaterial and methods\nImplementation of a PSOriasis Rheumatology and Dermatology unit (PSORD) to provide patient care and physician training. In the first phase of the project, referral criteria for the unit were defined and several meetings were organized to train and prepare the specialists involved in the program. In the second phase, a schedule was drawn up for monthly patient visits with the PSORD team. Starting in 2011, training was offered to dermatologists and rheumatologists from other hospitals interested in implementing a similar model.\nResults\nA total of 259 visits (71% first visits, 8% no-shows) were scheduled during the period analyzed, with a median of 8 visits (range, 2-14 visits) per session. Sixty-three percent of the patients were referred from the rheumatology department. Diagnosis and treatment were modified in 32% and 47% of cases, respectively. Three training courses were held with 15 physicians from 6 hospitals, 3 of which created similar units.\nConclusions\nThe PSORD model improved the management of difficult-to-diagnose and/or uncontrolled disease, the early diagnosis and treatment of psoriatic arthritis, and collaboration between dermatologists and rheumatologists. Finally, the model lends itself to being exported to other settings.","container-title":"Actas Dermo-Sifiliográficas (English Edition)","DOI":"10.1016/j.adengl.2013.10.010","ISSN":"1578-2190","issue":"4","journalAbbreviation":"Actas Dermo-Sifiliográficas (English Edition)","page":"371-377","source":"ScienceDirect","title":"Multidisciplinary Psoriasis and Psoriactic Arthritis Unit: Report of 4 years’ Experience","title-short":"Multidisciplinary Psoriasis and Psoriactic Arthritis Unit","volume":"105","author":[{"family":"Luelmo","given":"J."},{"family":"Gratacos","given":"J."},{"family":"Moreno Martínez-Losa","given":"M."},{"family":"Ribera","given":"M."},{"family":"Romaní","given":"J."},{"family":"Calvet","given":"J."},{"family":"Leal","given":"L."},{"family":"Larrosa","given":"M."}],"issued":{"date-parts":[["2014"]]}}}],"schema":"https://github.com/citation-style-language/schema/raw/master/csl-citation.json"} </w:instrText>
            </w:r>
            <w:r w:rsidR="00D175BF" w:rsidRPr="00DD24B9">
              <w:rPr>
                <w:rFonts w:ascii="Times New Roman" w:hAnsi="Times New Roman" w:cs="Times New Roman"/>
                <w:sz w:val="20"/>
                <w:szCs w:val="20"/>
                <w:lang w:val="en-GB"/>
              </w:rPr>
              <w:fldChar w:fldCharType="separate"/>
            </w:r>
            <w:r w:rsidR="0099784B" w:rsidRPr="0099784B">
              <w:rPr>
                <w:rFonts w:ascii="Times New Roman" w:hAnsi="Times New Roman" w:cs="Times New Roman"/>
                <w:sz w:val="20"/>
                <w:szCs w:val="24"/>
                <w:vertAlign w:val="superscript"/>
              </w:rPr>
              <w:t>1</w:t>
            </w:r>
            <w:r w:rsidR="00D175BF" w:rsidRPr="00DD24B9">
              <w:rPr>
                <w:rFonts w:ascii="Times New Roman" w:hAnsi="Times New Roman" w:cs="Times New Roman"/>
                <w:sz w:val="20"/>
                <w:szCs w:val="20"/>
                <w:lang w:val="en-GB"/>
              </w:rPr>
              <w:fldChar w:fldCharType="end"/>
            </w:r>
            <w:r w:rsidR="00D175BF" w:rsidRPr="00DD24B9">
              <w:rPr>
                <w:rFonts w:ascii="Times New Roman" w:hAnsi="Times New Roman" w:cs="Times New Roman"/>
                <w:sz w:val="20"/>
                <w:szCs w:val="20"/>
                <w:lang w:val="en-GB"/>
              </w:rPr>
              <w:t>.</w:t>
            </w:r>
          </w:p>
          <w:p w14:paraId="64A39827" w14:textId="180EB67A"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Moderate-</w:t>
            </w:r>
            <w:r w:rsidR="00CC1634">
              <w:rPr>
                <w:rFonts w:ascii="Times New Roman" w:hAnsi="Times New Roman" w:cs="Times New Roman"/>
                <w:sz w:val="20"/>
                <w:szCs w:val="20"/>
                <w:lang w:val="en-GB"/>
              </w:rPr>
              <w:t>to-</w:t>
            </w:r>
            <w:r w:rsidRPr="00DD24B9">
              <w:rPr>
                <w:rFonts w:ascii="Times New Roman" w:hAnsi="Times New Roman" w:cs="Times New Roman"/>
                <w:sz w:val="20"/>
                <w:szCs w:val="20"/>
                <w:lang w:val="en-GB"/>
              </w:rPr>
              <w:t>severe psoriasis affects 29% of psoriasis patients (19% moderate; 10% severe)</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{"citationID":"2bw46HiF","properties":{"formattedCitation":"\\super 3\\nosupersub{}","plainCitation":"3","noteIndex":0},"citationItems":[{"id":24619,"uris":["http://zotero.org/groups/337550/items/XPE3IJMC"],"uri":["http://zotero.org/groups/337550/items/XPE3IJMC"],"itemData":{"id":24619,"type":"article-journal","abstract":"Objective  To estimate the direct and indirect costs related to psoriasis in Spain. Methods  We performed a 12-month, multicentre, prospective longitudinal and observational study. Overall expense of care was assessed as the sum of direct and indirect costs. Results  A total of 797 patients with varying demographics and different degrees of severity of psoriasis were included in the study. The mean total cost of psoriasis, including direct and indirect items, was 1079€ per patient and year. The major sources of expenditure were prescription drugs (46.6%), followed by medical activities (34.5%). Mean costs in patients with moderate and severe psoriasis were approximately 1.5 and 2.5 times higher than in those with mild psoriasis, respectively. Conclusions  In Spain, psoriasis is associated with substantial costs both to the National Health System and to the patients.","container-title":"Journal of the European Academy of Dermatology and Venereology","DOI":"10.1111/j.1468-3083.2006.01659.x","ISSN":"1468-3083","issue":"7","language":"en","page":"840-845","source":"Wiley Online Library","title":"A prospective evaluation of the cost of psoriasis in Spain (EPIDERMA project: Phase II)","title-short":"A prospective evaluation of the cost of psoriasis in Spain (EPIDERMA project","volume":"20","author":[{"family":"Carrascosa","given":"Jm"},{"family":"Pujol","given":"R"},{"family":"Daudén","given":"E"},{"family":"Hernanz-Hermosa","given":"Jm"},{"family":"Bordas","given":"X"},{"family":"Smandia","given":"Ja"},{"family":"Ferrándiz","given":"C"}],"issued":{"date-parts":[["2006"]]}}}],"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3</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 xml:space="preserve">. </w:t>
            </w:r>
          </w:p>
        </w:tc>
      </w:tr>
      <w:tr w:rsidR="004722FF" w:rsidRPr="007B4152" w14:paraId="5BD79EF5" w14:textId="77777777" w:rsidTr="001B57EC">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6B69BAD6" w14:textId="77777777" w:rsidR="00C05D6D" w:rsidRPr="00DD24B9" w:rsidRDefault="00C05D6D" w:rsidP="001B57EC">
            <w:pPr>
              <w:spacing w:before="0" w:after="0" w:line="276" w:lineRule="auto"/>
              <w:rPr>
                <w:rFonts w:ascii="Times New Roman" w:hAnsi="Times New Roman" w:cs="Times New Roman"/>
                <w:sz w:val="20"/>
                <w:szCs w:val="20"/>
                <w:lang w:val="en-GB"/>
              </w:rPr>
            </w:pPr>
            <w:r w:rsidRPr="00DD24B9">
              <w:rPr>
                <w:rFonts w:ascii="Times New Roman" w:hAnsi="Times New Roman" w:cs="Times New Roman"/>
                <w:sz w:val="20"/>
                <w:szCs w:val="20"/>
                <w:lang w:val="en-GB"/>
              </w:rPr>
              <w:t>Diagnosis</w:t>
            </w:r>
          </w:p>
        </w:tc>
        <w:tc>
          <w:tcPr>
            <w:tcW w:w="13206" w:type="dxa"/>
            <w:tcMar>
              <w:top w:w="57" w:type="dxa"/>
              <w:bottom w:w="57" w:type="dxa"/>
            </w:tcMar>
          </w:tcPr>
          <w:p w14:paraId="52318BD1" w14:textId="60783E75" w:rsidR="00C05D6D" w:rsidRPr="00DD24B9" w:rsidRDefault="006A0AA4"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It is usually based on the history and the finding of characteristic skin lesions, morphology, and distribution of skin lesions.</w:t>
            </w:r>
            <w:r w:rsidR="001B7CAD"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{"citationID":"b4ZRpm2p","properties":{"formattedCitation":"\\super 4\\nosupersub{}","plainCitation":"4","noteIndex":0},"citationItems":[{"id":54643,"uris":["http://zotero.org/groups/337550/items/V6S3JBS3"],"uri":["http://zotero.org/groups/337550/items/V6S3JBS3"],"itemData":{"id":54643,"type":"article-journal","abstract":"&lt;h2&gt;Summary&lt;/h2&gt;&lt;p&gt;Psoriasis is a common, chronic papulosquamous skin disease occurring worldwide, presenting at any age, and leading to a substantial burden for individuals and society. It is associated with several important medical conditions, including depression, psoriatic arthritis, and cardiometabolic syndrome. Its most common form, chronic plaque or psoriasis vulgaris, is a consequence of genetic susceptibility, particularly in the presence of the &lt;i&gt;HLA-C*06:02&lt;/i&gt; risk allele, and of environmental triggers such as streptococcal infection, stress, smoking, obesity, and alcohol consumption. There are several phenotypes and research has separated pustular from chronic plaque forms. Immunological and genetic studies have identified IL-17 and IL-23 as key drivers of psoriasis pathogenesis. Immune targeting of these cytokines and of TNFα by biological therapies has revolutionised the care of severe chronic plaque disease. Psoriasis cannot currently be cured, but management should aim to minimise physical and psychological harm by treating patients early in the disease process, identifying and preventing associated multimorbidity, instilling lifestyle modifications, and employing a personalised approach to treatment.&lt;/p&gt;","container-title":"The Lancet","DOI":"10.1016/S0140-6736(20)32549-6","ISSN":"0140-6736, 1474-547X","issue":"10281","journalAbbreviation":"The Lancet","language":"English","note":"publisher: Elsevier\nPMID: 33812489","page":"1301-1315","source":"www.thelancet.com","title":"Psoriasis","volume":"397","author":[{"family":"Griffiths","given":"Christopher E. M."},{"family":"Armstrong","given":"April W."},{"family":"Gudjonsson","given":"Johann E."},{"family":"Barker","given":"Jonathan N. W. N."}],"issued":{"date-parts":[["2021"]]}}}],"schema":"https://github.com/citation-style-language/schema/raw/master/csl-citation.json"} </w:instrText>
            </w:r>
            <w:r w:rsidR="001B7CAD" w:rsidRPr="00DD24B9">
              <w:rPr>
                <w:rFonts w:ascii="Times New Roman" w:hAnsi="Times New Roman" w:cs="Times New Roman"/>
                <w:sz w:val="20"/>
                <w:szCs w:val="20"/>
                <w:lang w:val="en-GB"/>
              </w:rPr>
              <w:fldChar w:fldCharType="separate"/>
            </w:r>
            <w:r w:rsidR="0099784B" w:rsidRPr="0099784B">
              <w:rPr>
                <w:rFonts w:ascii="Times New Roman" w:hAnsi="Times New Roman" w:cs="Times New Roman"/>
                <w:sz w:val="20"/>
                <w:szCs w:val="24"/>
                <w:vertAlign w:val="superscript"/>
              </w:rPr>
              <w:t>4</w:t>
            </w:r>
            <w:r w:rsidR="001B7CAD" w:rsidRPr="00DD24B9">
              <w:rPr>
                <w:rFonts w:ascii="Times New Roman" w:hAnsi="Times New Roman" w:cs="Times New Roman"/>
                <w:sz w:val="20"/>
                <w:szCs w:val="20"/>
                <w:lang w:val="en-GB"/>
              </w:rPr>
              <w:fldChar w:fldCharType="end"/>
            </w:r>
            <w:r w:rsidR="001B7CAD" w:rsidRPr="00DD24B9">
              <w:rPr>
                <w:rFonts w:ascii="Times New Roman" w:hAnsi="Times New Roman" w:cs="Times New Roman"/>
                <w:sz w:val="20"/>
                <w:szCs w:val="20"/>
                <w:lang w:val="en-GB"/>
              </w:rPr>
              <w:t>.</w:t>
            </w:r>
          </w:p>
          <w:p w14:paraId="51CDB64E" w14:textId="47A3C0D0" w:rsidR="001B7CAD" w:rsidRPr="00DD24B9" w:rsidRDefault="001B7CA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Moderate</w:t>
            </w:r>
            <w:r w:rsidR="00CC1634">
              <w:rPr>
                <w:rFonts w:ascii="Times New Roman" w:hAnsi="Times New Roman" w:cs="Times New Roman"/>
                <w:sz w:val="20"/>
                <w:szCs w:val="20"/>
                <w:lang w:val="en-GB"/>
              </w:rPr>
              <w:t>-</w:t>
            </w:r>
            <w:r w:rsidRPr="00DD24B9">
              <w:rPr>
                <w:rFonts w:ascii="Times New Roman" w:hAnsi="Times New Roman" w:cs="Times New Roman"/>
                <w:sz w:val="20"/>
                <w:szCs w:val="20"/>
                <w:lang w:val="en-GB"/>
              </w:rPr>
              <w:t>to</w:t>
            </w:r>
            <w:r w:rsidR="00CC1634">
              <w:rPr>
                <w:rFonts w:ascii="Times New Roman" w:hAnsi="Times New Roman" w:cs="Times New Roman"/>
                <w:sz w:val="20"/>
                <w:szCs w:val="20"/>
                <w:lang w:val="en-GB"/>
              </w:rPr>
              <w:t>-</w:t>
            </w:r>
            <w:r w:rsidRPr="00DD24B9">
              <w:rPr>
                <w:rFonts w:ascii="Times New Roman" w:hAnsi="Times New Roman" w:cs="Times New Roman"/>
                <w:sz w:val="20"/>
                <w:szCs w:val="20"/>
                <w:lang w:val="en-GB"/>
              </w:rPr>
              <w:t>severe psoriasis can be defined according to several parameters: involvement</w:t>
            </w:r>
            <w:r w:rsidR="00CC1634">
              <w:rPr>
                <w:rFonts w:ascii="Times New Roman" w:hAnsi="Times New Roman" w:cs="Times New Roman"/>
                <w:sz w:val="20"/>
                <w:szCs w:val="20"/>
                <w:lang w:val="en-GB"/>
              </w:rPr>
              <w:t xml:space="preserve"> </w:t>
            </w:r>
            <w:r w:rsidRPr="00DD24B9">
              <w:rPr>
                <w:rFonts w:ascii="Times New Roman" w:hAnsi="Times New Roman" w:cs="Times New Roman"/>
                <w:sz w:val="20"/>
                <w:szCs w:val="20"/>
                <w:lang w:val="en-GB"/>
              </w:rPr>
              <w:t>&gt;10% of the body surface; a Psoriasis Area Severity Index (PASI)</w:t>
            </w:r>
            <w:r w:rsidR="00CC1634">
              <w:rPr>
                <w:rFonts w:ascii="Times New Roman" w:hAnsi="Times New Roman" w:cs="Times New Roman"/>
                <w:sz w:val="20"/>
                <w:szCs w:val="20"/>
                <w:lang w:val="en-GB"/>
              </w:rPr>
              <w:t xml:space="preserve"> </w:t>
            </w:r>
            <w:r w:rsidR="006A0AA4" w:rsidRPr="00DD24B9">
              <w:rPr>
                <w:rFonts w:ascii="Times New Roman" w:hAnsi="Times New Roman" w:cs="Times New Roman"/>
                <w:sz w:val="20"/>
                <w:szCs w:val="20"/>
                <w:lang w:val="en-GB"/>
              </w:rPr>
              <w:sym w:font="Symbol" w:char="F0B3"/>
            </w:r>
            <w:r w:rsidRPr="00DD24B9">
              <w:rPr>
                <w:rFonts w:ascii="Times New Roman" w:hAnsi="Times New Roman" w:cs="Times New Roman"/>
                <w:sz w:val="20"/>
                <w:szCs w:val="20"/>
                <w:lang w:val="en-GB"/>
              </w:rPr>
              <w:t>10, or deterioration in quality of life evaluated by a Dermatology Quality of Life Index (DLQI)</w:t>
            </w:r>
            <w:r w:rsidR="00CC1634">
              <w:rPr>
                <w:rFonts w:ascii="Times New Roman" w:hAnsi="Times New Roman" w:cs="Times New Roman"/>
                <w:sz w:val="20"/>
                <w:szCs w:val="20"/>
                <w:lang w:val="en-GB"/>
              </w:rPr>
              <w:t xml:space="preserve"> </w:t>
            </w:r>
            <w:r w:rsidRPr="00DD24B9">
              <w:rPr>
                <w:rFonts w:ascii="Times New Roman" w:hAnsi="Times New Roman" w:cs="Times New Roman"/>
                <w:sz w:val="20"/>
                <w:szCs w:val="20"/>
                <w:lang w:val="en-GB"/>
              </w:rPr>
              <w:t>&gt;10</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{"citationID":"nZIyc8MF","properties":{"formattedCitation":"\\super 4\\nosupersub{}","plainCitation":"4","noteIndex":0},"citationItems":[{"id":54643,"uris":["http://zotero.org/groups/337550/items/V6S3JBS3"],"uri":["http://zotero.org/groups/337550/items/V6S3JBS3"],"itemData":{"id":54643,"type":"article-journal","abstract":"&lt;h2&gt;Summary&lt;/h2&gt;&lt;p&gt;Psoriasis is a common, chronic papulosquamous skin disease occurring worldwide, presenting at any age, and leading to a substantial burden for individuals and society. It is associated with several important medical conditions, including depression, psoriatic arthritis, and cardiometabolic syndrome. Its most common form, chronic plaque or psoriasis vulgaris, is a consequence of genetic susceptibility, particularly in the presence of the &lt;i&gt;HLA-C*06:02&lt;/i&gt; risk allele, and of environmental triggers such as streptococcal infection, stress, smoking, obesity, and alcohol consumption. There are several phenotypes and research has separated pustular from chronic plaque forms. Immunological and genetic studies have identified IL-17 and IL-23 as key drivers of psoriasis pathogenesis. Immune targeting of these cytokines and of TNFα by biological therapies has revolutionised the care of severe chronic plaque disease. Psoriasis cannot currently be cured, but management should aim to minimise physical and psychological harm by treating patients early in the disease process, identifying and preventing associated multimorbidity, instilling lifestyle modifications, and employing a personalised approach to treatment.&lt;/p&gt;","container-title":"The Lancet","DOI":"10.1016/S0140-6736(20)32549-6","ISSN":"0140-6736, 1474-547X","issue":"10281","journalAbbreviation":"The Lancet","language":"English","note":"publisher: Elsevier\nPMID: 33812489","page":"1301-1315","source":"www.thelancet.com","title":"Psoriasis","volume":"397","author":[{"family":"Griffiths","given":"Christopher E. M."},{"family":"Armstrong","given":"April W."},{"family":"Gudjonsson","given":"Johann E."},{"family":"Barker","given":"Jonathan N. W. N."}],"issued":{"date-parts":[["2021"]]}}}],"schema":"https://github.com/citation-style-language/schema/raw/master/csl-citation.json"}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4</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w:t>
            </w:r>
          </w:p>
        </w:tc>
      </w:tr>
      <w:tr w:rsidR="004722FF" w:rsidRPr="007B4152" w14:paraId="37C0754B" w14:textId="77777777" w:rsidTr="001B5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79FA07EC" w14:textId="77777777" w:rsidR="00C05D6D" w:rsidRPr="00DD24B9" w:rsidRDefault="00C05D6D" w:rsidP="001B57EC">
            <w:pPr>
              <w:spacing w:before="0" w:after="0" w:line="276" w:lineRule="auto"/>
              <w:rPr>
                <w:rFonts w:ascii="Times New Roman" w:hAnsi="Times New Roman" w:cs="Times New Roman"/>
                <w:sz w:val="20"/>
                <w:szCs w:val="20"/>
                <w:lang w:val="en-GB"/>
              </w:rPr>
            </w:pPr>
            <w:r w:rsidRPr="00DD24B9">
              <w:rPr>
                <w:rFonts w:ascii="Times New Roman" w:hAnsi="Times New Roman" w:cs="Times New Roman"/>
                <w:sz w:val="20"/>
                <w:szCs w:val="20"/>
                <w:lang w:val="en-GB"/>
              </w:rPr>
              <w:t xml:space="preserve">Mortality </w:t>
            </w:r>
          </w:p>
        </w:tc>
        <w:tc>
          <w:tcPr>
            <w:tcW w:w="13206" w:type="dxa"/>
            <w:tcMar>
              <w:top w:w="57" w:type="dxa"/>
              <w:bottom w:w="57" w:type="dxa"/>
            </w:tcMar>
          </w:tcPr>
          <w:p w14:paraId="080EF0A8" w14:textId="62E1459B"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Life expectancy: 3 to 6 years lower than that of the healthy population</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{"citationID":"2LzcR0BG","properties":{"formattedCitation":"\\super 4\\uc0\\u8211{}6\\nosupersub{}","plainCitation":"4–6","noteIndex":0},"citationItems":[{"id":54643,"uris":["http://zotero.org/groups/337550/items/V6S3JBS3"],"uri":["http://zotero.org/groups/337550/items/V6S3JBS3"],"itemData":{"id":54643,"type":"article-journal","abstract":"&lt;h2&gt;Summary&lt;/h2&gt;&lt;p&gt;Psoriasis is a common, chronic papulosquamous skin disease occurring worldwide, presenting at any age, and leading to a substantial burden for individuals and society. It is associated with several important medical conditions, including depression, psoriatic arthritis, and cardiometabolic syndrome. Its most common form, chronic plaque or psoriasis vulgaris, is a consequence of genetic susceptibility, particularly in the presence of the &lt;i&gt;HLA-C*06:02&lt;/i&gt; risk allele, and of environmental triggers such as streptococcal infection, stress, smoking, obesity, and alcohol consumption. There are several phenotypes and research has separated pustular from chronic plaque forms. Immunological and genetic studies have identified IL-17 and IL-23 as key drivers of psoriasis pathogenesis. Immune targeting of these cytokines and of TNFα by biological therapies has revolutionised the care of severe chronic plaque disease. Psoriasis cannot currently be cured, but management should aim to minimise physical and psychological harm by treating patients early in the disease process, identifying and preventing associated multimorbidity, instilling lifestyle modifications, and employing a personalised approach to treatment.&lt;/p&gt;","container-title":"The Lancet","DOI":"10.1016/S0140-6736(20)32549-6","ISSN":"0140-6736, 1474-547X","issue":"10281","journalAbbreviation":"The Lancet","language":"English","note":"publisher: Elsevier\nPMID: 33812489","page":"1301-1315","source":"www.thelancet.com","title":"Psoriasis","volume":"397","author":[{"family":"Griffiths","given":"Christopher E. M."},{"family":"Armstrong","given":"April W."},{"family":"Gudjonsson","given":"Johann E."},{"family":"Barker","given":"Jonathan N. W. N."}],"issued":{"date-parts":[["2021"]]}}},{"id":56027,"uris":["http://zotero.org/groups/337550/items/M3LTGSMR"],"uri":["http://zotero.org/groups/337550/items/M3LTGSMR"],"itemData":{"id":56027,"type":"article-journal","abstract":"BACKGROUND: Severe psoriasis is associated with excess mortality and increased risk of cardiovascular death. Population-based data evaluating cause-specific mortality in patients with psoriasis are limited.\nOBJECTIVES: To describe cause-specific mortality in patients with severe psoriasis.\nMETHODS: We performed a cohort study from 1987 to 2002 of patients ≥18 years using the General Practice Research Database. We compared patients with a psoriasis code and a history of systemic therapy consistent with severe psoriasis (n=3603) with patients with no history of psoriasis (n=14,330). Age- and sex-adjusted Cox models were created for each of the leading causes of death defined by the Centers for Disease Control.\nRESULTS: Patients with severe psoriasis were at increased risk of death from cardiovascular disease [hazard ratio (HR) 1·57, 95% confidence interval (CI) 1·26-1·96], malignancies (HR 1·41, 95% CI 1·07-1·86), chronic lower respiratory disease (HR 2·08, 95% CI 1·24-3·48), diabetes (HR 2·86, 95% CI 1·08-7·59), dementia (HR 3·64, 95% CI 1·36-9·72), infection (HR 1·65, 95% CI 1·26-2·18), kidney disease (HR 4·37, 95% CI 2·24-8·53) and unknown/missing causes (HR 1·43, 95% CI 1·09-1·89). The absolute and excess risk of death was highest for cardiovascular disease (61·9 and 3·5 deaths per 1000 patient-years, respectively).\nCONCLUSIONS: Severe psoriasis is associated with an increased risk of death from a variety of causes, with cardiovascular death being the most common aetiology. These patients were also at increased risk of death from causes not previously reported, such as infection, kidney disease and dementia. Additional studies are necessary to determine the degree to which excess causes of death are due to psoriasis, its treatments, associated behaviours, or other factors.","container-title":"The British Journal of Dermatology","DOI":"10.1111/j.1365-2133.2010.09941.x","ISSN":"1365-2133","issue":"3","journalAbbreviation":"Br J Dermatol","language":"eng","note":"PMID: 20633008\nPMCID: PMC2966545","page":"586-592","source":"PubMed","title":"Cause-specific mortality in patients with severe psoriasis: a population-based cohort study in the U.K","title-short":"Cause-specific mortality in patients with severe psoriasis","volume":"163","author":[{"family":"Abuabara","given":"K."},{"family":"Azfar","given":"R. S."},{"family":"Shin","given":"D. B."},{"family":"Neimann","given":"A. L."},{"family":"Troxel","given":"A. B."},{"family":"Gelfand","given":"J. M."}],"issued":{"date-parts":[["2010"]]}}},{"id":56043,"uris":["http://zotero.org/groups/337550/items/S8UWZJKM"],"uri":["http://zotero.org/groups/337550/items/S8UWZJKM"],"itemData":{"id":56043,"type":"article-journal","abstract":"OBJECTIVE: To determine the risk of mortality in patients with psoriasis.\nDESIGN: Cohort study.\nSETTING: General practitioners participating in the General Practice Research Database in the United Kingdom, 1987-2002.\nPATIENTS: Mild psoriasis, defined as any patient with a diagnostic code of psoriasis but no history of systemic therapy; severe psoriasis, any patient with a diagnostic code of psoriasis and a history of systemic therapy consistent with severe psoriasis. The unexposed (control) population was composed of patients with no history of a psoriasis diagnostic code. Control patients were selected in a 5:1 ratio from the same practice and date in practice as the patients with psoriasis.\nMAIN OUTCOME MEASURE: Hazard ratio (HR) of time to death using Cox proportional hazards models adjusted for age and sex.\nRESULTS: There was no overall effect of mild psoriasis on mortality (HR, 1.0; 95% confidence interval [CI], 0.97-1.02), whereas patients with severe psoriasis demonstrated an increased overall mortality risk (HR, 1.5; 95% CI, 1.3-1.7). The association of severe psoriasis with mortality persisted after adjustment for risk factors for mortality (HR, 1.4; 95% CI, 1.3-1.6) and after exclusion of patients with inflammatory arthropathy (HR, 1.5; 95% CI, 1.3-1.8). Male and female patients with severe psoriasis died 3.5 (95% CI, 1.2-5.8) and 4.4 (95% CI, 2.2-6.6) years younger, respectively, than patients without psoriasis (P &lt; .001).\nCONCLUSION: Severe but not mild psoriasis is associated with an increased risk of death.","container-title":"Archives of Dermatology","DOI":"10.1001/archderm.143.12.1493","ISSN":"1538-3652","issue":"12","journalAbbreviation":"Arch Dermatol","language":"eng","note":"PMID: 18086997","page":"1493-1499","source":"PubMed","title":"The risk of mortality in patients with psoriasis: results from a population-based study","title-short":"The risk of mortality in patients with psoriasis","volume":"143","author":[{"family":"Gelfand","given":"Joel M."},{"family":"Troxel","given":"Andrea B."},{"family":"Lewis","given":"James D."},{"family":"Kurd","given":"Shanu Kohli"},{"family":"Shin","given":"Daniel B."},{"family":"Wang","given":"Xingmei"},{"family":"Margolis","given":"David J."},{"family":"Strom","given":"Brian L."}],"issued":{"date-parts":[["2007"]]}}}],"schema":"https://github.com/citation-style-language/schema/raw/master/csl-citation.json"}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99784B">
              <w:rPr>
                <w:rFonts w:ascii="Times New Roman" w:hAnsi="Times New Roman" w:cs="Times New Roman"/>
                <w:sz w:val="20"/>
                <w:szCs w:val="24"/>
                <w:vertAlign w:val="superscript"/>
              </w:rPr>
              <w:t>4–6</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w:t>
            </w:r>
          </w:p>
          <w:p w14:paraId="403323B0" w14:textId="474A8A18"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Risk of death: 16% higher than in the healthy population (13% and 52% higher risk in moderate and severe psoriasis, respectively)</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{"citationID":"Al8XGUQl","properties":{"formattedCitation":"\\super 7\\nosupersub{}","plainCitation":"7","noteIndex":0},"citationItems":[{"id":55881,"uris":["http://zotero.org/groups/337550/items/X3JWUA7T"],"uri":["http://zotero.org/groups/337550/items/X3JWUA7T"],"itemData":{"id":55881,"type":"article-journal","abstract":"BACKGROUND: An overview of mortality risk associated with psoriasis is lacking.\nOBJECTIVE: To perform a systematic review and meta-analysis of mortality risk in psoriasis.\nMETHODS: We included studies reporting all-cause or cause-specific mortality risk estimates in psoriasis patients compared with general population or subjects free of psoriasis. We calculated pooled relative risks (RRs) and 95% confidence intervals (CIs).\nRESULTS: We included 12 studies. The pooled RRs for all-cause mortality were 1.21 (95% CI 1.14-1.28) in psoriasis, 1.13 (95% CI 1.09-1.16) in mild psoriasis, and 1.52 (95% CI 1.35-1.71) in severe psoriasis. The pooled RRs for cardiovascular mortality were 1.15 (95% CI 1.09-1.21) in psoriasis, 1.05 (95% CI 0.92-1.20) in mild psoriasis, and 1.38 (95% CI 1.09-1.74) in severe psoriasis. For noncardiovascular causes, mortality risk from liver disease, kidney disease, and infection was significantly increased in psoriasis, regardless of disease severity. The mortality risk in liver and kidney disease was the highest. There was also a significantly increased mortality risk associated with neoplasms in severe psoriasis patients and chronic lower respiratory disease in all and mild psoriasis patients.\nLIMITATIONS: Although associations were consistent, their magnitude was heterogenous.\nCONCLUSION: Psoriasis is associated with an increased risk for mortality from all causes (in a dose-response manner with disease severity) and from several specific causes.","container-title":"Journal of the American Academy of Dermatology","DOI":"10.1016/j.jaad.2018.12.037","ISSN":"1097-6787","issue":"5","journalAbbreviation":"J Am Acad Dermatol","language":"eng","note":"PMID: 30590074","page":"1332-1343","source":"PubMed","title":"All-cause and cause-specific mortality in psoriasis: A systematic review and meta-analysis","title-short":"All-cause and cause-specific mortality in psoriasis","volume":"80","author":[{"family":"Dhana","given":"Ashar"},{"family":"Yen","given":"Hsi"},{"family":"Yen","given":"Hsuan"},{"family":"Cho","given":"Eunyoung"}],"issued":{"date-parts":[["2019"]]}}}],"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7</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w:t>
            </w:r>
          </w:p>
          <w:p w14:paraId="04ECFBCB" w14:textId="1BED087B"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Risk of death from cardiovascular causes: 15% higher (38% higher for patients with severe psoriasis)</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{"citationID":"BTotJghw","properties":{"formattedCitation":"\\super 7\\nosupersub{}","plainCitation":"7","noteIndex":0},"citationItems":[{"id":55881,"uris":["http://zotero.org/groups/337550/items/X3JWUA7T"],"uri":["http://zotero.org/groups/337550/items/X3JWUA7T"],"itemData":{"id":55881,"type":"article-journal","abstract":"BACKGROUND: An overview of mortality risk associated with psoriasis is lacking.\nOBJECTIVE: To perform a systematic review and meta-analysis of mortality risk in psoriasis.\nMETHODS: We included studies reporting all-cause or cause-specific mortality risk estimates in psoriasis patients compared with general population or subjects free of psoriasis. We calculated pooled relative risks (RRs) and 95% confidence intervals (CIs).\nRESULTS: We included 12 studies. The pooled RRs for all-cause mortality were 1.21 (95% CI 1.14-1.28) in psoriasis, 1.13 (95% CI 1.09-1.16) in mild psoriasis, and 1.52 (95% CI 1.35-1.71) in severe psoriasis. The pooled RRs for cardiovascular mortality were 1.15 (95% CI 1.09-1.21) in psoriasis, 1.05 (95% CI 0.92-1.20) in mild psoriasis, and 1.38 (95% CI 1.09-1.74) in severe psoriasis. For noncardiovascular causes, mortality risk from liver disease, kidney disease, and infection was significantly increased in psoriasis, regardless of disease severity. The mortality risk in liver and kidney disease was the highest. There was also a significantly increased mortality risk associated with neoplasms in severe psoriasis patients and chronic lower respiratory disease in all and mild psoriasis patients.\nLIMITATIONS: Although associations were consistent, their magnitude was heterogenous.\nCONCLUSION: Psoriasis is associated with an increased risk for mortality from all causes (in a dose-response manner with disease severity) and from several specific causes.","container-title":"Journal of the American Academy of Dermatology","DOI":"10.1016/j.jaad.2018.12.037","ISSN":"1097-6787","issue":"5","journalAbbreviation":"J Am Acad Dermatol","language":"eng","note":"PMID: 30590074","page":"1332-1343","source":"PubMed","title":"All-cause and cause-specific mortality in psoriasis: A systematic review and meta-analysis","title-short":"All-cause and cause-specific mortality in psoriasis","volume":"80","author":[{"family":"Dhana","given":"Ashar"},{"family":"Yen","given":"Hsi"},{"family":"Yen","given":"Hsuan"},{"family":"Cho","given":"Eunyoung"}],"issued":{"date-parts":[["2019"]]}}}],"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7</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 xml:space="preserve">. </w:t>
            </w:r>
          </w:p>
          <w:p w14:paraId="128460F5" w14:textId="7F4C0151"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Risk of death from infections: 24% higher (41% higher in moderate psoriasis; 58% in severe psoriasis)</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{"citationID":"7QxOCv85","properties":{"formattedCitation":"\\super 7\\nosupersub{}","plainCitation":"7","noteIndex":0},"citationItems":[{"id":55881,"uris":["http://zotero.org/groups/337550/items/X3JWUA7T"],"uri":["http://zotero.org/groups/337550/items/X3JWUA7T"],"itemData":{"id":55881,"type":"article-journal","abstract":"BACKGROUND: An overview of mortality risk associated with psoriasis is lacking.\nOBJECTIVE: To perform a systematic review and meta-analysis of mortality risk in psoriasis.\nMETHODS: We included studies reporting all-cause or cause-specific mortality risk estimates in psoriasis patients compared with general population or subjects free of psoriasis. We calculated pooled relative risks (RRs) and 95% confidence intervals (CIs).\nRESULTS: We included 12 studies. The pooled RRs for all-cause mortality were 1.21 (95% CI 1.14-1.28) in psoriasis, 1.13 (95% CI 1.09-1.16) in mild psoriasis, and 1.52 (95% CI 1.35-1.71) in severe psoriasis. The pooled RRs for cardiovascular mortality were 1.15 (95% CI 1.09-1.21) in psoriasis, 1.05 (95% CI 0.92-1.20) in mild psoriasis, and 1.38 (95% CI 1.09-1.74) in severe psoriasis. For noncardiovascular causes, mortality risk from liver disease, kidney disease, and infection was significantly increased in psoriasis, regardless of disease severity. The mortality risk in liver and kidney disease was the highest. There was also a significantly increased mortality risk associated with neoplasms in severe psoriasis patients and chronic lower respiratory disease in all and mild psoriasis patients.\nLIMITATIONS: Although associations were consistent, their magnitude was heterogenous.\nCONCLUSION: Psoriasis is associated with an increased risk for mortality from all causes (in a dose-response manner with disease severity) and from several specific causes.","container-title":"Journal of the American Academy of Dermatology","DOI":"10.1016/j.jaad.2018.12.037","ISSN":"1097-6787","issue":"5","journalAbbreviation":"J Am Acad Dermatol","language":"eng","note":"PMID: 30590074","page":"1332-1343","source":"PubMed","title":"All-cause and cause-specific mortality in psoriasis: A systematic review and meta-analysis","title-short":"All-cause and cause-specific mortality in psoriasis","volume":"80","author":[{"family":"Dhana","given":"Ashar"},{"family":"Yen","given":"Hsi"},{"family":"Yen","given":"Hsuan"},{"family":"Cho","given":"Eunyoung"}],"issued":{"date-parts":[["2019"]]}}}],"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7</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w:t>
            </w:r>
          </w:p>
          <w:p w14:paraId="7B88520B" w14:textId="777EEE88"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2 times the risk of death from kidney and liver causes (up to 4 times higher in patients with severe psoriasis)</w:t>
            </w:r>
            <w:r w:rsidRPr="00DD24B9">
              <w:rPr>
                <w:rFonts w:ascii="Times New Roman" w:hAnsi="Times New Roman" w:cs="Times New Roman"/>
                <w:sz w:val="20"/>
                <w:szCs w:val="20"/>
                <w:lang w:val="en-GB"/>
              </w:rPr>
              <w:fldChar w:fldCharType="begin"/>
            </w:r>
            <w:r w:rsidR="00FE2771" w:rsidRPr="00DD24B9">
              <w:rPr>
                <w:rFonts w:ascii="Times New Roman" w:hAnsi="Times New Roman" w:cs="Times New Roman"/>
                <w:sz w:val="20"/>
                <w:szCs w:val="20"/>
                <w:lang w:val="en-GB"/>
              </w:rPr>
              <w:instrText xml:space="preserve"> ADDIN ZOTERO_ITEM CSL_CITATION {"citationID":"IGuJ96zV","properties":{"formattedCitation":"\\super 7\\nosupersub{}","plainCitation":"7","noteIndex":0},"citationItems":[{"id":55881,"uris":["http://zotero.org/groups/337550/items/X3JWUA7T"],"uri":["http://zotero.org/groups/337550/items/X3JWUA7T"],"itemData":{"id":55881,"type":"article-journal","abstract":"BACKGROUND: An overview of mortality risk associated with psoriasis is lacking.\nOBJECTIVE: To perform a systematic review and meta-analysis of mortality risk in psoriasis.\nMETHODS: We included studies reporting all-cause or cause-specific mortality risk estimates in psoriasis patients compared with general population or subjects free of psoriasis. We calculated pooled relative risks (RRs) and 95% confidence intervals (CIs).\nRESULTS: We included 12 studies. The pooled RRs for all-cause mortality were 1.21 (95% CI 1.14-1.28) in psoriasis, 1.13 (95% CI 1.09-1.16) in mild psoriasis, and 1.52 (95% CI 1.35-1.71) in severe psoriasis. The pooled RRs for cardiovascular mortality were 1.15 (95% CI 1.09-1.21) in psoriasis, 1.05 (95% CI 0.92-1.20) in mild psoriasis, and 1.38 (95% CI 1.09-1.74) in severe psoriasis. For noncardiovascular causes, mortality risk from liver disease, kidney disease, and infection was significantly increased in psoriasis, regardless of disease severity. The mortality risk in liver and kidney disease was the highest. There was also a significantly increased mortality risk associated with neoplasms in severe psoriasis patients and chronic lower respiratory disease in all and mild psoriasis patients.\nLIMITATIONS: Although associations were consistent, their magnitude was heterogenous.\nCONCLUSION: Psoriasis is associated with an increased risk for mortality from all causes (in a dose-response manner with disease severity) and from several specific causes.","container-title":"Journal of the American Academy of Dermatology","DOI":"10.1016/j.jaad.2018.12.037","ISSN":"1097-6787","issue":"5","journalAbbreviation":"J Am Acad Dermatol","language":"eng","note":"PMID: 30590074","page":"1332-1343","source":"PubMed","title":"All-cause and cause-specific mortality in psoriasis: A systematic review and meta-analysis","title-short":"All-cause and cause-specific mortality in psoriasis","volume":"80","author":[{"family":"Dhana","given":"Ashar"},{"family":"Yen","given":"Hsi"},{"family":"Yen","given":"Hsuan"},{"family":"Cho","given":"Eunyoung"}],"issued":{"date-parts":[["2019"]]}}}],"schema":"https://github.com/citation-style-language/schema/raw/master/csl-citation.json"} </w:instrText>
            </w:r>
            <w:r w:rsidRPr="00DD24B9">
              <w:rPr>
                <w:rFonts w:ascii="Times New Roman" w:hAnsi="Times New Roman" w:cs="Times New Roman"/>
                <w:sz w:val="20"/>
                <w:szCs w:val="20"/>
                <w:lang w:val="en-GB"/>
              </w:rPr>
              <w:fldChar w:fldCharType="separate"/>
            </w:r>
            <w:r w:rsidR="0099784B" w:rsidRPr="007B4152">
              <w:rPr>
                <w:rFonts w:ascii="Times New Roman" w:hAnsi="Times New Roman" w:cs="Times New Roman"/>
                <w:sz w:val="20"/>
                <w:szCs w:val="24"/>
                <w:vertAlign w:val="superscript"/>
                <w:lang w:val="en-US"/>
              </w:rPr>
              <w:t>7</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w:t>
            </w:r>
          </w:p>
        </w:tc>
      </w:tr>
      <w:tr w:rsidR="004722FF" w:rsidRPr="00DD24B9" w14:paraId="68E65008" w14:textId="77777777" w:rsidTr="001B57EC">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6D609D7A" w14:textId="77777777" w:rsidR="00C05D6D" w:rsidRPr="00DD24B9" w:rsidRDefault="00C05D6D" w:rsidP="001B57EC">
            <w:pPr>
              <w:spacing w:before="0" w:after="0" w:line="276" w:lineRule="auto"/>
              <w:rPr>
                <w:rFonts w:ascii="Times New Roman" w:hAnsi="Times New Roman" w:cs="Times New Roman"/>
                <w:sz w:val="20"/>
                <w:szCs w:val="20"/>
                <w:lang w:val="en-GB"/>
              </w:rPr>
            </w:pPr>
            <w:r w:rsidRPr="00DD24B9">
              <w:rPr>
                <w:rFonts w:ascii="Times New Roman" w:hAnsi="Times New Roman" w:cs="Times New Roman"/>
                <w:sz w:val="20"/>
                <w:szCs w:val="20"/>
                <w:lang w:val="en-GB"/>
              </w:rPr>
              <w:t>Morbidity</w:t>
            </w:r>
          </w:p>
        </w:tc>
        <w:tc>
          <w:tcPr>
            <w:tcW w:w="13206" w:type="dxa"/>
            <w:tcMar>
              <w:top w:w="57" w:type="dxa"/>
              <w:bottom w:w="57" w:type="dxa"/>
            </w:tcMar>
          </w:tcPr>
          <w:p w14:paraId="2E864C5B" w14:textId="382A6736"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 xml:space="preserve">Symptoms and signs: peeling </w:t>
            </w:r>
            <w:r w:rsidR="0099784B" w:rsidRPr="007A0A45">
              <w:rPr>
                <w:rFonts w:ascii="Times New Roman" w:hAnsi="Times New Roman" w:cs="Times New Roman"/>
                <w:sz w:val="20"/>
                <w:szCs w:val="20"/>
                <w:lang w:val="en-GB"/>
              </w:rPr>
              <w:t xml:space="preserve">of the </w:t>
            </w:r>
            <w:r w:rsidRPr="007A0A45">
              <w:rPr>
                <w:rFonts w:ascii="Times New Roman" w:hAnsi="Times New Roman" w:cs="Times New Roman"/>
                <w:sz w:val="20"/>
                <w:szCs w:val="20"/>
                <w:lang w:val="en-GB"/>
              </w:rPr>
              <w:t>skin, itching, redness (&lt;65% of patients), pain, fatigue, swelling, burning, bleeding and cracking (20% of patients)</w:t>
            </w:r>
            <w:r w:rsidRPr="007A0A45">
              <w:rPr>
                <w:rFonts w:ascii="Times New Roman" w:hAnsi="Times New Roman" w:cs="Times New Roman"/>
                <w:sz w:val="20"/>
                <w:szCs w:val="20"/>
                <w:lang w:val="en-GB"/>
              </w:rPr>
              <w:fldChar w:fldCharType="begin"/>
            </w:r>
            <w:r w:rsidR="00775F51" w:rsidRPr="007A0A45">
              <w:rPr>
                <w:rFonts w:ascii="Times New Roman" w:hAnsi="Times New Roman" w:cs="Times New Roman"/>
                <w:sz w:val="20"/>
                <w:szCs w:val="20"/>
                <w:lang w:val="en-GB"/>
              </w:rPr>
              <w:instrText xml:space="preserve"> ADDIN ZOTERO_ITEM CSL_CITATION {"citationID":"vyi7Kts8","properties":{"formattedCitation":"\\super 8,9\\nosupersub{}","plainCitation":"8,9","dontUpdate":true,"noteIndex":0},"citationItems":[{"id":20029,"uris":["http://zotero.org/groups/337550/items/PAWHD7UR"],"uri":["http://zotero.org/groups/337550/items/PAWHD7UR"],"itemData":{"id":20029,"type":"article-journal","container-title":"The British Journal of Dermatology","DOI":"10.1111/j.1365-2133.2006.07405.x","ISSN":"0007-0963","issue":"4","journalAbbreviation":"Br. J. Dermatol.","language":"eng","note":"PMID: 16965422","page":"729-736","source":"PubMed","title":"European patient perspectives on the impact of psoriasis: the EUROPSO patient membership survey","title-short":"European patient perspectives on the impact of psoriasis","volume":"155","author":[{"family":"Dubertret","given":"L."},{"family":"Mrowietz","given":"U."},{"family":"Ranki","given":"A."},{"family":"Kerkhof","given":"P. C. M.","non-dropping-particle":"van de"},{"family":"Chimenti","given":"S."},{"family":"Lotti","given":"T."},{"family":"Schäfer","given":"G."},{"literal":"EUROPSO Patient Survey Group"}],"issued":{"date-parts":[["2006"]]}}},{"id":19241,"uris":["http://zotero.org/groups/337550/items/FGWCZ9RH"],"uri":["http://zotero.org/groups/337550/items/FGWCZ9RH"],"itemData":{"id":19241,"type":"article-journal","container-title":"Journal of the American Academy of Dermatology","DOI":"10.1016/j.jaad.2013.12.018","ISSN":"01909622","issue":"5","language":"en","page":"871-881.e30","source":"CrossRef","title":"Patient perspectives in the management of psoriasis: Results from the population-based Multinational Assessment of Psoriasis and Psoriatic Arthritis Survey","title-short":"Patient perspectives in the management of psoriasis","volume":"70","author":[{"family":"Lebwohl","given":"Mark G."},{"family":"Bachelez","given":"Hervé"},{"family":"Barker","given":"Jonathan"},{"family":"Girolomoni","given":"Giampiero"},{"family":"Kavanaugh","given":"Arthur"},{"family":"Langley","given":"Richard G."},{"family":"Paul","given":"Carle F."},{"family":"Puig","given":"Lluís"},{"family":"Reich","given":"Kristian"},{"family":"Kerkhof","given":"Peter C.M.","non-dropping-particle":"van de"}],"issued":{"date-parts":[["2014"]]}}}],"schema":"https://github.com/citation-style-language/schema/raw/master/csl-citation.json"} </w:instrText>
            </w:r>
            <w:r w:rsidRPr="007A0A45">
              <w:rPr>
                <w:rFonts w:ascii="Times New Roman" w:hAnsi="Times New Roman" w:cs="Times New Roman"/>
                <w:sz w:val="20"/>
                <w:szCs w:val="20"/>
                <w:lang w:val="en-GB"/>
              </w:rPr>
              <w:fldChar w:fldCharType="separate"/>
            </w:r>
            <w:r w:rsidR="001B7CAD" w:rsidRPr="007A0A45">
              <w:rPr>
                <w:rFonts w:ascii="Times New Roman" w:hAnsi="Times New Roman" w:cs="Times New Roman"/>
                <w:sz w:val="20"/>
                <w:szCs w:val="20"/>
                <w:vertAlign w:val="superscript"/>
                <w:lang w:val="en-GB"/>
              </w:rPr>
              <w:t>8.9</w:t>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 xml:space="preserve">. </w:t>
            </w:r>
          </w:p>
          <w:p w14:paraId="712BFC6C" w14:textId="15AD1BAF"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Comorbidities: psoriatic arthritis (25-35% of patients), overweight (53%), hypertension (18%), diabetes (8%), and increased risk of inflammatory bowel disease and liver disease</w:t>
            </w:r>
            <w:r w:rsidRPr="007A0A45">
              <w:rPr>
                <w:rFonts w:ascii="Times New Roman" w:hAnsi="Times New Roman" w:cs="Times New Roman"/>
                <w:sz w:val="20"/>
                <w:szCs w:val="20"/>
                <w:lang w:val="en-GB"/>
              </w:rPr>
              <w:fldChar w:fldCharType="begin"/>
            </w:r>
            <w:r w:rsidR="00775F51" w:rsidRPr="007A0A45">
              <w:rPr>
                <w:rFonts w:ascii="Times New Roman" w:hAnsi="Times New Roman" w:cs="Times New Roman"/>
                <w:sz w:val="20"/>
                <w:szCs w:val="20"/>
                <w:lang w:val="en-GB"/>
              </w:rPr>
              <w:instrText xml:space="preserve"> ADDIN ZOTERO_ITEM CSL_CITATION {"citationID":"fC3k6DXH","properties":{"formattedCitation":"\\super 10\\nosupersub{}","plainCitation":"10","noteIndex":0},"citationItems":[{"id":22500,"uris":["http://zotero.org/groups/337550/items/X7GR96BV"],"uri":["http://zotero.org/groups/337550/items/X7GR96BV"],"itemData":{"id":22500,"type":"article-journal","abstract":"Psoriasis is a common, chronic inflammatory immunologically mediated disease of the skin, showing a high prevalence of associated comorbidities, and strongly affecting patients' health-related quality of life (HR-QOL), with profound impact on the psychological aspect. We aimed to establish the correlation between HR-QOL and the associated comorbidities in patients with moderate to severe psoriasis in Spain. A cross-sectional, observational, epidemiological study was conducted at 68 dermatology-based centers across Spain. From October 2010 to June 2011, all adult patients diagnosed with moderate to severe psoriasis at least 6 months prior to the study visit and receiving or not receiving treatment for psoriasis were eligible for inclusion. A total of 1022 patients were included. The study population showed mean 36-item short-form (SF-36) physical and mental health scores and Dermatological Life Quality Index (DLQI) of 49.7, 46.2 and 5.3, respectively. The multiple linear regression models showed that patients with moderate to severe psoriasis and a diagnosis of psoriatic arthritis (PsA), hypertension, diabetes mellitus, sleep disturbances or obesity were found to have lower SF-36 health physical scores. Female patients with depression or anxiety disorders had lower SF-36 health mental scores. Patients diagnosed with moderate to severe psoriatic disease and associated anxiety disorder had greater DLQI scores. Moderate to severe psoriasis has a significant burden on the HR-QOL of patients. Regardless of sex, patients with several comorbidities such as PsA, hypertension or obesity were found to have worse scores in the physical component of the QOL questionnaire, whilst women were more affected in the mental health component than men.","container-title":"The Journal of Dermatology","DOI":"10.1111/1346-8138.12465","ISSN":"1346-8138","issue":"8","journalAbbreviation":"J Dermatol","language":"en","page":"673-678","source":"Wiley Online Library","title":"Comorbidities and health-related quality of life in Spanish patients with moderate to severe psoriasis: A cross-sectional study (Arizona study)","title-short":"Comorbidities and health-related quality of life in Spanish patients with moderate to severe psoriasis","volume":"41","author":[{"family":"Sanchez-Carazo","given":"Jose Luis"},{"family":"López-Estebaranz","given":"Jose Luis"},{"family":"Guisado","given":"Cristina"}],"issued":{"date-parts":[["2014"]]}}}],"schema":"https://github.com/citation-style-language/schema/raw/master/csl-citation.json"} </w:instrText>
            </w:r>
            <w:r w:rsidRPr="007A0A45">
              <w:rPr>
                <w:rFonts w:ascii="Times New Roman" w:hAnsi="Times New Roman" w:cs="Times New Roman"/>
                <w:sz w:val="20"/>
                <w:szCs w:val="20"/>
                <w:lang w:val="en-GB"/>
              </w:rPr>
              <w:fldChar w:fldCharType="separate"/>
            </w:r>
            <w:r w:rsidR="0099784B" w:rsidRPr="007A0A45">
              <w:rPr>
                <w:rFonts w:ascii="Times New Roman" w:hAnsi="Times New Roman" w:cs="Times New Roman"/>
                <w:sz w:val="20"/>
                <w:szCs w:val="20"/>
                <w:vertAlign w:val="superscript"/>
              </w:rPr>
              <w:t>10</w:t>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p w14:paraId="3F7FB25F" w14:textId="651984A0"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Psychological state: anxiety / depression (39% of patients), major anxiety / depression (19%)</w:t>
            </w:r>
            <w:r w:rsidR="0099784B" w:rsidRPr="007A0A45">
              <w:rPr>
                <w:rFonts w:ascii="Times New Roman" w:hAnsi="Times New Roman" w:cs="Times New Roman"/>
                <w:sz w:val="20"/>
                <w:szCs w:val="20"/>
                <w:lang w:val="es-ES_tradnl"/>
              </w:rPr>
              <w:fldChar w:fldCharType="begin"/>
            </w:r>
            <w:r w:rsidR="0099784B" w:rsidRPr="007B4152">
              <w:rPr>
                <w:rFonts w:ascii="Times New Roman" w:hAnsi="Times New Roman" w:cs="Times New Roman"/>
                <w:sz w:val="20"/>
                <w:szCs w:val="20"/>
                <w:lang w:val="en-US"/>
              </w:rPr>
              <w:instrText xml:space="preserve"> ADDIN ZOTERO_ITEM CSL_CITATION {"citationID":"vOJu4CiZ","properties":{"formattedCitation":"\\super 11\\nosupersub{}","plainCitation":"11","noteIndex":0},"citationItems":[{"id":57801,"uris":["http://zotero.org/groups/337550/items/LQT4UP4E"],"uri":["http://zotero.org/groups/337550/items/LQT4UP4E"],"itemData":{"id":57801,"type":"article-journal","abstract":"BACKGROUND: Anxiety and depression are clinically significant comorbidities associated with psoriasis. Improvements in psoriasis are known to decrease anxiety and depression. Guselkumab, an anti-interleukin-23 monoclonal antibody, has demonstrated efficacy and safety for the treatment of moderate-to-severe psoriasis.\nOBJECTIVE: Assess improvements in anxiety and depression with guselkumab vs. placebo and adalimumab using the Hospital Anxiety and Depression Scale (HADS).\nMETHODS: In VOYAGE 2, a Phase 3, randomized, double-blind, placebo- and adalimumab-controlled study, patients received placebo (through week 16 followed by crossover to guselkumab), guselkumab, or adalimumab through week 24. HADS consists of two subscales measuring anxiety (HADS-A) and depression (HADS-D), with scores ranging from 0 to 21 and higher scores indicating more severe symptoms. Scores ≥8 indicate instrument-defined anxiety or depression. Severity of psoriasis was assessed using the Psoriasis Area and Severity Index (PASI).\nRESULTS: Among 989 patients randomized (with baseline HADS measurements), mean HADS-A and HADS-D scores were 6.8 ± 4.2 and 5.3 ± 4.2, respectively; 38.6% of patients reported HADS-A ≥8 and 27.7% HADS-D ≥8 at baseline. At week 16, a significantly greater proportion of guselkumab patients with baseline HADS-A or HADS-D ≥8 reported HADS-A &lt;8 (51.4% vs. 25.9%; P &lt; 0.001) or HADS-D &lt;8 (59.2% vs. 27.0%; P &lt; 0.001) vs. placebo patients. At week 24, a greater proportion of guselkumab patients with baseline HADS-A or HADS-D ≥8 reported HADS-A &lt;8 (58.4% vs. 42.9%; P = 0.028) or HADS-D &lt;8 (59.8% vs. 46.4%; P = 0.079) vs. adalimumab patients. PASI improvements correlated with improvement in anxiety (r = 0.27; P &lt; 0.0001) and depression (r = 0.25; P &lt; 0.0001) scores in patients with baseline HADS-A or HADS-D ≥8. Greater improvements in HADS were also observed at week 16 in guselkumab-treated patients vs. placebo using a more stringent cut-off of HADS ≥11.\nCONCLUSION: Guselkumab treatment was associated with greater improvements in symptoms of anxiety and depression scores in patients with psoriasis compared with placebo and adalimumab.","container-title":"Journal of the European Academy of Dermatology and Venereology: JEADV","DOI":"10.1111/jdv.15012","ISSN":"1468-3083","issue":"11","journalAbbreviation":"J Eur Acad Dermatol Venereol","language":"eng","note":"PMID: 29706008","page":"1940-1949","source":"PubMed","title":"Anxiety and depression in patients with moderate-to-severe psoriasis and comparison of change from </w:instrText>
            </w:r>
            <w:r w:rsidR="0099784B" w:rsidRPr="007A0A45">
              <w:rPr>
                <w:rFonts w:ascii="Times New Roman" w:hAnsi="Times New Roman" w:cs="Times New Roman"/>
                <w:sz w:val="20"/>
                <w:szCs w:val="20"/>
                <w:lang w:val="es-ES_tradnl"/>
              </w:rPr>
              <w:instrText xml:space="preserve">baseline after treatment with guselkumab vs. adalimumab: results from the Phase 3 VOYAGE 2 study","title-short":"Anxiety and depression in patients with moderate-to-severe psoriasis and comparison of change from baseline after treatment with guselkumab vs. adalimumab","volume":"32","author":[{"family":"Gordon","given":"K. B."},{"family":"Armstrong","given":"A. W."},{"family":"Han","given":"C."},{"family":"Foley","given":"P."},{"family":"Song","given":"M."},{"family":"Wasfi","given":"Y."},{"family":"You","given":"Y."},{"family":"Shen","given":"Y.-K."},{"family":"Reich","given":"K."}],"issued":{"date-parts":[["2018"]]}}}],"schema":"https://github.com/citation-style-language/schema/raw/master/csl-citation.json"} </w:instrText>
            </w:r>
            <w:r w:rsidR="0099784B" w:rsidRPr="007A0A45">
              <w:rPr>
                <w:rFonts w:ascii="Times New Roman" w:hAnsi="Times New Roman" w:cs="Times New Roman"/>
                <w:sz w:val="20"/>
                <w:szCs w:val="20"/>
                <w:lang w:val="es-ES_tradnl"/>
              </w:rPr>
              <w:fldChar w:fldCharType="separate"/>
            </w:r>
            <w:r w:rsidR="0099784B" w:rsidRPr="007A0A45">
              <w:rPr>
                <w:rFonts w:ascii="Times New Roman" w:hAnsi="Times New Roman" w:cs="Times New Roman"/>
                <w:sz w:val="20"/>
                <w:szCs w:val="20"/>
                <w:vertAlign w:val="superscript"/>
              </w:rPr>
              <w:t>11</w:t>
            </w:r>
            <w:r w:rsidR="0099784B" w:rsidRPr="007A0A45">
              <w:rPr>
                <w:rFonts w:ascii="Times New Roman" w:hAnsi="Times New Roman" w:cs="Times New Roman"/>
                <w:sz w:val="20"/>
                <w:szCs w:val="20"/>
                <w:lang w:val="es-ES_tradnl"/>
              </w:rPr>
              <w:fldChar w:fldCharType="end"/>
            </w:r>
            <w:r w:rsidRPr="007A0A45">
              <w:rPr>
                <w:rFonts w:ascii="Times New Roman" w:hAnsi="Times New Roman" w:cs="Times New Roman"/>
                <w:sz w:val="20"/>
                <w:szCs w:val="20"/>
                <w:lang w:val="en-GB"/>
              </w:rPr>
              <w:t>.</w:t>
            </w:r>
          </w:p>
          <w:p w14:paraId="20EAB929" w14:textId="356E0678"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Social activities: discrimination / humiliation (80-90% of patients), discomfort in appointments (72%) and intimate relationships (60%)</w:t>
            </w:r>
            <w:r w:rsidRPr="007A0A45">
              <w:rPr>
                <w:rFonts w:ascii="Times New Roman" w:hAnsi="Times New Roman" w:cs="Times New Roman"/>
                <w:sz w:val="20"/>
                <w:szCs w:val="20"/>
                <w:lang w:val="en-GB"/>
              </w:rPr>
              <w:fldChar w:fldCharType="begin"/>
            </w:r>
            <w:r w:rsidR="00775F51" w:rsidRPr="007A0A45">
              <w:rPr>
                <w:rFonts w:ascii="Times New Roman" w:hAnsi="Times New Roman" w:cs="Times New Roman"/>
                <w:sz w:val="20"/>
                <w:szCs w:val="20"/>
                <w:lang w:val="en-GB"/>
              </w:rPr>
              <w:instrText xml:space="preserve"> ADDIN ZOTERO_ITEM CSL_CITATION {"citationID":"clE1Lbjb","properties":{"formattedCitation":"\\super 12,13\\nosupersub{}","plainCitation":"12,13","dontUpdate":true,"noteIndex":0},"citationItems":[{"id":54813,"uris":["http://zotero.org/groups/337550/items/32GZ8KST"],"uri":["http://zotero.org/groups/337550/items/32GZ8KST"],"itemData":{"id":54813,"type":"article-journal","abstract":"BACKGROUND: Therapeutic advances have made the achievement of clear/almost clear skin possible for many patients with moderate-to-severe plaque psoriasis.\nOBJECTIVE: To determine patient perceptions of the impact of psoriasis and of attaining clear/almost clear skin.\nMETHODS: Global survey of patients with moderate-to-severe psoriasis.\nRESULTS: A total of 8338 patients from 31 countries participated. The majority (57%) had not achieved self-assessed clear/almost clear skin with their current therapy, and 56% of those who had not met this goal believed it would be impossible to do so. Among the patients who had clear/almost clear skin, 73% had not initiated their current treatment until &gt;1 year after psoriasis diagnosis, and 28% had to wait &gt;5 years. Eighty-four percent of all respondents experienced discrimination and/or humiliation due to psoriasis, and many reported negative effects on work, intimate relationships, sleep and mental health. Patients without clear/almost clear skin reported that such achievement would open new possibilities, such as swimming (58%), a wider choice of clothing (40%), and meeting new people (26%). A limitation of this study, as with any survey-based research, is that selection and recall bias may have been present. Additionally, respondent definitions of clear/almost clear skin were subjective and may have varied.\nCONCLUSION: Despite the importance of clear/almost clear skin to psoriasis patients, most are still not achieving it, and many are unaware it is possible.","container-title":"Journal of the European Academy of Dermatology and Venereology: JEADV","DOI":"10.1111/jdv.15065","ISSN":"1468-3083","issue":"12","journalAbbreviation":"J Eur Acad Dermatol Venereol","language":"eng","note":"PMID: 29730888","page":"2200-2207","source":"PubMed","title":"Patient perceptions of clear/almost clear skin in moderate-to-severe plaque psoriasis: results of the Clear About Psoriasis worldwide survey","title-short":"Patient perceptions of clear/almost clear skin in moderate-to-severe plaque psoriasis","volume":"32","author":[{"family":"Armstrong","given":"A."},{"family":"Jarvis","given":"S."},{"family":"Boehncke","given":"W.-H."},{"family":"Rajagopalan","given":"M."},{"family":"Fernández-Peñas","given":"P."},{"family":"Romiti","given":"R."},{"family":"Bewley","given":"A."},{"family":"Vaid","given":"B."},{"family":"Huneault","given":"L."},{"family":"Fox","given":"T."},{"family":"Sodha","given":"M."},{"family":"Warren","given":"R. B."}],"issued":{"date-parts":[["2018"]]}}},{"id":54809,"uris":["http://zotero.org/groups/337550/items/ZUQAVYSU"],"uri":["http://zotero.org/groups/337550/items/ZUQAVYSU"],"itemData":{"id":54809,"type":"webpage","title":"Extending psychosocial assessment of patients with psoriasis in the UK, using a self‐rated, web‐based survey - Anstey - 2012 - Clinical and Experimental Dermatology - Wiley Online Library","URL":"https://onlinelibrary.wiley.com/doi/abs/10.1111/j.1365-2230.2012.04457.x"}}],"schema":"https://github.com/citation-style-language/schema/raw/master/csl-citation.json"} </w:instrText>
            </w:r>
            <w:r w:rsidRPr="007A0A45">
              <w:rPr>
                <w:rFonts w:ascii="Times New Roman" w:hAnsi="Times New Roman" w:cs="Times New Roman"/>
                <w:sz w:val="20"/>
                <w:szCs w:val="20"/>
                <w:lang w:val="en-GB"/>
              </w:rPr>
              <w:fldChar w:fldCharType="separate"/>
            </w:r>
            <w:r w:rsidR="001B7CAD" w:rsidRPr="007A0A45">
              <w:rPr>
                <w:rFonts w:ascii="Times New Roman" w:hAnsi="Times New Roman" w:cs="Times New Roman"/>
                <w:sz w:val="20"/>
                <w:szCs w:val="20"/>
                <w:vertAlign w:val="superscript"/>
                <w:lang w:val="en-GB"/>
              </w:rPr>
              <w:t>12.13</w:t>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p w14:paraId="67CE1AC8" w14:textId="4897E7E1" w:rsidR="00C05D6D" w:rsidRPr="00DD24B9"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Daily activities: levels of affectation of 7/10 (severe) vs. 3/10 (mild)</w:t>
            </w:r>
            <w:r w:rsidR="007A0A45" w:rsidRPr="007A0A45">
              <w:rPr>
                <w:rFonts w:ascii="Times New Roman" w:hAnsi="Times New Roman" w:cs="Times New Roman"/>
                <w:sz w:val="20"/>
                <w:szCs w:val="20"/>
                <w:lang w:val="en-GB"/>
              </w:rPr>
              <w:fldChar w:fldCharType="begin"/>
            </w:r>
            <w:r w:rsidR="007A0A45" w:rsidRPr="007A0A45">
              <w:rPr>
                <w:rFonts w:ascii="Times New Roman" w:hAnsi="Times New Roman" w:cs="Times New Roman"/>
                <w:sz w:val="20"/>
                <w:szCs w:val="20"/>
                <w:lang w:val="en-GB"/>
              </w:rPr>
              <w:instrText xml:space="preserve"> ADDIN ZOTERO_ITEM CSL_CITATION {"citationID":"2fEdgjBR","properties":{"formattedCitation":"\\super 14\\nosupersub{}","plainCitation":"14","noteIndex":0},"citationItems":[{"id":56155,"uris":["http://zotero.org/groups/337550/items/QB2FQ45L"],"uri":["http://zotero.org/groups/337550/items/QB2FQ45L"],"itemData":{"id":56155,"type":"article-journal","abstract":"OBJECTIVE: To ascertain impairment in quality of life and work productivity among patients with psoriasis and psoriatic arthritis.\nDESIGN: From 2003 through 2011, the National Psoriasis Foundation collected survey data from patients with psoriasis and psoriatic arthritis via email and telephone correspondences.\nSETTING: Survey data were collected from psoriasis and psoriatic arthritis patients in the general community in the U.S.\nMAIN OUTCOME MEASURES: Quality of life focusing on emotional impact (anger, frustration, helplessness, etc.) and physical impact (pain, pruritus, physical irritation, etc.); employment status.\nPATIENTS: The surveys were performed through random sampling of participants from a database of over 75,000 patients.\nRESULTS: From 2003 to 2011, 5,604 patients completed the surveys. Psoriasis and psoriatic arthritis affected overall emotional wellbeing in 88% of patients, and they interfered with enjoyment of life in 82%. Most patients reported experiencing anger (89%), frustration (89%), helplessness (87%), embarrassment (87%), and self-consciousness (89%). Many patients also actively concealed physical manifestations of their diseases (83%), and experienced pain (83%) and pruritus (93%) regularly. Of note, 12% of patients were unemployed, and 11% worked part-time. Among unemployed patients, 92% cited psoriasis and/or psoriatic arthritis as the sole reasons for not working. Among working patients, 49% missed work days regularly due to psoriasis. Compared to patients with mild psoriasis, patients with severe psoriasis have 1.8 times greater odds to be unemployed after adjusting for age and gender (Adjusted OR = 1.7, 95% CI 1.4-2.3).\nCONCLUSION: Patients with psoriasis and psoriatic arthritis continue to experience significant impairment of quality of life and work productivity.","container-title":"PloS One","DOI":"10.1371/journal.pone.0052935","ISSN":"1932-6203","issue":"12","journalAbbreviation":"PLoS One","language":"eng","note":"PMID: 23285231\nPMCID: PMC3532407","page":"e52935","source":"PubMed","title":"Quality of life and work productivity impairment among psoriasis patients: findings from the National Psoriasis Foundation survey data 2003-2011","title-short":"Quality of life and work productivity impairment among psoriasis patients","volume":"7","author":[{"family":"Armstrong","given":"April W."},{"family":"Schupp","given":"Clayton"},{"family":"Wu","given":"Julie"},{"family":"Bebo","given":"Bruce"}],"issued":{"date-parts":[["2012"]]}},"locator":"2003–2011"}],"schema":"https://github.com/citation-style-language/schema/raw/master/csl-citation.json"} </w:instrText>
            </w:r>
            <w:r w:rsidR="007A0A45" w:rsidRPr="007A0A45">
              <w:rPr>
                <w:rFonts w:ascii="Times New Roman" w:hAnsi="Times New Roman" w:cs="Times New Roman"/>
                <w:sz w:val="20"/>
                <w:szCs w:val="20"/>
                <w:lang w:val="en-GB"/>
              </w:rPr>
              <w:fldChar w:fldCharType="separate"/>
            </w:r>
            <w:r w:rsidR="007A0A45" w:rsidRPr="007A0A45">
              <w:rPr>
                <w:rFonts w:ascii="Times New Roman" w:hAnsi="Times New Roman" w:cs="Times New Roman"/>
                <w:sz w:val="20"/>
                <w:szCs w:val="20"/>
                <w:vertAlign w:val="superscript"/>
              </w:rPr>
              <w:t>14</w:t>
            </w:r>
            <w:r w:rsidR="007A0A45"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 days without activities (32 vs 11, without / with treatment)</w:t>
            </w:r>
            <w:r w:rsidR="007A0A45" w:rsidRPr="007A0A45">
              <w:rPr>
                <w:rFonts w:ascii="Times New Roman" w:hAnsi="Times New Roman" w:cs="Times New Roman"/>
                <w:sz w:val="20"/>
                <w:szCs w:val="20"/>
                <w:lang w:val="en-GB"/>
              </w:rPr>
              <w:fldChar w:fldCharType="begin"/>
            </w:r>
            <w:r w:rsidR="007A0A45" w:rsidRPr="007A0A45">
              <w:rPr>
                <w:rFonts w:ascii="Times New Roman" w:hAnsi="Times New Roman" w:cs="Times New Roman"/>
                <w:sz w:val="20"/>
                <w:szCs w:val="20"/>
                <w:lang w:val="en-GB"/>
              </w:rPr>
              <w:instrText xml:space="preserve"> ADDIN ZOTERO_ITEM CSL_CITATION {"citationID":"RG7jwDNl","properties":{"formattedCitation":"\\super 15\\nosupersub{}","plainCitation":"15","noteIndex":0},"citationItems":[{"id":54690,"uris":["http://zotero.org/groups/337550/items/F76INQVA"],"uri":["http://zotero.org/groups/337550/items/F76INQVA"],"itemData":{"id":54690,"type":"article-journal","abstract":"BACKGROUND: Psoriasis is frequently associated with cardiometabolic comorbidities and depression that are risk factors for cognitive impairment.\nOBJECTIVE: To investigate cognitive performance in psoriatic patients.\nMETHOD: Cognitive performances were assessed by neuropsychological tests in 41 patients with psoriasis and 37 controls. Diagnostic criteria for mild cognitive impairment (MCI) were (1) subjective complaint of a memory deficit, confirmed by a relative or caregiver, (2) pathological performance on neuropsychological tests investigating cognitive domains, (3) normal performance of daily living activities and (4) no dementia. Neuroimaging was studied by high-field magnetic resonance imaging and cortical thickness analysis.\nRESULTS: MCI was found in 18 out of 41 (44%) patients with psoriasis compared to 4 out of 37 (11%) controls (p = 0.002). In particular, patients with psoriasis had lower scores in the delayed recall of the Rey Auditory Verbal Learning Test (p = 0.04), Backwards Digit Span Test (p = 0.002), Weigl's Sorting Test (p = 0.01) and Trail Making Test B (p = 0.008). In the 7 patients submitted to cortical thickness analysis, a reduction in brain thickness in parahippocampal, superior temporal and frontal gyri of the left hemisphere was observed.\nCONCLUSIONS: Patients with psoriasis may have a precocious impairment of long-term verbal memory, executive functions and attention.","container-title":"Dermatology (Basel, Switzerland)","DOI":"10.1159/000357220","ISSN":"1421-9832","issue":"1","journalAbbreviation":"Dermatology","language":"eng","note":"PMID: 24434720","page":"78-85","source":"PubMed","title":"Mild cognitive impairment in patients with moderate to severe chronic plaque psoriasis","volume":"228","author":[{"family":"Gisondi","given":"Paolo"},{"family":"Sala","given":"Francesca"},{"family":"Alessandrini","given":"Franco"},{"family":"Avesani","given":"Virginia"},{"family":"Zoccatelli","given":"Giada"},{"family":"Beltramello","given":"Alberto"},{"family":"Moretto","given":"Giuseppe"},{"family":"Gambina","given":"Giuseppe"},{"family":"Girolomoni","given":"Giampiero"}],"issued":{"date-parts":[["2014"]]}}}],"schema":"https://github.com/citation-style-language/schema/raw/master/csl-citation.json"} </w:instrText>
            </w:r>
            <w:r w:rsidR="007A0A45" w:rsidRPr="007A0A45">
              <w:rPr>
                <w:rFonts w:ascii="Times New Roman" w:hAnsi="Times New Roman" w:cs="Times New Roman"/>
                <w:sz w:val="20"/>
                <w:szCs w:val="20"/>
                <w:lang w:val="en-GB"/>
              </w:rPr>
              <w:fldChar w:fldCharType="separate"/>
            </w:r>
            <w:r w:rsidR="007A0A45" w:rsidRPr="007A0A45">
              <w:rPr>
                <w:rFonts w:ascii="Times New Roman" w:hAnsi="Times New Roman" w:cs="Times New Roman"/>
                <w:sz w:val="20"/>
                <w:szCs w:val="20"/>
                <w:vertAlign w:val="superscript"/>
              </w:rPr>
              <w:t>15</w:t>
            </w:r>
            <w:r w:rsidR="007A0A45"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tc>
      </w:tr>
      <w:tr w:rsidR="004722FF" w:rsidRPr="00DD24B9" w14:paraId="2CC5094F" w14:textId="77777777" w:rsidTr="001B5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669939E4" w14:textId="77777777" w:rsidR="00C05D6D" w:rsidRPr="00DD24B9" w:rsidRDefault="00C05D6D" w:rsidP="001B57EC">
            <w:pPr>
              <w:spacing w:before="0" w:after="0" w:line="276" w:lineRule="auto"/>
              <w:rPr>
                <w:rFonts w:ascii="Times New Roman" w:hAnsi="Times New Roman" w:cs="Times New Roman"/>
                <w:sz w:val="20"/>
                <w:szCs w:val="20"/>
                <w:lang w:val="en-GB"/>
              </w:rPr>
            </w:pPr>
            <w:r w:rsidRPr="00DD24B9">
              <w:rPr>
                <w:rFonts w:ascii="Times New Roman" w:hAnsi="Times New Roman" w:cs="Times New Roman"/>
                <w:sz w:val="20"/>
                <w:szCs w:val="20"/>
                <w:lang w:val="en-GB"/>
              </w:rPr>
              <w:t>Quality of life</w:t>
            </w:r>
          </w:p>
        </w:tc>
        <w:tc>
          <w:tcPr>
            <w:tcW w:w="13206" w:type="dxa"/>
            <w:tcMar>
              <w:top w:w="57" w:type="dxa"/>
              <w:bottom w:w="57" w:type="dxa"/>
            </w:tcMar>
          </w:tcPr>
          <w:p w14:paraId="1F4ECAC1" w14:textId="496199E6" w:rsidR="00C05D6D" w:rsidRPr="00DD24B9" w:rsidRDefault="00C05D6D" w:rsidP="001B57EC">
            <w:pPr>
              <w:pStyle w:val="Prrafodelista"/>
              <w:numPr>
                <w:ilvl w:val="0"/>
                <w:numId w:val="15"/>
              </w:numPr>
              <w:spacing w:before="0" w:after="0" w:line="276" w:lineRule="auto"/>
              <w:ind w:left="460" w:hanging="28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D24B9">
              <w:rPr>
                <w:rFonts w:ascii="Times New Roman" w:hAnsi="Times New Roman" w:cs="Times New Roman"/>
                <w:sz w:val="20"/>
                <w:szCs w:val="20"/>
                <w:lang w:val="en-GB"/>
              </w:rPr>
              <w:t>Quality of life between 32-46% lower than that of the healthy Spanish population over 65 years (physical and mental SF-36: 49.7 and 46.2 vs. 73.3 and 84.8)</w:t>
            </w:r>
            <w:r w:rsidRPr="00DD24B9">
              <w:rPr>
                <w:rFonts w:ascii="Times New Roman" w:hAnsi="Times New Roman" w:cs="Times New Roman"/>
                <w:sz w:val="20"/>
                <w:szCs w:val="20"/>
                <w:lang w:val="en-GB"/>
              </w:rPr>
              <w:fldChar w:fldCharType="begin"/>
            </w:r>
            <w:r w:rsidR="00775F51" w:rsidRPr="00DD24B9">
              <w:rPr>
                <w:rFonts w:ascii="Times New Roman" w:hAnsi="Times New Roman" w:cs="Times New Roman"/>
                <w:sz w:val="20"/>
                <w:szCs w:val="20"/>
                <w:lang w:val="en-GB"/>
              </w:rPr>
              <w:instrText xml:space="preserve"> ADDIN ZOTERO_ITEM CSL_CITATION {"citationID":"YHJh0bIS","properties":{"formattedCitation":"\\super 10,16\\nosupersub{}","plainCitation":"10,16","dontUpdate":true,"noteIndex":0},"citationItems":[{"id":22500,"uris":["http://zotero.org/groups/337550/items/X7GR96BV"],"uri":["http://zotero.org/groups/337550/items/X7GR96BV"],"itemData":{"id":22500,"type":"article-journal","abstract":"Psoriasis is a common, chronic inflammatory immunologically mediated disease of the skin, showing a high prevalence of associated comorbidities, and strongly affecting patients' health-related quality of life (HR-QOL), with profound impact on the psychological aspect. We aimed to establish the correlation between HR-QOL and the associated comorbidities in patients with moderate to severe psoriasis in Spain. A cross-sectional, observational, epidemiological study was conducted at 68 dermatology-based centers across Spain. From October 2010 to June 2011, all adult patients diagnosed with moderate to severe psoriasis at least 6 months prior to the study visit and receiving or not receiving treatment for psoriasis were eligible for inclusion. A total of 1022 patients were included. The study population showed mean 36-item short-form (SF-36) physical and mental health scores and Dermatological Life Quality Index (DLQI) of 49.7, 46.2 and 5.3, respectively. The multiple linear regression models showed that patients with moderate to severe psoriasis and a diagnosis of psoriatic arthritis (PsA), hypertension, diabetes mellitus, sleep disturbances or obesity were found to have lower SF-36 health physical scores. Female patients with depression or anxiety disorders had lower SF-36 health mental scores. Patients diagnosed with moderate to severe psoriatic disease and associated anxiety disorder had greater DLQI scores. Moderate to severe psoriasis has a significant burden on the HR-QOL of patients. Regardless of sex, patients with several comorbidities such as PsA, hypertension or obesity were found to have worse scores in the physical component of the QOL questionnaire, whilst women were more affected in the mental health component than men.","container-title":"The Journal of Dermatology","DOI":"10.1111/1346-8138.12465","ISSN":"1346-8138","issue":"8","journalAbbreviation":"J Dermatol","language":"en","page":"673-678","source":"Wiley Online Library","title":"Comorbidities and health-related quality of life in Spanish patients with moderate to severe psoriasis: A cross-sectional study (Arizona study)","title-short":"Comorbidities and health-related quality of life in Spanish patients with moderate to severe psoriasis","volume":"41","author":[{"family":"Sanchez-Carazo","given":"Jose Luis"},{"family":"López-Estebaranz","given":"Jose Luis"},{"family":"Guisado","given":"Cristina"}],"issued":{"date-parts":[["2014"]]}}},{"id":57799,"uris":["http://zotero.org/groups/337550/items/ZLTGFQI2"],"uri":["http://zotero.org/groups/337550/items/ZLTGFQI2"],"itemData":{"id":57799,"type":"article-journal","abstract":"Fundamento y objetivo: El Cuestionario de Salud SF-36 es el más usado en la","container-title":"Medicina Clínica","ISSN":"0025-7753","issue":"15","journalAbbreviation":"Med Clin (Barc)","language":"es","note":"publisher: Elsevier","page":"568-573","source":"www.elsevier.es","title":"Valores de referencia de la versión española del Cuestionario de Salud SF-36 en población adulta de más de 60 años","volume":"120","author":[{"family":"López-García","given":"Esther"},{"family":"Banegas","given":"José R."},{"family":"Graciani Pérez-Regadera","given":"Auxiliadora"},{"family":"Luis Gutiérrez-Fisac","given":"Juan"},{"family":"Alonso","given":"Jordi"},{"family":"Rodríguez-Artalejo","given":"Fernando"}],"issued":{"date-parts":[["2003"]]}}}],"schema":"https://github.com/citation-style-language/schema/raw/master/csl-citation.json"} </w:instrText>
            </w:r>
            <w:r w:rsidRPr="00DD24B9">
              <w:rPr>
                <w:rFonts w:ascii="Times New Roman" w:hAnsi="Times New Roman" w:cs="Times New Roman"/>
                <w:sz w:val="20"/>
                <w:szCs w:val="20"/>
                <w:lang w:val="en-GB"/>
              </w:rPr>
              <w:fldChar w:fldCharType="separate"/>
            </w:r>
            <w:r w:rsidR="001B7CAD" w:rsidRPr="00DD24B9">
              <w:rPr>
                <w:rFonts w:ascii="Times New Roman" w:hAnsi="Times New Roman" w:cs="Times New Roman"/>
                <w:sz w:val="20"/>
                <w:szCs w:val="20"/>
                <w:vertAlign w:val="superscript"/>
                <w:lang w:val="en-GB"/>
              </w:rPr>
              <w:t>10.16</w:t>
            </w:r>
            <w:r w:rsidRPr="00DD24B9">
              <w:rPr>
                <w:rFonts w:ascii="Times New Roman" w:hAnsi="Times New Roman" w:cs="Times New Roman"/>
                <w:sz w:val="20"/>
                <w:szCs w:val="20"/>
                <w:lang w:val="en-GB"/>
              </w:rPr>
              <w:fldChar w:fldCharType="end"/>
            </w:r>
            <w:r w:rsidRPr="00DD24B9">
              <w:rPr>
                <w:rFonts w:ascii="Times New Roman" w:hAnsi="Times New Roman" w:cs="Times New Roman"/>
                <w:sz w:val="20"/>
                <w:szCs w:val="20"/>
                <w:lang w:val="en-GB"/>
              </w:rPr>
              <w:t xml:space="preserve">. </w:t>
            </w:r>
          </w:p>
        </w:tc>
      </w:tr>
      <w:tr w:rsidR="004722FF" w:rsidRPr="00DD24B9" w14:paraId="376D99CB" w14:textId="77777777" w:rsidTr="001B57EC">
        <w:tc>
          <w:tcPr>
            <w:cnfStyle w:val="001000000000" w:firstRow="0" w:lastRow="0" w:firstColumn="1" w:lastColumn="0" w:oddVBand="0" w:evenVBand="0" w:oddHBand="0" w:evenHBand="0" w:firstRowFirstColumn="0" w:firstRowLastColumn="0" w:lastRowFirstColumn="0" w:lastRowLastColumn="0"/>
            <w:tcW w:w="1678" w:type="dxa"/>
            <w:tcMar>
              <w:top w:w="57" w:type="dxa"/>
              <w:bottom w:w="57" w:type="dxa"/>
            </w:tcMar>
          </w:tcPr>
          <w:p w14:paraId="1E02E236" w14:textId="42752DFF" w:rsidR="00C05D6D" w:rsidRPr="00DD24B9" w:rsidRDefault="00C05D6D" w:rsidP="001B57EC">
            <w:pPr>
              <w:spacing w:before="0" w:after="0" w:line="276" w:lineRule="auto"/>
              <w:rPr>
                <w:rFonts w:ascii="Times New Roman" w:hAnsi="Times New Roman" w:cs="Times New Roman"/>
                <w:sz w:val="20"/>
                <w:szCs w:val="20"/>
                <w:lang w:val="en-GB"/>
              </w:rPr>
            </w:pPr>
            <w:r w:rsidRPr="00DD24B9">
              <w:rPr>
                <w:rFonts w:ascii="Times New Roman" w:hAnsi="Times New Roman" w:cs="Times New Roman"/>
                <w:sz w:val="20"/>
                <w:szCs w:val="20"/>
                <w:lang w:val="en-GB"/>
              </w:rPr>
              <w:t xml:space="preserve">Economic </w:t>
            </w:r>
            <w:r w:rsidR="001B57EC">
              <w:rPr>
                <w:rFonts w:ascii="Times New Roman" w:hAnsi="Times New Roman" w:cs="Times New Roman"/>
                <w:sz w:val="20"/>
                <w:szCs w:val="20"/>
                <w:lang w:val="en-GB"/>
              </w:rPr>
              <w:t>burden</w:t>
            </w:r>
          </w:p>
        </w:tc>
        <w:tc>
          <w:tcPr>
            <w:tcW w:w="13206" w:type="dxa"/>
            <w:tcMar>
              <w:top w:w="57" w:type="dxa"/>
              <w:bottom w:w="57" w:type="dxa"/>
            </w:tcMar>
          </w:tcPr>
          <w:p w14:paraId="6FACE22B" w14:textId="3A6E19CB"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Cost / patient / year with moderate-</w:t>
            </w:r>
            <w:r w:rsidR="007A0A45" w:rsidRPr="007A0A45">
              <w:rPr>
                <w:rFonts w:ascii="Times New Roman" w:hAnsi="Times New Roman" w:cs="Times New Roman"/>
                <w:sz w:val="20"/>
                <w:szCs w:val="20"/>
                <w:lang w:val="en-GB"/>
              </w:rPr>
              <w:t>to-</w:t>
            </w:r>
            <w:r w:rsidRPr="007A0A45">
              <w:rPr>
                <w:rFonts w:ascii="Times New Roman" w:hAnsi="Times New Roman" w:cs="Times New Roman"/>
                <w:sz w:val="20"/>
                <w:szCs w:val="20"/>
                <w:lang w:val="en-GB"/>
              </w:rPr>
              <w:t xml:space="preserve">severe psoriasis: </w:t>
            </w:r>
            <w:r w:rsidR="007A0A45" w:rsidRPr="007A0A45">
              <w:rPr>
                <w:rFonts w:ascii="Times New Roman" w:hAnsi="Times New Roman" w:cs="Times New Roman"/>
                <w:sz w:val="20"/>
                <w:szCs w:val="20"/>
                <w:lang w:val="en-GB"/>
              </w:rPr>
              <w:t>€</w:t>
            </w:r>
            <w:r w:rsidRPr="007A0A45">
              <w:rPr>
                <w:rFonts w:ascii="Times New Roman" w:hAnsi="Times New Roman" w:cs="Times New Roman"/>
                <w:sz w:val="20"/>
                <w:szCs w:val="20"/>
                <w:lang w:val="en-GB"/>
              </w:rPr>
              <w:t>11,000 (Spain)</w:t>
            </w:r>
            <w:r w:rsidRPr="007A0A45">
              <w:rPr>
                <w:rFonts w:ascii="Times New Roman" w:hAnsi="Times New Roman" w:cs="Times New Roman"/>
                <w:sz w:val="20"/>
                <w:szCs w:val="20"/>
                <w:lang w:val="en-GB"/>
              </w:rPr>
              <w:fldChar w:fldCharType="begin"/>
            </w:r>
            <w:r w:rsidR="007A0A45" w:rsidRPr="007A0A45">
              <w:rPr>
                <w:rFonts w:ascii="Times New Roman" w:hAnsi="Times New Roman" w:cs="Times New Roman"/>
                <w:sz w:val="20"/>
                <w:szCs w:val="20"/>
                <w:lang w:val="en-GB"/>
              </w:rPr>
              <w:instrText xml:space="preserve"> ADDIN ZOTERO_ITEM CSL_CITATION {"citationID":"wwzGULlT","properties":{"formattedCitation":"\\super 17\\nosupersub{}","plainCitation":"17","noteIndex":0},"citationItems":[{"id":22214,"uris":["http://zotero.org/groups/337550/items/2EWFZBKC"],"uri":["http://zotero.org/groups/337550/items/2EWFZBKC"],"itemData":{"id":22214,"type":"article-journal","container-title":"Actas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Á"}],"issued":{"date-parts":[["2016"]]}}}],"schema":"https://github.com/citation-style-language/schema/raw/master/csl-citation.json"} </w:instrText>
            </w:r>
            <w:r w:rsidRPr="007A0A45">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17</w:t>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p w14:paraId="566D806F" w14:textId="43D9F5A6"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 xml:space="preserve">Proportion of social costs (caregivers, loss of productivity) over the total cost per </w:t>
            </w:r>
            <w:r w:rsidR="007A0A45" w:rsidRPr="007A0A45">
              <w:rPr>
                <w:rFonts w:ascii="Times New Roman" w:hAnsi="Times New Roman" w:cs="Times New Roman"/>
                <w:sz w:val="20"/>
                <w:szCs w:val="20"/>
                <w:lang w:val="en-GB"/>
              </w:rPr>
              <w:t xml:space="preserve">patient with </w:t>
            </w:r>
            <w:r w:rsidRPr="007A0A45">
              <w:rPr>
                <w:rFonts w:ascii="Times New Roman" w:hAnsi="Times New Roman" w:cs="Times New Roman"/>
                <w:sz w:val="20"/>
                <w:szCs w:val="20"/>
                <w:lang w:val="en-GB"/>
              </w:rPr>
              <w:t>moderate-</w:t>
            </w:r>
            <w:r w:rsidR="007A0A45" w:rsidRPr="007A0A45">
              <w:rPr>
                <w:rFonts w:ascii="Times New Roman" w:hAnsi="Times New Roman" w:cs="Times New Roman"/>
                <w:sz w:val="20"/>
                <w:szCs w:val="20"/>
                <w:lang w:val="en-GB"/>
              </w:rPr>
              <w:t>to-</w:t>
            </w:r>
            <w:r w:rsidRPr="007A0A45">
              <w:rPr>
                <w:rFonts w:ascii="Times New Roman" w:hAnsi="Times New Roman" w:cs="Times New Roman"/>
                <w:sz w:val="20"/>
                <w:szCs w:val="20"/>
                <w:lang w:val="en-GB"/>
              </w:rPr>
              <w:t xml:space="preserve">severe </w:t>
            </w:r>
            <w:r w:rsidR="007A0A45" w:rsidRPr="007A0A45">
              <w:rPr>
                <w:rFonts w:ascii="Times New Roman" w:hAnsi="Times New Roman" w:cs="Times New Roman"/>
                <w:sz w:val="20"/>
                <w:szCs w:val="20"/>
                <w:lang w:val="en-GB"/>
              </w:rPr>
              <w:t>psoriasis</w:t>
            </w:r>
            <w:r w:rsidRPr="007A0A45">
              <w:rPr>
                <w:rFonts w:ascii="Times New Roman" w:hAnsi="Times New Roman" w:cs="Times New Roman"/>
                <w:sz w:val="20"/>
                <w:szCs w:val="20"/>
                <w:lang w:val="en-GB"/>
              </w:rPr>
              <w:t>: 19-27% (Spain)</w:t>
            </w:r>
            <w:r w:rsidRPr="007A0A45">
              <w:rPr>
                <w:rFonts w:ascii="Times New Roman" w:hAnsi="Times New Roman" w:cs="Times New Roman"/>
                <w:sz w:val="20"/>
                <w:szCs w:val="20"/>
                <w:lang w:val="en-GB"/>
              </w:rPr>
              <w:fldChar w:fldCharType="begin"/>
            </w:r>
            <w:r w:rsidR="00775F51" w:rsidRPr="007A0A45">
              <w:rPr>
                <w:rFonts w:ascii="Times New Roman" w:hAnsi="Times New Roman" w:cs="Times New Roman"/>
                <w:sz w:val="20"/>
                <w:szCs w:val="20"/>
                <w:lang w:val="en-GB"/>
              </w:rPr>
              <w:instrText xml:space="preserve"> ADDIN ZOTERO_ITEM CSL_CITATION {"citationID":"KVTdghsX","properties":{"formattedCitation":"\\super 17\\uc0\\u8211{}19\\nosupersub{}","plainCitation":"17–19","dontUpdate":true,"noteIndex":0},"citationItems":[{"id":56087,"uris":["http://zotero.org/groups/337550/items/ZAQW8C35"],"uri":["http://zotero.org/groups/337550/items/ZAQW8C35"],"itemData":{"id":56087,"type":"article-journal","abstract":"BACKGROUND: Psoriasis has significant economic impact on patients. However, its total economic burden has not been fully quantified.\nOBJECTIVES: To assess the annual economic burden of psoriasis in the United States.\nMETHODS: A systematic literature review was conducted to obtain estimates of the components of the economic burden of psoriasis. Prevalence estimates were used to estimate the 2013 psoriasis population. Incremental medical costs were calculated based on studies that compared psoriasis patients and controls. Productivity loss was estimated using measures of presenteeism, absenteeism, and unemployment. Reductions in health-related quality of life (HRQOL) were calculated from survey responses.\nRESULTS: The prevalence of psoriasis in the US was estimated to be 7.4 million in 2013. Comparatively, psoriasis patients incurred incremental medical costs of $2284, experienced a $2203 reduction in HRQOL, and a $1935 reduction in productivity. The total burden of psoriasis was estimated as $35.2 billion, with $12.2 billion in incremental medical costs (35%), $11.8 billion from reduced HRQOL (34%), and $11.2 billion from productivity losses (32%).\nLIMITATIONS: This study is constrained by the scope and populations of the existing literature.\nCONCLUSIONS: The economic burden of psoriasis in the US is significant, with a majority of it coming from indirect costs.","container-title":"Journal of the American Academy of Dermatology","DOI":"10.1016/j.jaad.2015.02.1099","ISSN":"1097-6787","issue":"6","journalAbbreviation":"J Am Acad Dermatol","language":"eng","note":"PMID: 25882886","page":"961-967.e5","source":"PubMed","title":"Evaluating the economic burden of psoriasis in the United States","volume":"72","author":[{"family":"Vanderpuye-Orgle","given":"Jacqueline"},{"family":"Zhao","given":"Yang"},{"family":"Lu","given":"Jackie"},{"family":"Shrestha","given":"Anshu"},{"family":"Sexton","given":"Alison"},{"family":"Seabury","given":"Seth"},{"family":"Lebwohl","given":"Mark"}],"issued":{"date-parts":[["2015"]]}}},{"id":56089,"uris":["http://zotero.org/groups/337550/items/MVPPPMFG"],"uri":["http://zotero.org/groups/337550/items/MVPPPMFG"],"itemData":{"id":56089,"type":"article-journal","abstract":"IMPORTANCE: The total cost of psoriasis in the United States is unknown. Defining the US economic burden of psoriasis is needed because it provides the foundation for research, advocacy, and educational efforts.\nOBJECTIVE: To determine the US economic burden of psoriasis from a societal perspective.\nEVIDENCE REVIEW: PubMed and MEDLINE databases were searched between January 1, 2008, and September 20, 2013, for economic investigations on the direct, indirect, intangible, and comorbidity costs of adult psoriasis in the United States. The base year costs were adjusted to 2013 US dollars using the Consumer Price Index for All Urban Consumers and multiplied by the estimated number of US patients with psoriasis in 2013 to determine the 2013 psoriasis cost burden.\nFINDINGS: Among 100 identified articles, 22 studies were included in the systematic review. The direct psoriasis costs ranged from $51.7 billion to $63.2 billion, the indirect costs ranged from $23.9 billion to $35.4 billion, and medical comorbidities were estimated to contribute $36.4 billion annually in 2013 US dollars. Patients with psoriasis would pay a lifetime cost of $11,498 for relief of physical symptoms and emotional health; however, intangible cost data are limited. The annual US cost of psoriasis amounted to approximately $112 billion in 2013.\nCONCLUSIONS AND RELEVANCE: The economic burden of psoriasis is substantial and significant in the United States.","container-title":"JAMA dermatology","DOI":"10.1001/jamadermatol.2014.3593","ISSN":"2168-6084","issue":"6","journalAbbreviation":"JAMA Dermatol","language":"eng","note":"PMID: 25565304","page":"651-658","source":"PubMed","title":"Economic Burden of Psoriasis in the United States: A Systematic Review","title-short":"Economic Burden of Psoriasis in the United States","volume":"151","author":[{"family":"Brezinski","given":"Elizabeth A."},{"family":"Dhillon","given":"Jaskaran S."},{"family":"Armstrong","given":"April W."}],"issued":{"date-parts":[["2015"]]}}},{"id":22214,"uris":["http://zotero.org/groups/337550/items/2EWFZBKC"],"uri":["http://zotero.org/groups/337550/items/2EWFZBKC"],"itemData":{"id":22214,"type":"article-journal","container-title":"Actas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Á"}],"issued":{"date-parts":[["2016"]]}}}],"schema":"https://github.com/citation-style-language/schema/raw/master/csl-citation.json"} </w:instrText>
            </w:r>
            <w:r w:rsidRPr="007A0A45">
              <w:rPr>
                <w:rFonts w:ascii="Times New Roman" w:hAnsi="Times New Roman" w:cs="Times New Roman"/>
                <w:sz w:val="20"/>
                <w:szCs w:val="20"/>
                <w:lang w:val="en-GB"/>
              </w:rPr>
              <w:fldChar w:fldCharType="separate"/>
            </w:r>
            <w:r w:rsidR="0054736D" w:rsidRPr="007A0A45">
              <w:rPr>
                <w:rFonts w:ascii="Times New Roman" w:hAnsi="Times New Roman" w:cs="Times New Roman"/>
                <w:sz w:val="20"/>
                <w:szCs w:val="20"/>
                <w:lang w:val="en-GB"/>
              </w:rPr>
              <w:fldChar w:fldCharType="begin"/>
            </w:r>
            <w:r w:rsidR="007A0A45" w:rsidRPr="007A0A45">
              <w:rPr>
                <w:rFonts w:ascii="Times New Roman" w:hAnsi="Times New Roman" w:cs="Times New Roman"/>
                <w:sz w:val="20"/>
                <w:szCs w:val="20"/>
                <w:lang w:val="en-GB"/>
              </w:rPr>
              <w:instrText xml:space="preserve"> ADDIN ZOTERO_ITEM CSL_CITATION {"citationID":"5I5OzMtw","properties":{"formattedCitation":"\\super 17\\nosupersub{}","plainCitation":"17","noteIndex":0},"citationItems":[{"id":22214,"uris":["http://zotero.org/groups/337550/items/2EWFZBKC"],"uri":["http://zotero.org/groups/337550/items/2EWFZBKC"],"itemData":{"id":22214,"type":"article-journal","container-title":"Actas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Á"}],"issued":{"date-parts":[["2016"]]}}}],"schema":"https://github.com/citation-style-language/schema/raw/master/csl-citation.json"} </w:instrText>
            </w:r>
            <w:r w:rsidR="0054736D" w:rsidRPr="007A0A45">
              <w:rPr>
                <w:rFonts w:ascii="Times New Roman" w:hAnsi="Times New Roman" w:cs="Times New Roman"/>
                <w:sz w:val="20"/>
                <w:szCs w:val="20"/>
                <w:lang w:val="en-GB"/>
              </w:rPr>
              <w:fldChar w:fldCharType="separate"/>
            </w:r>
            <w:r w:rsidR="007A0A45" w:rsidRPr="007A0A45">
              <w:rPr>
                <w:rFonts w:ascii="Times New Roman" w:hAnsi="Times New Roman" w:cs="Times New Roman"/>
                <w:sz w:val="20"/>
                <w:szCs w:val="24"/>
                <w:vertAlign w:val="superscript"/>
              </w:rPr>
              <w:t>17</w:t>
            </w:r>
            <w:r w:rsidR="0054736D"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p w14:paraId="41E5030F" w14:textId="0627F38A" w:rsidR="00C05D6D" w:rsidRPr="007A0A45"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Cost of severe psoriasis vs. moderate: + 200% (Spain)</w:t>
            </w:r>
            <w:r w:rsidR="0054736D" w:rsidRPr="007A0A45">
              <w:rPr>
                <w:rFonts w:ascii="Times New Roman" w:hAnsi="Times New Roman" w:cs="Times New Roman"/>
                <w:sz w:val="20"/>
                <w:szCs w:val="20"/>
                <w:lang w:val="en-GB"/>
              </w:rPr>
              <w:fldChar w:fldCharType="begin"/>
            </w:r>
            <w:r w:rsidR="007A0A45" w:rsidRPr="007A0A45">
              <w:rPr>
                <w:rFonts w:ascii="Times New Roman" w:hAnsi="Times New Roman" w:cs="Times New Roman"/>
                <w:sz w:val="20"/>
                <w:szCs w:val="20"/>
                <w:lang w:val="en-GB"/>
              </w:rPr>
              <w:instrText xml:space="preserve"> ADDIN ZOTERO_ITEM CSL_CITATION {"citationID":"YxiLAyol","properties":{"formattedCitation":"\\super 17\\nosupersub{}","plainCitation":"17","noteIndex":0},"citationItems":[{"id":22214,"uris":["http://zotero.org/groups/337550/items/2EWFZBKC"],"uri":["http://zotero.org/groups/337550/items/2EWFZBKC"],"itemData":{"id":22214,"type":"article-journal","container-title":"Actas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Á"}],"issued":{"date-parts":[["2016"]]}}}],"schema":"https://github.com/citation-style-language/schema/raw/master/csl-citation.json"} </w:instrText>
            </w:r>
            <w:r w:rsidR="0054736D" w:rsidRPr="007A0A45">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17</w:t>
            </w:r>
            <w:r w:rsidR="0054736D"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p w14:paraId="09B31D09" w14:textId="1EEECDD7" w:rsidR="00C05D6D" w:rsidRPr="00DD24B9" w:rsidRDefault="00C05D6D" w:rsidP="001B57EC">
            <w:pPr>
              <w:pStyle w:val="Prrafodelista"/>
              <w:numPr>
                <w:ilvl w:val="0"/>
                <w:numId w:val="15"/>
              </w:numPr>
              <w:spacing w:before="0" w:after="0" w:line="276" w:lineRule="auto"/>
              <w:ind w:left="460"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0A45">
              <w:rPr>
                <w:rFonts w:ascii="Times New Roman" w:hAnsi="Times New Roman" w:cs="Times New Roman"/>
                <w:sz w:val="20"/>
                <w:szCs w:val="20"/>
                <w:lang w:val="en-GB"/>
              </w:rPr>
              <w:t>Consumption of resources / productivity: medical visits (40% more in psoriasis vs. healthy population)</w:t>
            </w:r>
            <w:r w:rsidR="007A0A45" w:rsidRPr="007A0A45">
              <w:rPr>
                <w:rFonts w:ascii="Times New Roman" w:hAnsi="Times New Roman" w:cs="Times New Roman"/>
                <w:sz w:val="20"/>
                <w:szCs w:val="20"/>
                <w:lang w:val="es-ES_tradnl"/>
              </w:rPr>
              <w:fldChar w:fldCharType="begin"/>
            </w:r>
            <w:r w:rsidR="007A0A45" w:rsidRPr="007B4152">
              <w:rPr>
                <w:rFonts w:ascii="Times New Roman" w:hAnsi="Times New Roman" w:cs="Times New Roman"/>
                <w:sz w:val="20"/>
                <w:szCs w:val="20"/>
                <w:lang w:val="en-US"/>
              </w:rPr>
              <w:instrText xml:space="preserve"> ADDIN ZOTERO_ITEM CSL_CITATION {"citationID":"cRW6s81r","properties":{"formattedCitation":"\\super 20\\nosupersub{}","plainCitation":"20","noteIndex":0},"citationItems":[{"id":54838,"uris":["http://zotero.org/groups/337550/items/TIP6SEUU"],"uri":["http://zotero.org/groups/337550/items/TIP6SEUU"],"itemData":{"id":54838,"type":"article-journal","abstract":"Resumen\nAntecedentes y objetivo\nDisponer de datos epidemiológicos y de carga de una enfermedad es crucial para su control y óptima planificación. El objetivo es estimar la carga de la psoriasis en términos epidemiológicos, las comorbilidades asociadas, el uso de recursos sanitarios y la incapacidad laboral.\nMaterial y método\nSe han analizado los datos de la encuesta de salud de Cataluña (ESCA) del 2016, el registro de morbilidad y utilización de servicios sanitarios de Cataluña (MUSSCAT) del 2016 y los datos recopilados entre el 2012 y el 2016 del sistema integrado de gestión de la incapacidad temporal (IT) del Instituto Catalán de Evaluaciones Médicas.\nResultados\nLa prevalecía de la psoriasis en Cataluña con base en los datos de la ESCA se sitúa en el 1,8%. Los datos del MUSSCAT muestran que el número de casos incidentes se ha mantenido estable en los últimos años. Las comorbilidades más frecuentes en el paciente con psoriasis son la hipertensión arterial (35%) y la diabetes (15%). La estratificación de la población con psoriasis por niveles de riesgo situó al 40% en riesgo moderado-alto. El uso anual de recursos sanitarios de las personas con psoriasis es elevado (8,7 visitas de atención primaria; 2,8 consultas externas; 0,5 de urgencias y hospital de día; 0,2 de salud mental y 6,1 medicamentos). Los procesos de IT asociados con la psoriasis o artropatía psoriásica representaron el 0,04% del total de registros.\nConclusiones\nLa prevalencia de la psoriasis en Cataluña es del 1,8%. La carga de la enfermedad es elevada, tanto en términos de comorbilidades del paciente como en el requerimiento del uso de recursos.\nBackground and objectives\nEpidemiologic and disease burden data are essential for disease control and optimal health care resource planning. The aims of this study were to estimate the epidemiologic burden of psoriasis and evaluate associated comorbidities, health care utilization, and sick leave.\nMaterial and methods\nWe collected data from the 2016 Catalan Health Survey (ESCA), the Catalan Registry of Morbidity and Utilization of Health Care Services (MUSSCAT) (2016), and the database of the Catalan Medical Evaluations Institute (ICAM) (2012–2016).\nResults\nThe prevalence of psoriasis in Catalonia according to 2016 ESCA data is approximately 1.8%. The MUSSCAT registry data indicate that the incidence has remained stable in recent years. The most common comorbidities associated with psoriasis are hypertension (35%) and diabetes (15%). Forty percent of patients with psoriasis</w:instrText>
            </w:r>
            <w:r w:rsidR="007A0A45" w:rsidRPr="007A0A45">
              <w:rPr>
                <w:rFonts w:ascii="Times New Roman" w:hAnsi="Times New Roman" w:cs="Times New Roman"/>
                <w:sz w:val="20"/>
                <w:szCs w:val="20"/>
                <w:lang w:val="es-ES_tradnl"/>
              </w:rPr>
              <w:instrText xml:space="preserve"> have a moderate to high risk for death or high health resource utilization. Annual use of resources by psoriasis patients is high: they make a mean of 8.7 primary care visits, 2.8 outpatient visits, 0.5 emergency and day hospital visits, 0.2 mental health visits, and use 6.1 medications. Sick leave due to psoriasis or psoriatic arthritis accounted for 0.04% of all cases.\nConclusions\nThe prevalence of psoriasis in Catalonia is high at 1.8%. The disease burden is also high, both in terms of comorbidities and health care utilization.","container-title":"Actas Dermo-Sifiliográficas","DOI":"10.1016/j.ad.2020.11.017","ISSN":"0001-7310","issue":"5","journalAbbreviation":"Actas Dermo-Sifiliográficas","language":"es","page":"425-433","source":"ScienceDirect","title":"Carga de la psoriasis en Cataluña: datos epidemiológicos, comorbilidades asociadas, uso de recursos sanitarios e incapacidad laboral","title-short":"Carga de la psoriasis en Cataluña","volume":"112","author":[{"family":"Puig","given":"L."},{"family":"Ferrándiz","given":"C."},{"family":"Pujol","given":"R. M."},{"family":"Vela","given":"E."},{"family":"Albertí-Casas","given":"C."},{"family":"Comellas","given":"M."},{"family":"Blanch","given":"C."}],"issued":{"date-parts":[["2021"]]}}}],"schema":"https://github.com/citation-style-language/schema/raw/master/csl-citation.json"} </w:instrText>
            </w:r>
            <w:r w:rsidR="007A0A45" w:rsidRPr="007A0A45">
              <w:rPr>
                <w:rFonts w:ascii="Times New Roman" w:hAnsi="Times New Roman" w:cs="Times New Roman"/>
                <w:sz w:val="20"/>
                <w:szCs w:val="20"/>
                <w:lang w:val="es-ES_tradnl"/>
              </w:rPr>
              <w:fldChar w:fldCharType="separate"/>
            </w:r>
            <w:r w:rsidR="007A0A45" w:rsidRPr="007A0A45">
              <w:rPr>
                <w:rFonts w:ascii="Times New Roman" w:hAnsi="Times New Roman" w:cs="Times New Roman"/>
                <w:sz w:val="20"/>
                <w:szCs w:val="24"/>
                <w:vertAlign w:val="superscript"/>
              </w:rPr>
              <w:t>20</w:t>
            </w:r>
            <w:r w:rsidR="007A0A45" w:rsidRPr="007A0A45">
              <w:rPr>
                <w:rFonts w:ascii="Times New Roman" w:hAnsi="Times New Roman" w:cs="Times New Roman"/>
                <w:sz w:val="20"/>
                <w:szCs w:val="20"/>
                <w:lang w:val="es-ES_tradnl"/>
              </w:rPr>
              <w:fldChar w:fldCharType="end"/>
            </w:r>
            <w:r w:rsidRPr="007A0A45">
              <w:rPr>
                <w:rFonts w:ascii="Times New Roman" w:hAnsi="Times New Roman" w:cs="Times New Roman"/>
                <w:sz w:val="20"/>
                <w:szCs w:val="20"/>
                <w:lang w:val="en-GB"/>
              </w:rPr>
              <w:t>, productivity loss: 29% (severe)</w:t>
            </w:r>
            <w:r w:rsidRPr="007A0A45">
              <w:rPr>
                <w:rFonts w:ascii="Times New Roman" w:hAnsi="Times New Roman" w:cs="Times New Roman"/>
                <w:sz w:val="20"/>
                <w:szCs w:val="20"/>
                <w:lang w:val="en-GB"/>
              </w:rPr>
              <w:fldChar w:fldCharType="begin"/>
            </w:r>
            <w:r w:rsidR="00775F51" w:rsidRPr="007A0A45">
              <w:rPr>
                <w:rFonts w:ascii="Times New Roman" w:hAnsi="Times New Roman" w:cs="Times New Roman"/>
                <w:sz w:val="20"/>
                <w:szCs w:val="20"/>
                <w:lang w:val="en-GB"/>
              </w:rPr>
              <w:instrText xml:space="preserve"> ADDIN ZOTERO_ITEM CSL_CITATION {"citationID":"HK2DXwJj","properties":{"formattedCitation":"\\super 21,22\\nosupersub{}","plainCitation":"21,22","dontUpdate":true,"noteIndex":0},"citationItems":[{"id":54835,"uris":["http://zotero.org/groups/337550/items/AWVHDW7K"],"uri":["http://zotero.org/groups/337550/items/AWVHDW7K"],"itemData":{"id":54835,"type":"article-journal","abstract":"Background\nThe Multinational Assessment of Psoriasis and Psoriatic Arthritis (MAPP) survey data were not analysed to account for cultural and healthcare system differences across European countries (EC).\n\nObjective\nTo utilize MAPP data to characterize psoriasis in Spanish patients, including severity assessment and Dermatology Life Quality Index (DLQI).\n\nMethods\nThe MAPP survey was conducted between June and August 2012. This analysis included 1700 patients with self‐reported psoriasis (without psoriatic arthritis) from France (n = 349), Germany (n = 311), Italy (n = 359), Spain (n = 354) and the United Kingdom (n = 327).\n\nResults\nPatients from Spain vs. other EC self‐reported higher mean body mass index (26.9 vs. 25.6, P ≤ 0.001), lower prevalence of depression (6% vs. 12%, P = 0.002) and higher mean self‐perceived psoriasis severity at its worst (5.92 vs. 5.33, P &lt; 0.001) despite lower estimated body‐surface‐area involvement. Overall, patients from Spain vs. other EC had lower mean global DLQI scores (4.70 vs. 6.06, P = 0.001) and lower mean scores for each DLQI dimension [all P &lt; 0.001, except leisure (P = 0.002), treatment (P = 0.002), and work and school (P = 0.005)]. Higher DLQI values were inversely associated with age and directly correlated with perceived severity. Palmoplantar, nail and scalp psoriasis were reported less frequently in Spanish patients (P = 0.026) and were associated with higher DLQI values (P &lt; 0.01). Spanish patients were more likely to have seen multiple healthcare providers (HCPs; P &lt; 0.001) and achieve therapeutic goals (P &lt; 0.001), but current treatments were similar to patients in other EC.\n\nConclusions\nIn the MAPP survey, Spanish patients differed from other EC in several characteristics, including comorbidities, extent and distribution of psoriasis lesions, perception of severity and impact on quality of life. Their perception of psoriasis severity was higher despite a lower estimated extent, and DLQI scores were significantly lower. Spanish patients had more HCP visits and a higher rate of therapeutic goal achievement. These differences might be attributed to cultural factors, phenotypical variation and differences in HCP access.","container-title":"Journal of the European Academy of Dermatology and Venereology","DOI":"10.1111/jdv.14195","ISSN":"0926-9959","issue":"7","journalAbbreviation":"J Eur Acad Dermatol Venereol","note":"PMID: 28271561\nPMCID: PMC5574026","page":"1176-1182","source":"PubMed Central","title":"A European subset analysis from the population‐based Multinational Assessment of Psoriasis and Psoriatic Arthritis shows country‐specific features: results from psoriasis patients in Spain","title-short":"A European subset analysis from the population‐based Multinational Assessment of Psoriasis and Psoriatic Arthritis shows country‐specific features","volume":"31","author":[{"family":"Puig","given":"L."},{"family":"Kerkhof","given":"P.C.M.","non-dropping-particle":"van de"},{"family":"Reich","given":"K."},{"family":"Bachelez","given":"H."},{"family":"Barker","given":"J."},{"family":"Girolomoni","given":"G."},{"family":"Paul","given":"C."}],"issued":{"date-parts":[["2017"]]}}},{"id":54832,"uris":["http://zotero.org/groups/337550/items/LPVU7HFE"],"uri":["http://zotero.org/groups/337550/items/LPVU7HFE"],"itemData":{"id":54832,"type":"article-journal","abstract":"Background Total work productivity loss (WPL) and associated indirect costs contribute to the economic burden of psoriasis. Objectives To estimate total WPL and related indirect costs, and identify predictors of WPL associated with psoriasis severity in France, Germany, Spain, the U.K. and Italy (EU5) and the U.S.A. Methods Data from the 2015 Adelphi Real World Psoriasis Disease Specific Programme, analysed for absenteeism, presenteeism and total WPL, were quantified (0–100%) from participants who completed the Work Productivity and Activity Impairment (WPAI) instrument. These measures were converted to indirect costs using the human capital method. Univariate and multivariate statistical analyses controlling for patient demographic and clinical characteristics were conducted. Results Of the 936 respondents (29·6% U.S.A., 70·4% EU5) who completed the WPAI, 32·6%, 40·7% and 26·6% had mild [body surface area (BSA) 0–2%], moderate (BSA 3–10%) and severe (BSA &gt; 10%) psoriasis, respectively. Average age, Dermatology Life Quality Index (DLQI) score and BSA were, respectively, 42·4 years, 5·1 and 9·6%; and 37·2% of respondents were female. Mean percentages of total WPL for respondents with mild, moderate and severe psoriasis were 10·1%, 18·9% and 29·4%, respectively. Presenteeism contributed considerably more to total WPL than did absenteeism across all countries and disease severity classes. Mean annual indirect costs per patient due to WPL ranged from 3742 U.S. dollars in Spain to 9591 U.S. dollars in the U.S.A. Multivariate regression showed that a one-unit increase in DLQI score increases total WPL by 1·8% (P &lt; 0·001). Conclusions WPL increased progressively with increasing DLQI scores and BSA, confirming the relationship between psoriasis severity and its economic burden. What's already known about this topic? The economic burden of psoriasis is exceptionally high given the high prevalence and lifelong nature of the condition. Several studies have attempted to assess the overall economic burden of psoriasis but there is a lack of comparative data from different countries, and issues around inconsistent methodologies, including statistical analyses. Total work productivity loss (WPL) and associated indirect costs are believed to contribute to the economic burden of psoriasis. What does this study add? This study measured total WPL and indirect costs via the same method and at the same time point in the U.S.A., France, Germany, Spain, U.K. and Italy. Total WPL increased progressively with psoriasis disease severity. Disease severity and Dermatology Life Quality Index scores significantly correlated with WPL after controlling for patient demographic and clinical characteristics. The U.S.A. had the highest annual mean indirect costs associated with total WPL. Linked Comment: Drabo et al. Br J Dermatol 2020; 183:420–421.","container-title":"British Journal of Dermatology","DOI":"https://doi.org/10.1111/bjd.18798","ISSN":"1365-2133","issue":"3","language":"en","note":"_eprint: https://onlinelibrary.wiley.com/doi/pdf/10.1111/bjd.18798","page":"548-558","source":"Wiley Online Library","title":"A multinational assessment of work-related productivity loss and indirect costs from a survey of patients with psoriasis","volume":"183","author":[{"family":"Villacorta","given":"R."},{"family":"Teeple","given":"A."},{"family":"Lee","given":"S."},{"family":"Fakharzadeh","given":"S."},{"family":"Lucas","given":"J."},{"family":"McElligott","given":"S."}],"issued":{"date-parts":[["2020"]]}}}],"schema":"https://github.com/citation-style-language/schema/raw/master/csl-citation.json"} </w:instrText>
            </w:r>
            <w:r w:rsidRPr="007A0A45">
              <w:rPr>
                <w:rFonts w:ascii="Times New Roman" w:hAnsi="Times New Roman" w:cs="Times New Roman"/>
                <w:sz w:val="20"/>
                <w:szCs w:val="20"/>
                <w:lang w:val="en-GB"/>
              </w:rPr>
              <w:fldChar w:fldCharType="separate"/>
            </w:r>
            <w:r w:rsidR="001B7CAD" w:rsidRPr="007A0A45">
              <w:rPr>
                <w:rFonts w:ascii="Times New Roman" w:hAnsi="Times New Roman" w:cs="Times New Roman"/>
                <w:sz w:val="20"/>
                <w:szCs w:val="20"/>
                <w:vertAlign w:val="superscript"/>
                <w:lang w:val="en-GB"/>
              </w:rPr>
              <w:t>21.22</w:t>
            </w:r>
            <w:r w:rsidRPr="007A0A45">
              <w:rPr>
                <w:rFonts w:ascii="Times New Roman" w:hAnsi="Times New Roman" w:cs="Times New Roman"/>
                <w:sz w:val="20"/>
                <w:szCs w:val="20"/>
                <w:lang w:val="en-GB"/>
              </w:rPr>
              <w:fldChar w:fldCharType="end"/>
            </w:r>
            <w:r w:rsidRPr="007A0A45">
              <w:rPr>
                <w:rFonts w:ascii="Times New Roman" w:hAnsi="Times New Roman" w:cs="Times New Roman"/>
                <w:sz w:val="20"/>
                <w:szCs w:val="20"/>
                <w:lang w:val="en-GB"/>
              </w:rPr>
              <w:t>.</w:t>
            </w:r>
          </w:p>
        </w:tc>
      </w:tr>
    </w:tbl>
    <w:p w14:paraId="02B1CB14" w14:textId="77777777" w:rsidR="00606846" w:rsidRPr="004722FF" w:rsidRDefault="00606846" w:rsidP="00990545">
      <w:pPr>
        <w:rPr>
          <w:rFonts w:ascii="Times New Roman" w:hAnsi="Times New Roman" w:cs="Times New Roman"/>
          <w:lang w:val="en-GB"/>
        </w:rPr>
      </w:pPr>
    </w:p>
    <w:p w14:paraId="79C878EE" w14:textId="72A03D87" w:rsidR="00C05D6D" w:rsidRPr="007A0A45" w:rsidRDefault="007A0A45" w:rsidP="00C05D6D">
      <w:pPr>
        <w:pStyle w:val="Ttulo2"/>
        <w:numPr>
          <w:ilvl w:val="1"/>
          <w:numId w:val="1"/>
        </w:numPr>
        <w:spacing w:before="120" w:line="240" w:lineRule="auto"/>
        <w:ind w:left="1418"/>
        <w:rPr>
          <w:rFonts w:ascii="Times New Roman" w:hAnsi="Times New Roman" w:cs="Times New Roman"/>
          <w:b/>
          <w:bCs/>
          <w:smallCaps w:val="0"/>
          <w:color w:val="auto"/>
          <w:sz w:val="22"/>
          <w:szCs w:val="22"/>
          <w:lang w:val="en-GB"/>
        </w:rPr>
      </w:pPr>
      <w:bookmarkStart w:id="11" w:name="_Toc89351159"/>
      <w:r w:rsidRPr="007A0A45">
        <w:rPr>
          <w:rFonts w:ascii="Times New Roman" w:hAnsi="Times New Roman" w:cs="Times New Roman"/>
          <w:b/>
          <w:bCs/>
          <w:smallCaps w:val="0"/>
          <w:color w:val="auto"/>
          <w:sz w:val="24"/>
          <w:szCs w:val="52"/>
          <w:lang w:val="en-GB"/>
        </w:rPr>
        <w:lastRenderedPageBreak/>
        <w:t>Size of affected population</w:t>
      </w:r>
      <w:bookmarkEnd w:id="11"/>
      <w:r w:rsidR="00C05D6D" w:rsidRPr="007A0A45">
        <w:rPr>
          <w:rFonts w:ascii="Times New Roman" w:hAnsi="Times New Roman" w:cs="Times New Roman"/>
          <w:b/>
          <w:bCs/>
          <w:smallCaps w:val="0"/>
          <w:color w:val="auto"/>
          <w:sz w:val="22"/>
          <w:szCs w:val="22"/>
          <w:lang w:val="en-GB"/>
        </w:rPr>
        <w:t xml:space="preserve"> </w:t>
      </w:r>
    </w:p>
    <w:p w14:paraId="1AD44B49" w14:textId="300520EE" w:rsidR="00C05D6D" w:rsidRPr="007A0A45"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7A0A45">
        <w:rPr>
          <w:rFonts w:ascii="Times New Roman" w:hAnsi="Times New Roman" w:cs="Times New Roman"/>
          <w:lang w:val="en-GB"/>
        </w:rPr>
        <w:t>Incidence of between 0.06% and 1.50% of the world population (scarce and heterogeneous evidence)</w:t>
      </w:r>
      <w:r w:rsidRPr="007A0A45">
        <w:rPr>
          <w:rFonts w:ascii="Times New Roman" w:hAnsi="Times New Roman" w:cs="Times New Roman"/>
          <w:lang w:val="en-GB"/>
        </w:rPr>
        <w:fldChar w:fldCharType="begin"/>
      </w:r>
      <w:r w:rsidR="007A0A45" w:rsidRPr="007A0A45">
        <w:rPr>
          <w:rFonts w:ascii="Times New Roman" w:hAnsi="Times New Roman" w:cs="Times New Roman"/>
          <w:lang w:val="en-GB"/>
        </w:rPr>
        <w:instrText xml:space="preserve"> ADDIN ZOTERO_ITEM CSL_CITATION {"citationID":"FIAe4Uyc","properties":{"formattedCitation":"\\super 23\\nosupersub{}","plainCitation":"23","noteIndex":0},"citationItems":[{"id":55828,"uris":["http://zotero.org/groups/337550/items/VW3239AN"],"uri":["http://zotero.org/groups/337550/items/VW3239AN"],"itemData":{"id":55828,"type":"article-journal","abstract":"To inform the WHO Global report on psoriasis, a new comprehensive worldwide systematic review of the epidemiology of psoriasis was undertaken. The aim of this study was to systematically review the worldwide literature regarding the epidemiology of psoriasis, including prevalence and incidence, in adults and in children. A search of 15 electronic medical databases was performed. Using a rigorous systematic protocol, eligible articles were analysed. No language, regional or temporal restrictions were applied. A total of 76 study observations met all eligibility criteria and were included in the systematic review. The estimates of the prevalence of psoriasis in adults ranged from 0.51% to 11.43%, and in children from 0% to 1.37%. Psoriasis is a common disease, occurring more frequently with advancing age. Limited data on the epidemiology of psoriasis are available. The available prevalence data come from only 20 countries, meaning there are huge geographic gaps in knowledge, especially from low- and middle-income settings.","container-title":"Journal of the European Academy of Dermatology and Venereology","DOI":"https://doi.org/10.1111/jdv.13854","ISSN":"1468-3083","issue":"2","language":"en","note":"_eprint: https://onlinelibrary.wiley.com/doi/pdf/10.1111/jdv.13854","page":"205-212","source":"Wiley Online Library","title":"A systematic review of worldwide epidemiology of psoriasis","volume":"31","author":[{"family":"Michalek","given":"I. M."},{"family":"Loring","given":"B."},{"family":"John","given":"S. M."}],"issued":{"date-parts":[["2017"]]}}}],"schema":"https://github.com/citation-style-language/schema/raw/master/csl-citation.json"} </w:instrText>
      </w:r>
      <w:r w:rsidRPr="007A0A45">
        <w:rPr>
          <w:rFonts w:ascii="Times New Roman" w:hAnsi="Times New Roman" w:cs="Times New Roman"/>
          <w:lang w:val="en-GB"/>
        </w:rPr>
        <w:fldChar w:fldCharType="separate"/>
      </w:r>
      <w:r w:rsidR="007A0A45" w:rsidRPr="007B4152">
        <w:rPr>
          <w:rFonts w:ascii="Times New Roman" w:hAnsi="Times New Roman" w:cs="Times New Roman"/>
          <w:vertAlign w:val="superscript"/>
          <w:lang w:val="en-US"/>
        </w:rPr>
        <w:t>23</w:t>
      </w:r>
      <w:r w:rsidRPr="007A0A45">
        <w:rPr>
          <w:rFonts w:ascii="Times New Roman" w:hAnsi="Times New Roman" w:cs="Times New Roman"/>
          <w:lang w:val="en-GB"/>
        </w:rPr>
        <w:fldChar w:fldCharType="end"/>
      </w:r>
      <w:r w:rsidRPr="007A0A45">
        <w:rPr>
          <w:rFonts w:ascii="Times New Roman" w:hAnsi="Times New Roman" w:cs="Times New Roman"/>
          <w:lang w:val="en-GB"/>
        </w:rPr>
        <w:t>.</w:t>
      </w:r>
    </w:p>
    <w:p w14:paraId="5D58EDA2" w14:textId="297295DD" w:rsidR="00C05D6D" w:rsidRPr="007A0A45"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7A0A45">
        <w:rPr>
          <w:rFonts w:ascii="Times New Roman" w:hAnsi="Times New Roman" w:cs="Times New Roman"/>
          <w:lang w:val="en-GB"/>
        </w:rPr>
        <w:t>Global prevalence: between 0.09% and 5.1% (more than 60 million people affected)</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{"citationID":"bL53APC9","properties":{"formattedCitation":"\\super 4\\nosupersub{}","plainCitation":"4","noteIndex":0},"citationItems":[{"id":54643,"uris":["http://zotero.org/groups/337550/items/V6S3JBS3"],"uri":["http://zotero.org/groups/337550/items/V6S3JBS3"],"itemData":{"id":54643,"type":"article-journal","abstract":"&lt;h2&gt;Summary&lt;/h2&gt;&lt;p&gt;Psoriasis is a common, chronic papulosquamous skin disease occurring worldwide, presenting at any age, and leading to a substantial burden for individuals and society. It is associated with several important medical conditions, including depression, psoriatic arthritis, and cardiometabolic syndrome. Its most common form, chronic plaque or psoriasis vulgaris, is a consequence of genetic susceptibility, particularly in the presence of the &lt;i&gt;HLA-C*06:02&lt;/i&gt; risk allele, and of environmental triggers such as streptococcal infection, stress, smoking, obesity, and alcohol consumption. There are several phenotypes and research has separated pustular from chronic plaque forms. Immunological and genetic studies have identified IL-17 and IL-23 as key drivers of psoriasis pathogenesis. Immune targeting of these cytokines and of TNFα by biological therapies has revolutionised the care of severe chronic plaque disease. Psoriasis cannot currently be cured, but management should aim to minimise physical and psychological harm by treating patients early in the disease process, identifying and preventing associated multimorbidity, instilling lifestyle modifications, and employing a personalised approach to treatment.&lt;/p&gt;","container-title":"The Lancet","DOI":"10.1016/S0140-6736(20)32549-6","ISSN":"0140-6736, 1474-547X","issue":"10281","journalAbbreviation":"The Lancet","language":"English","note":"publisher: Elsevier\nPMID: 33812489","page":"1301-1315","source":"www.thelancet.com","title":"Psoriasis","volume":"397","author":[{"family":"Griffiths","given":"Christopher E. M."},{"family":"Armstrong","given":"April W."},{"family":"Gudjonsson","given":"Johann E."},{"family":"Barker","given":"Jonathan N. W. N."}],"issued":{"date-parts":[["2021"]]}}}],"schema":"https://github.com/citation-style-language/schema/raw/master/csl-citation.json"}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4</w:t>
      </w:r>
      <w:r w:rsidRPr="007A0A45">
        <w:rPr>
          <w:rFonts w:ascii="Times New Roman" w:hAnsi="Times New Roman" w:cs="Times New Roman"/>
          <w:lang w:val="en-GB"/>
        </w:rPr>
        <w:fldChar w:fldCharType="end"/>
      </w:r>
      <w:r w:rsidRPr="007A0A45">
        <w:rPr>
          <w:rFonts w:ascii="Times New Roman" w:hAnsi="Times New Roman" w:cs="Times New Roman"/>
          <w:lang w:val="en-GB"/>
        </w:rPr>
        <w:t xml:space="preserve">. </w:t>
      </w:r>
    </w:p>
    <w:p w14:paraId="37A14FF2" w14:textId="628C3DDC" w:rsidR="00C05D6D" w:rsidRPr="007A0A45"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7A0A45">
        <w:rPr>
          <w:rFonts w:ascii="Times New Roman" w:hAnsi="Times New Roman" w:cs="Times New Roman"/>
          <w:lang w:val="en-GB"/>
        </w:rPr>
        <w:t>Prevalence in Spain: 2.3%</w:t>
      </w:r>
      <w:r w:rsidR="007A0A45">
        <w:rPr>
          <w:rFonts w:ascii="Times New Roman" w:hAnsi="Times New Roman" w:cs="Times New Roman"/>
          <w:lang w:val="en-GB"/>
        </w:rPr>
        <w:t xml:space="preserve"> of the total population</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{"citationID":"UJYoyBGp","properties":{"formattedCitation":"\\super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2</w:t>
      </w:r>
      <w:r w:rsidRPr="007A0A45">
        <w:rPr>
          <w:rFonts w:ascii="Times New Roman" w:hAnsi="Times New Roman" w:cs="Times New Roman"/>
          <w:lang w:val="en-GB"/>
        </w:rPr>
        <w:fldChar w:fldCharType="end"/>
      </w:r>
      <w:r w:rsidRPr="007A0A45">
        <w:rPr>
          <w:rFonts w:ascii="Times New Roman" w:hAnsi="Times New Roman" w:cs="Times New Roman"/>
          <w:lang w:val="en-GB"/>
        </w:rPr>
        <w:t>.</w:t>
      </w:r>
    </w:p>
    <w:p w14:paraId="4284C690" w14:textId="7C10EC14" w:rsidR="00C05D6D" w:rsidRPr="007A0A45" w:rsidRDefault="00C05D6D" w:rsidP="00B10DD1">
      <w:pPr>
        <w:pStyle w:val="Prrafodelista"/>
        <w:numPr>
          <w:ilvl w:val="2"/>
          <w:numId w:val="16"/>
        </w:numPr>
        <w:spacing w:before="0" w:after="0"/>
        <w:contextualSpacing w:val="0"/>
        <w:rPr>
          <w:rFonts w:ascii="Times New Roman" w:hAnsi="Times New Roman" w:cs="Times New Roman"/>
          <w:lang w:val="en-GB"/>
        </w:rPr>
      </w:pPr>
      <w:r w:rsidRPr="007A0A45">
        <w:rPr>
          <w:rFonts w:ascii="Times New Roman" w:hAnsi="Times New Roman" w:cs="Times New Roman"/>
          <w:lang w:val="en-GB"/>
        </w:rPr>
        <w:t>Higher for men than for women (2.7% vs. 1.9%)</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{"citationID":"gKoR1s4R","properties":{"formattedCitation":"\\super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2</w:t>
      </w:r>
      <w:r w:rsidRPr="007A0A45">
        <w:rPr>
          <w:rFonts w:ascii="Times New Roman" w:hAnsi="Times New Roman" w:cs="Times New Roman"/>
          <w:lang w:val="en-GB"/>
        </w:rPr>
        <w:fldChar w:fldCharType="end"/>
      </w:r>
      <w:r w:rsidRPr="007A0A45">
        <w:rPr>
          <w:rFonts w:ascii="Times New Roman" w:hAnsi="Times New Roman" w:cs="Times New Roman"/>
          <w:lang w:val="en-GB"/>
        </w:rPr>
        <w:t>.</w:t>
      </w:r>
    </w:p>
    <w:p w14:paraId="7AC25F5F" w14:textId="7A4F76C8" w:rsidR="00C05D6D" w:rsidRPr="007A0A45" w:rsidRDefault="00C05D6D" w:rsidP="00B10DD1">
      <w:pPr>
        <w:pStyle w:val="Prrafodelista"/>
        <w:numPr>
          <w:ilvl w:val="2"/>
          <w:numId w:val="16"/>
        </w:numPr>
        <w:spacing w:before="0" w:after="0"/>
        <w:contextualSpacing w:val="0"/>
        <w:rPr>
          <w:rFonts w:ascii="Times New Roman" w:hAnsi="Times New Roman" w:cs="Times New Roman"/>
          <w:lang w:val="en-GB"/>
        </w:rPr>
      </w:pPr>
      <w:r w:rsidRPr="007A0A45">
        <w:rPr>
          <w:rFonts w:ascii="Times New Roman" w:hAnsi="Times New Roman" w:cs="Times New Roman"/>
          <w:lang w:val="en-GB"/>
        </w:rPr>
        <w:t>It follows an ascending curve until 60-69 years of age (3.4%), decreasing thereafter (prevalence of 2.6% for those older than 70 years)</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{"citationID":"yqKN6Flu","properties":{"formattedCitation":"\\super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2</w:t>
      </w:r>
      <w:r w:rsidRPr="007A0A45">
        <w:rPr>
          <w:rFonts w:ascii="Times New Roman" w:hAnsi="Times New Roman" w:cs="Times New Roman"/>
          <w:lang w:val="en-GB"/>
        </w:rPr>
        <w:fldChar w:fldCharType="end"/>
      </w:r>
      <w:r w:rsidRPr="007A0A45">
        <w:rPr>
          <w:rFonts w:ascii="Times New Roman" w:hAnsi="Times New Roman" w:cs="Times New Roman"/>
          <w:lang w:val="en-GB"/>
        </w:rPr>
        <w:t>.</w:t>
      </w:r>
    </w:p>
    <w:p w14:paraId="0DD1B048" w14:textId="38E73862" w:rsidR="00C05D6D" w:rsidRPr="007A0A45"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7A0A45">
        <w:rPr>
          <w:rFonts w:ascii="Times New Roman" w:hAnsi="Times New Roman" w:cs="Times New Roman"/>
          <w:lang w:val="en-GB"/>
        </w:rPr>
        <w:t xml:space="preserve">Based on these data, it is estimated that in Spain there may be </w:t>
      </w:r>
      <w:r w:rsidR="005D533B">
        <w:rPr>
          <w:rFonts w:ascii="Times New Roman" w:hAnsi="Times New Roman" w:cs="Times New Roman"/>
          <w:lang w:val="en-GB"/>
        </w:rPr>
        <w:t>1,090</w:t>
      </w:r>
      <w:r w:rsidRPr="007A0A45">
        <w:rPr>
          <w:rFonts w:ascii="Times New Roman" w:hAnsi="Times New Roman" w:cs="Times New Roman"/>
          <w:lang w:val="en-GB"/>
        </w:rPr>
        <w:t xml:space="preserve">,000 adult patients with psoriasis (2.3% of the </w:t>
      </w:r>
      <w:r w:rsidR="005D533B">
        <w:rPr>
          <w:rFonts w:ascii="Times New Roman" w:hAnsi="Times New Roman" w:cs="Times New Roman"/>
          <w:lang w:val="en-GB"/>
        </w:rPr>
        <w:t xml:space="preserve">total </w:t>
      </w:r>
      <w:r w:rsidRPr="007A0A45">
        <w:rPr>
          <w:rFonts w:ascii="Times New Roman" w:hAnsi="Times New Roman" w:cs="Times New Roman"/>
          <w:lang w:val="en-GB"/>
        </w:rPr>
        <w:t>population</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{"citationID":"j6L7lbWc","properties":{"formattedCitation":"\\super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2</w:t>
      </w:r>
      <w:r w:rsidRPr="007A0A45">
        <w:rPr>
          <w:rFonts w:ascii="Times New Roman" w:hAnsi="Times New Roman" w:cs="Times New Roman"/>
          <w:lang w:val="en-GB"/>
        </w:rPr>
        <w:fldChar w:fldCharType="end"/>
      </w:r>
      <w:r w:rsidRPr="007A0A45">
        <w:rPr>
          <w:rFonts w:ascii="Times New Roman" w:hAnsi="Times New Roman" w:cs="Times New Roman"/>
          <w:lang w:val="en-GB"/>
        </w:rPr>
        <w:t>). Of these, 90% are patients with plaque psoriasis</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{"citationID":"FVD0JnVB","properties":{"formattedCitation":"\\super 2\\nosupersub{}","plainCitation":"2","noteIndex":0},"citationItems":[{"id":22495,"uris":["http://zotero.org/groups/337550/items/C9ZBFI6W"],"uri":["http://zotero.org/groups/337550/items/C9ZBFI6W"],"itemData":{"id":22495,"type":"article-journal","container-title":"Actas Dermo-Sifiliográficas","DOI":"10.1016/j.ad.2013.12.008","ISSN":"00017310","issue":"5","language":"es","page":"504-509","source":"CrossRef","title":"Prevalence of psoriasis in Spain in the age of biologics","volume":"105","author":[{"family":"Ferrándiz","given":"C."},{"family":"Carrascosa","given":"J.M."},{"family":"Toro","given":"M."}],"issued":{"date-parts":[["2014"]]}}}],"schema":"https://github.com/citation-style-language/schema/raw/master/csl-citation.json"}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2</w:t>
      </w:r>
      <w:r w:rsidRPr="007A0A45">
        <w:rPr>
          <w:rFonts w:ascii="Times New Roman" w:hAnsi="Times New Roman" w:cs="Times New Roman"/>
          <w:lang w:val="en-GB"/>
        </w:rPr>
        <w:fldChar w:fldCharType="end"/>
      </w:r>
      <w:r w:rsidRPr="007A0A45">
        <w:rPr>
          <w:rFonts w:ascii="Times New Roman" w:hAnsi="Times New Roman" w:cs="Times New Roman"/>
          <w:lang w:val="en-GB"/>
        </w:rPr>
        <w:t xml:space="preserve"> (</w:t>
      </w:r>
      <w:r w:rsidR="005D533B">
        <w:rPr>
          <w:rFonts w:ascii="Times New Roman" w:hAnsi="Times New Roman" w:cs="Times New Roman"/>
          <w:lang w:val="en-GB"/>
        </w:rPr>
        <w:t>980</w:t>
      </w:r>
      <w:r w:rsidRPr="007A0A45">
        <w:rPr>
          <w:rFonts w:ascii="Times New Roman" w:hAnsi="Times New Roman" w:cs="Times New Roman"/>
          <w:lang w:val="en-GB"/>
        </w:rPr>
        <w:t xml:space="preserve"> thousand; 2.1%), of which 29% (2</w:t>
      </w:r>
      <w:r w:rsidR="005D533B">
        <w:rPr>
          <w:rFonts w:ascii="Times New Roman" w:hAnsi="Times New Roman" w:cs="Times New Roman"/>
          <w:lang w:val="en-GB"/>
        </w:rPr>
        <w:t>80</w:t>
      </w:r>
      <w:r w:rsidRPr="007A0A45">
        <w:rPr>
          <w:rFonts w:ascii="Times New Roman" w:hAnsi="Times New Roman" w:cs="Times New Roman"/>
          <w:lang w:val="en-GB"/>
        </w:rPr>
        <w:t xml:space="preserve"> thousand; 0.6%) have moderate-</w:t>
      </w:r>
      <w:r w:rsidR="005D533B">
        <w:rPr>
          <w:rFonts w:ascii="Times New Roman" w:hAnsi="Times New Roman" w:cs="Times New Roman"/>
          <w:lang w:val="en-GB"/>
        </w:rPr>
        <w:t>to-</w:t>
      </w:r>
      <w:r w:rsidRPr="007A0A45">
        <w:rPr>
          <w:rFonts w:ascii="Times New Roman" w:hAnsi="Times New Roman" w:cs="Times New Roman"/>
          <w:lang w:val="en-GB"/>
        </w:rPr>
        <w:t>severe psoriasis</w:t>
      </w:r>
      <w:r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{"citationID":"Cutu6HWE","properties":{"formattedCitation":"\\super 3\\nosupersub{}","plainCitation":"3","noteIndex":0},"citationItems":[{"id":24619,"uris":["http://zotero.org/groups/337550/items/XPE3IJMC"],"uri":["http://zotero.org/groups/337550/items/XPE3IJMC"],"itemData":{"id":24619,"type":"article-journal","abstract":"Objective  To estimate the direct and indirect costs related to psoriasis in Spain. Methods  We performed a 12-month, multicentre, prospective longitudinal and observational study. Overall expense of care was assessed as the sum of direct and indirect costs. Results  A total of 797 patients with varying demographics and different degrees of severity of psoriasis were included in the study. The mean total cost of psoriasis, including direct and indirect items, was 1079€ per patient and year. The major sources of expenditure were prescription drugs (46.6%), followed by medical activities (34.5%). Mean costs in patients with moderate and severe psoriasis were approximately 1.5 and 2.5 times higher than in those with mild psoriasis, respectively. Conclusions  In Spain, psoriasis is associated with substantial costs both to the National Health System and to the patients.","container-title":"Journal of the European Academy of Dermatology and Venereology","DOI":"10.1111/j.1468-3083.2006.01659.x","ISSN":"1468-3083","issue":"7","language":"en","page":"840-845","source":"Wiley Online Library","title":"A prospective evaluation of the cost of psoriasis in Spain (EPIDERMA project: Phase II)","title-short":"A prospective evaluation of the cost of psoriasis in Spain (EPIDERMA project","volume":"20","author":[{"family":"Carrascosa","given":"Jm"},{"family":"Pujol","given":"R"},{"family":"Daudén","given":"E"},{"family":"Hernanz-Hermosa","given":"Jm"},{"family":"Bordas","given":"X"},{"family":"Smandia","given":"Ja"},{"family":"Ferrándiz","given":"C"}],"issued":{"date-parts":[["2006"]]}}}],"schema":"https://github.com/citation-style-language/schema/raw/master/csl-citation.json"} </w:instrText>
      </w:r>
      <w:r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3</w:t>
      </w:r>
      <w:r w:rsidRPr="007A0A45">
        <w:rPr>
          <w:rFonts w:ascii="Times New Roman" w:hAnsi="Times New Roman" w:cs="Times New Roman"/>
          <w:lang w:val="en-GB"/>
        </w:rPr>
        <w:fldChar w:fldCharType="end"/>
      </w:r>
      <w:r w:rsidRPr="007A0A45">
        <w:rPr>
          <w:rFonts w:ascii="Times New Roman" w:hAnsi="Times New Roman" w:cs="Times New Roman"/>
          <w:lang w:val="en-GB"/>
        </w:rPr>
        <w:t>, and are therefore possible candidates to be treated with biologics. Of these, only a part (about 5-10%) receives treatment with biologics</w:t>
      </w:r>
      <w:r w:rsidR="009A0A2F" w:rsidRPr="007A0A45">
        <w:rPr>
          <w:rFonts w:ascii="Times New Roman" w:hAnsi="Times New Roman" w:cs="Times New Roman"/>
          <w:lang w:val="en-GB"/>
        </w:rPr>
        <w:fldChar w:fldCharType="begin"/>
      </w:r>
      <w:r w:rsidR="00FE2771" w:rsidRPr="007A0A45">
        <w:rPr>
          <w:rFonts w:ascii="Times New Roman" w:hAnsi="Times New Roman" w:cs="Times New Roman"/>
          <w:lang w:val="en-GB"/>
        </w:rPr>
        <w:instrText xml:space="preserve"> ADDIN ZOTERO_ITEM CSL_CITATION {"citationID":"yne5HkYP","properties":{"formattedCitation":"\\super 9\\nosupersub{}","plainCitation":"9","noteIndex":0},"citationItems":[{"id":19241,"uris":["http://zotero.org/groups/337550/items/FGWCZ9RH"],"uri":["http://zotero.org/groups/337550/items/FGWCZ9RH"],"itemData":{"id":19241,"type":"article-journal","container-title":"Journal of the American Academy of Dermatology","DOI":"10.1016/j.jaad.2013.12.018","ISSN":"01909622","issue":"5","language":"en","page":"871-881.e30","source":"CrossRef","title":"Patient perspectives in the management of psoriasis: Results from the population-based Multinational Assessment of Psoriasis and Psoriatic Arthritis Survey","title-short":"Patient perspectives in the management of psoriasis","volume":"70","author":[{"family":"Lebwohl","given":"Mark G."},{"family":"Bachelez","given":"Hervé"},{"family":"Barker","given":"Jonathan"},{"family":"Girolomoni","given":"Giampiero"},{"family":"Kavanaugh","given":"Arthur"},{"family":"Langley","given":"Richard G."},{"family":"Paul","given":"Carle F."},{"family":"Puig","given":"Lluís"},{"family":"Reich","given":"Kristian"},{"family":"Kerkhof","given":"Peter C.M.","non-dropping-particle":"van de"}],"issued":{"date-parts":[["2014"]]}}}],"schema":"https://github.com/citation-style-language/schema/raw/master/csl-citation.json"} </w:instrText>
      </w:r>
      <w:r w:rsidR="009A0A2F" w:rsidRPr="007A0A45">
        <w:rPr>
          <w:rFonts w:ascii="Times New Roman" w:hAnsi="Times New Roman" w:cs="Times New Roman"/>
          <w:lang w:val="en-GB"/>
        </w:rPr>
        <w:fldChar w:fldCharType="separate"/>
      </w:r>
      <w:r w:rsidR="0099784B" w:rsidRPr="007B4152">
        <w:rPr>
          <w:rFonts w:ascii="Times New Roman" w:hAnsi="Times New Roman" w:cs="Times New Roman"/>
          <w:vertAlign w:val="superscript"/>
          <w:lang w:val="en-US"/>
        </w:rPr>
        <w:t>9</w:t>
      </w:r>
      <w:r w:rsidR="009A0A2F" w:rsidRPr="007A0A45">
        <w:rPr>
          <w:rFonts w:ascii="Times New Roman" w:hAnsi="Times New Roman" w:cs="Times New Roman"/>
          <w:lang w:val="en-GB"/>
        </w:rPr>
        <w:fldChar w:fldCharType="end"/>
      </w:r>
      <w:r w:rsidR="001B7CAD" w:rsidRPr="007A0A45">
        <w:rPr>
          <w:rFonts w:ascii="Times New Roman" w:hAnsi="Times New Roman" w:cs="Times New Roman"/>
          <w:lang w:val="en-GB"/>
        </w:rPr>
        <w:t>.</w:t>
      </w:r>
    </w:p>
    <w:p w14:paraId="40647BDE" w14:textId="77777777" w:rsidR="00C05D6D" w:rsidRPr="004722FF" w:rsidRDefault="00C05D6D" w:rsidP="00C05D6D">
      <w:pPr>
        <w:spacing w:before="120" w:line="240" w:lineRule="auto"/>
        <w:rPr>
          <w:rFonts w:ascii="Times New Roman" w:hAnsi="Times New Roman" w:cs="Times New Roman"/>
          <w:sz w:val="24"/>
          <w:szCs w:val="24"/>
          <w:lang w:val="en-GB"/>
        </w:rPr>
      </w:pPr>
    </w:p>
    <w:p w14:paraId="69F0D8F3" w14:textId="77777777" w:rsidR="00C05D6D" w:rsidRPr="004722FF" w:rsidRDefault="00C05D6D" w:rsidP="00C05D6D">
      <w:pPr>
        <w:spacing w:before="120" w:line="240" w:lineRule="auto"/>
        <w:rPr>
          <w:rFonts w:ascii="Times New Roman" w:hAnsi="Times New Roman" w:cs="Times New Roman"/>
          <w:sz w:val="24"/>
          <w:szCs w:val="24"/>
          <w:lang w:val="en-GB"/>
        </w:rPr>
      </w:pPr>
    </w:p>
    <w:p w14:paraId="57BFD24B" w14:textId="77777777" w:rsidR="004355F4" w:rsidRPr="004722FF" w:rsidRDefault="004355F4" w:rsidP="00C05D6D">
      <w:pPr>
        <w:spacing w:before="120" w:line="240" w:lineRule="auto"/>
        <w:rPr>
          <w:rFonts w:ascii="Times New Roman" w:hAnsi="Times New Roman" w:cs="Times New Roman"/>
          <w:sz w:val="24"/>
          <w:szCs w:val="24"/>
          <w:lang w:val="en-GB"/>
        </w:rPr>
      </w:pPr>
    </w:p>
    <w:p w14:paraId="74F37649" w14:textId="77777777" w:rsidR="004355F4" w:rsidRPr="004722FF" w:rsidRDefault="004355F4" w:rsidP="00C05D6D">
      <w:pPr>
        <w:spacing w:before="120" w:line="240" w:lineRule="auto"/>
        <w:rPr>
          <w:rFonts w:ascii="Times New Roman" w:hAnsi="Times New Roman" w:cs="Times New Roman"/>
          <w:sz w:val="24"/>
          <w:szCs w:val="24"/>
          <w:lang w:val="en-GB"/>
        </w:rPr>
      </w:pPr>
    </w:p>
    <w:p w14:paraId="3B0DD611" w14:textId="77777777" w:rsidR="004355F4" w:rsidRPr="004722FF" w:rsidRDefault="004355F4" w:rsidP="00C05D6D">
      <w:pPr>
        <w:spacing w:before="120" w:line="240" w:lineRule="auto"/>
        <w:rPr>
          <w:rFonts w:ascii="Times New Roman" w:hAnsi="Times New Roman" w:cs="Times New Roman"/>
          <w:sz w:val="24"/>
          <w:szCs w:val="24"/>
          <w:lang w:val="en-GB"/>
        </w:rPr>
      </w:pPr>
    </w:p>
    <w:p w14:paraId="1CDA1448" w14:textId="77777777" w:rsidR="004355F4" w:rsidRPr="004722FF" w:rsidRDefault="004355F4" w:rsidP="00C05D6D">
      <w:pPr>
        <w:spacing w:before="120" w:line="240" w:lineRule="auto"/>
        <w:rPr>
          <w:rFonts w:ascii="Times New Roman" w:hAnsi="Times New Roman" w:cs="Times New Roman"/>
          <w:sz w:val="24"/>
          <w:szCs w:val="24"/>
          <w:lang w:val="en-GB"/>
        </w:rPr>
      </w:pPr>
    </w:p>
    <w:p w14:paraId="7548DA48" w14:textId="77777777" w:rsidR="004355F4" w:rsidRPr="004722FF" w:rsidRDefault="004355F4" w:rsidP="00C05D6D">
      <w:pPr>
        <w:spacing w:before="120" w:line="240" w:lineRule="auto"/>
        <w:rPr>
          <w:rFonts w:ascii="Times New Roman" w:hAnsi="Times New Roman" w:cs="Times New Roman"/>
          <w:sz w:val="24"/>
          <w:szCs w:val="24"/>
          <w:lang w:val="en-GB"/>
        </w:rPr>
      </w:pPr>
    </w:p>
    <w:p w14:paraId="06EAEAFB" w14:textId="77777777" w:rsidR="004355F4" w:rsidRPr="004722FF" w:rsidRDefault="004355F4" w:rsidP="00C05D6D">
      <w:pPr>
        <w:spacing w:before="120" w:line="240" w:lineRule="auto"/>
        <w:rPr>
          <w:rFonts w:ascii="Times New Roman" w:hAnsi="Times New Roman" w:cs="Times New Roman"/>
          <w:sz w:val="24"/>
          <w:szCs w:val="24"/>
          <w:lang w:val="en-GB"/>
        </w:rPr>
      </w:pPr>
    </w:p>
    <w:p w14:paraId="7D45452B" w14:textId="77777777" w:rsidR="004509EE" w:rsidRPr="004722FF" w:rsidRDefault="004509EE" w:rsidP="00C05D6D">
      <w:pPr>
        <w:spacing w:before="120" w:line="240" w:lineRule="auto"/>
        <w:rPr>
          <w:rFonts w:ascii="Times New Roman" w:hAnsi="Times New Roman" w:cs="Times New Roman"/>
          <w:sz w:val="24"/>
          <w:szCs w:val="24"/>
          <w:lang w:val="en-GB"/>
        </w:rPr>
      </w:pPr>
    </w:p>
    <w:p w14:paraId="657B8658" w14:textId="77777777" w:rsidR="00C05D6D" w:rsidRPr="004722FF" w:rsidRDefault="00C05D6D" w:rsidP="00C05D6D">
      <w:pPr>
        <w:spacing w:before="120" w:line="240" w:lineRule="auto"/>
        <w:rPr>
          <w:rFonts w:ascii="Times New Roman" w:hAnsi="Times New Roman" w:cs="Times New Roman"/>
          <w:sz w:val="24"/>
          <w:szCs w:val="24"/>
          <w:lang w:val="en-GB"/>
        </w:rPr>
      </w:pPr>
    </w:p>
    <w:p w14:paraId="4EDDC465" w14:textId="77777777" w:rsidR="0045142F" w:rsidRPr="004722FF" w:rsidRDefault="0045142F" w:rsidP="00C05D6D">
      <w:pPr>
        <w:spacing w:before="120" w:line="240" w:lineRule="auto"/>
        <w:rPr>
          <w:rFonts w:ascii="Times New Roman" w:hAnsi="Times New Roman" w:cs="Times New Roman"/>
          <w:sz w:val="24"/>
          <w:szCs w:val="24"/>
          <w:lang w:val="en-GB"/>
        </w:rPr>
      </w:pPr>
    </w:p>
    <w:p w14:paraId="2CC43C25" w14:textId="369153E6" w:rsidR="0045142F" w:rsidRDefault="0045142F" w:rsidP="00C05D6D">
      <w:pPr>
        <w:spacing w:before="120" w:line="240" w:lineRule="auto"/>
        <w:rPr>
          <w:rFonts w:ascii="Times New Roman" w:hAnsi="Times New Roman" w:cs="Times New Roman"/>
          <w:sz w:val="24"/>
          <w:szCs w:val="24"/>
          <w:lang w:val="en-GB"/>
        </w:rPr>
      </w:pPr>
    </w:p>
    <w:p w14:paraId="004C8237" w14:textId="122C1B6D" w:rsidR="005D533B" w:rsidRDefault="005D533B" w:rsidP="00C05D6D">
      <w:pPr>
        <w:spacing w:before="120" w:line="240" w:lineRule="auto"/>
        <w:rPr>
          <w:rFonts w:ascii="Times New Roman" w:hAnsi="Times New Roman" w:cs="Times New Roman"/>
          <w:sz w:val="24"/>
          <w:szCs w:val="24"/>
          <w:lang w:val="en-GB"/>
        </w:rPr>
      </w:pPr>
    </w:p>
    <w:p w14:paraId="4124D4DA" w14:textId="77777777" w:rsidR="005D533B" w:rsidRDefault="005D533B" w:rsidP="00C05D6D">
      <w:pPr>
        <w:spacing w:before="120" w:line="240" w:lineRule="auto"/>
        <w:rPr>
          <w:rFonts w:ascii="Times New Roman" w:hAnsi="Times New Roman" w:cs="Times New Roman"/>
          <w:sz w:val="24"/>
          <w:szCs w:val="24"/>
          <w:lang w:val="en-GB"/>
        </w:rPr>
      </w:pPr>
    </w:p>
    <w:p w14:paraId="31609FDE" w14:textId="77777777" w:rsidR="005D533B" w:rsidRPr="004722FF" w:rsidRDefault="005D533B" w:rsidP="00C05D6D">
      <w:pPr>
        <w:spacing w:before="120" w:line="240" w:lineRule="auto"/>
        <w:rPr>
          <w:rFonts w:ascii="Times New Roman" w:hAnsi="Times New Roman" w:cs="Times New Roman"/>
          <w:sz w:val="24"/>
          <w:szCs w:val="24"/>
          <w:lang w:val="en-GB"/>
        </w:rPr>
      </w:pPr>
    </w:p>
    <w:p w14:paraId="7F442F07" w14:textId="77777777" w:rsidR="0045142F" w:rsidRPr="004722FF" w:rsidRDefault="0045142F" w:rsidP="00C05D6D">
      <w:pPr>
        <w:spacing w:before="120" w:line="240" w:lineRule="auto"/>
        <w:rPr>
          <w:rFonts w:ascii="Times New Roman" w:hAnsi="Times New Roman" w:cs="Times New Roman"/>
          <w:sz w:val="24"/>
          <w:szCs w:val="24"/>
          <w:lang w:val="en-GB"/>
        </w:rPr>
      </w:pPr>
    </w:p>
    <w:p w14:paraId="75CD2CB4" w14:textId="4DE37634" w:rsidR="00C05D6D" w:rsidRPr="005D533B" w:rsidRDefault="00C05D6D" w:rsidP="00C05D6D">
      <w:pPr>
        <w:pStyle w:val="Ttulo2"/>
        <w:numPr>
          <w:ilvl w:val="1"/>
          <w:numId w:val="1"/>
        </w:numPr>
        <w:spacing w:before="120" w:line="240" w:lineRule="auto"/>
        <w:ind w:left="1418"/>
        <w:rPr>
          <w:rFonts w:ascii="Times New Roman" w:hAnsi="Times New Roman" w:cs="Times New Roman"/>
          <w:b/>
          <w:bCs/>
          <w:smallCaps w:val="0"/>
          <w:color w:val="auto"/>
          <w:sz w:val="22"/>
          <w:szCs w:val="22"/>
          <w:lang w:val="en-GB"/>
        </w:rPr>
      </w:pPr>
      <w:bookmarkStart w:id="12" w:name="_Toc89351160"/>
      <w:r w:rsidRPr="005D533B">
        <w:rPr>
          <w:rFonts w:ascii="Times New Roman" w:hAnsi="Times New Roman" w:cs="Times New Roman"/>
          <w:b/>
          <w:bCs/>
          <w:smallCaps w:val="0"/>
          <w:color w:val="auto"/>
          <w:sz w:val="24"/>
          <w:szCs w:val="52"/>
          <w:lang w:val="en-GB"/>
        </w:rPr>
        <w:lastRenderedPageBreak/>
        <w:t>Unmet needs</w:t>
      </w:r>
      <w:bookmarkEnd w:id="12"/>
      <w:r w:rsidRPr="005D533B">
        <w:rPr>
          <w:rFonts w:ascii="Times New Roman" w:hAnsi="Times New Roman" w:cs="Times New Roman"/>
          <w:b/>
          <w:bCs/>
          <w:smallCaps w:val="0"/>
          <w:color w:val="auto"/>
          <w:sz w:val="24"/>
          <w:szCs w:val="52"/>
          <w:lang w:val="en-GB"/>
        </w:rPr>
        <w:t xml:space="preserve"> </w:t>
      </w:r>
    </w:p>
    <w:p w14:paraId="5B38FDAF" w14:textId="591C9FDC" w:rsidR="00C05D6D" w:rsidRPr="004722FF" w:rsidRDefault="00C05D6D" w:rsidP="00B10DD1">
      <w:pPr>
        <w:spacing w:before="360" w:after="0"/>
        <w:ind w:left="1418"/>
        <w:rPr>
          <w:rFonts w:ascii="Times New Roman" w:hAnsi="Times New Roman" w:cs="Times New Roman"/>
          <w:b/>
          <w:bCs/>
          <w:sz w:val="24"/>
          <w:szCs w:val="24"/>
          <w:lang w:val="en-GB"/>
        </w:rPr>
      </w:pPr>
      <w:r w:rsidRPr="004722FF">
        <w:rPr>
          <w:rFonts w:ascii="Times New Roman" w:hAnsi="Times New Roman" w:cs="Times New Roman"/>
          <w:b/>
          <w:bCs/>
          <w:sz w:val="24"/>
          <w:szCs w:val="24"/>
          <w:lang w:val="en-GB"/>
        </w:rPr>
        <w:t>Effectiveness</w:t>
      </w:r>
    </w:p>
    <w:p w14:paraId="34690C00" w14:textId="6BCA5BC1" w:rsidR="00C05D6D" w:rsidRPr="004722FF"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4722FF">
        <w:rPr>
          <w:rFonts w:ascii="Times New Roman" w:hAnsi="Times New Roman" w:cs="Times New Roman"/>
          <w:lang w:val="en-GB"/>
        </w:rPr>
        <w:t xml:space="preserve">With the most recent (and effective: IL-17 and IL-23) drugs, between 8 and 9 patients out of 10 achieve PASI 75 during the induction therapy period, which is maintained over a year, while </w:t>
      </w:r>
      <w:r w:rsidR="005D533B">
        <w:rPr>
          <w:rFonts w:ascii="Times New Roman" w:hAnsi="Times New Roman" w:cs="Times New Roman"/>
          <w:lang w:val="en-GB"/>
        </w:rPr>
        <w:t>t</w:t>
      </w:r>
      <w:r w:rsidRPr="004722FF">
        <w:rPr>
          <w:rFonts w:ascii="Times New Roman" w:hAnsi="Times New Roman" w:cs="Times New Roman"/>
          <w:lang w:val="en-GB"/>
        </w:rPr>
        <w:t>his proportion is reduced to between 7-8 / 10 for PASI 90, and 4-6 / 10 for PASI 100, demonstrating that, despite the advances, there are still between 35% and 60% of patients who do not achieve complete clearance after one year with the most effective therapies available</w:t>
      </w:r>
      <w:r w:rsidRPr="004722FF">
        <w:rPr>
          <w:rFonts w:ascii="Times New Roman" w:hAnsi="Times New Roman" w:cs="Times New Roman"/>
          <w:lang w:val="en-GB"/>
        </w:rPr>
        <w:fldChar w:fldCharType="begin"/>
      </w:r>
      <w:r w:rsidR="007A0A45">
        <w:rPr>
          <w:rFonts w:ascii="Times New Roman" w:hAnsi="Times New Roman" w:cs="Times New Roman"/>
          <w:lang w:val="en-GB"/>
        </w:rPr>
        <w:instrText xml:space="preserve"> ADDIN ZOTERO_ITEM CSL_CITATION {"citationID":"1DwB6Q5x","properties":{"formattedCitation":"\\super 24\\nosupersub{}","plainCitation":"24","noteIndex":0},"citationItems":[{"id":54047,"uris":["http://zotero.org/groups/337550/items/X9FYJUVS"],"uri":["http://zotero.org/groups/337550/items/X9FYJUVS"],"itemData":{"id":54047,"type":"article-journal","abstract":"INTRODUCTION: The clinical benefits of biologic and oral treatments for moderate-to-severe plaque psoriasis are well-established, but efficacy outcomes can vary across therapies. Comparative efficacy analysis can be highly informative in clinical settings with multiple therapeutic options. This study assessed the short-term and long-term comparative efficacy of biologic and oral treatments for moderate-to-severe psoriasis.\nMETHODS: A systematic literature review identified phase 2/3/4 randomized controlled trials (RCTs) through to 1 July 2020 for Food and Drug Administration- or European Medicines Agency-licensed treatments for moderate-to-severe psoriasis. Psoriasis Area and Severity Index (PASI) 75/90/100 response rates at the end of the primary response (short-term: 10-16 weeks from baseline) and maintenance periods (long-term: 48-52 weeks from baseline) were estimated using Bayesian network meta-analysis. Surfaces under the cumulative ranking curves (SUCRA) were estimated to present the relative ranking of treatments.\nRESULTS: In the short term (N = 71 RCTs), the PASI 90 response rates were highest for ixekizumab (72.9%, SUCRA 0.951), risankizumab (72.5%, 0.940), and brodalumab (72.0%, 0.930), which were significantly higher than those for guselkumab (65.0%, 0.795), secukinumab (65.0%, 0.794), infliximab (56.8%, 0.702), certolizumab (400 mg: 49.6%, 0.607; 200 mg: 42.2%, 0.389), ustekinumab (90 mg: 47.9%, 0.568; weight-based: 45.7%, 0.505; 45 mg: 44.6%, 0.460), adalimumab (43.0%, 0.410), tildrakizumab (200 mg: 39.7%, 0.327; 100 mg: 37.2%, 0.268), etanercept (18.0%, 0.171), apremilast (12.4%, 0.090), and dimethyl fumarate (12.2%, 0.092). The PASI 100 response rates were highest for ixekizumab (41.4%), risankizumab (40.8%), and brodalumab (40.3%). In the long term (N = 11 RCTs), the PASI 90 rate was highest for risankizumab (85.3%, SUCRA: 0.998), which were significantly higher than those for brodalumab (78.8%, 0.786), guselkumab (78.1%, 0.760), ixekizumab (72.1%, 0.577), secukinumab (67.0%, 0.450), ustekinumab (weight-based: 55.0%, 0.252), adalimumab (51.6%, 0.176), and etanercept (37.9%, 0.001). Risankizumab had the highest PASI 100 response rate (65.4%), followed by brodalumab (55.7%) and guselkumab (54.8%).\nCONCLUSIONS: Ixekizumab, risankizumab, and brodalumab had the highest short-term efficacy, and risankizumab had the highest long-term efficacy.","container-title":"Dermatology and Therapy","DOI":"10.1007/s13555-021-00511-1","ISSN":"2193-8210","journalAbbreviation":"Dermatol Ther (Heidelb)","language":"eng","note":"PMID: 33788177","source":"PubMed","title":"Comparative Efficacy and Relative Ranking of Biologics and Oral Therapies for Moderate-to-Severe Plaque Psoriasis: A Network Meta-analysis","title-short":"Comparative Efficacy and Relative Ranking of Biologics and Oral Therapies for Moderate-to-Severe Plaque Psoriasis","author":[{"family":"Armstrong","given":"April W."},{"family":"Soliman","given":"Ahmed M."},{"family":"Betts","given":"Keith A."},{"family":"Wang","given":"Yan"},{"family":"Gao","given":"Yawen"},{"family":"Puig","given":"Luis"},{"family":"Augustin","given":"Matthias"}],"issued":{"date-parts":[["2021"]]}}}],"schema":"https://github.com/citation-style-language/schema/raw/master/csl-citation.json"} </w:instrText>
      </w:r>
      <w:r w:rsidRPr="004722FF">
        <w:rPr>
          <w:rFonts w:ascii="Times New Roman" w:hAnsi="Times New Roman" w:cs="Times New Roman"/>
          <w:lang w:val="en-GB"/>
        </w:rPr>
        <w:fldChar w:fldCharType="separate"/>
      </w:r>
      <w:r w:rsidR="007A0A45" w:rsidRPr="007A0A45">
        <w:rPr>
          <w:rFonts w:ascii="Times New Roman" w:hAnsi="Times New Roman" w:cs="Times New Roman"/>
          <w:szCs w:val="24"/>
          <w:vertAlign w:val="superscript"/>
        </w:rPr>
        <w:t>24</w:t>
      </w:r>
      <w:r w:rsidRPr="004722FF">
        <w:rPr>
          <w:rFonts w:ascii="Times New Roman" w:hAnsi="Times New Roman" w:cs="Times New Roman"/>
          <w:lang w:val="en-GB"/>
        </w:rPr>
        <w:fldChar w:fldCharType="end"/>
      </w:r>
      <w:r w:rsidR="005D533B">
        <w:rPr>
          <w:rFonts w:ascii="Times New Roman" w:hAnsi="Times New Roman" w:cs="Times New Roman"/>
          <w:lang w:val="en-GB"/>
        </w:rPr>
        <w:t>.</w:t>
      </w:r>
      <w:r w:rsidRPr="004722FF">
        <w:rPr>
          <w:rFonts w:ascii="Times New Roman" w:hAnsi="Times New Roman" w:cs="Times New Roman"/>
          <w:lang w:val="en-GB"/>
        </w:rPr>
        <w:t xml:space="preserve"> </w:t>
      </w:r>
    </w:p>
    <w:p w14:paraId="3CFE2548" w14:textId="7D4D68FA" w:rsidR="00C05D6D" w:rsidRPr="004722FF"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4722FF">
        <w:rPr>
          <w:rFonts w:ascii="Times New Roman" w:hAnsi="Times New Roman" w:cs="Times New Roman"/>
          <w:lang w:val="en-GB"/>
        </w:rPr>
        <w:t xml:space="preserve">In the </w:t>
      </w:r>
      <w:r w:rsidR="00956288" w:rsidRPr="004722FF">
        <w:rPr>
          <w:rFonts w:ascii="Times New Roman" w:hAnsi="Times New Roman" w:cs="Times New Roman"/>
          <w:lang w:val="en-GB"/>
        </w:rPr>
        <w:t>best-case</w:t>
      </w:r>
      <w:r w:rsidR="00956288">
        <w:rPr>
          <w:rFonts w:ascii="Times New Roman" w:hAnsi="Times New Roman" w:cs="Times New Roman"/>
          <w:lang w:val="en-GB"/>
        </w:rPr>
        <w:t xml:space="preserve"> scenario</w:t>
      </w:r>
      <w:r w:rsidRPr="004722FF">
        <w:rPr>
          <w:rFonts w:ascii="Times New Roman" w:hAnsi="Times New Roman" w:cs="Times New Roman"/>
          <w:lang w:val="en-GB"/>
        </w:rPr>
        <w:t xml:space="preserve"> with current</w:t>
      </w:r>
      <w:r w:rsidR="00956288">
        <w:rPr>
          <w:rFonts w:ascii="Times New Roman" w:hAnsi="Times New Roman" w:cs="Times New Roman"/>
          <w:lang w:val="en-GB"/>
        </w:rPr>
        <w:t>ly</w:t>
      </w:r>
      <w:r w:rsidRPr="004722FF">
        <w:rPr>
          <w:rFonts w:ascii="Times New Roman" w:hAnsi="Times New Roman" w:cs="Times New Roman"/>
          <w:lang w:val="en-GB"/>
        </w:rPr>
        <w:t xml:space="preserve"> </w:t>
      </w:r>
      <w:r w:rsidR="00956288">
        <w:rPr>
          <w:rFonts w:ascii="Times New Roman" w:hAnsi="Times New Roman" w:cs="Times New Roman"/>
          <w:lang w:val="en-GB"/>
        </w:rPr>
        <w:t xml:space="preserve">available </w:t>
      </w:r>
      <w:r w:rsidRPr="004722FF">
        <w:rPr>
          <w:rFonts w:ascii="Times New Roman" w:hAnsi="Times New Roman" w:cs="Times New Roman"/>
          <w:lang w:val="en-GB"/>
        </w:rPr>
        <w:t xml:space="preserve">treatments, for half of the patients who manage to obtain a total clearance (PASI 100 to 50% of patients), these results are only obtained 3 months </w:t>
      </w:r>
      <w:r w:rsidR="00956288" w:rsidRPr="004722FF">
        <w:rPr>
          <w:rFonts w:ascii="Times New Roman" w:hAnsi="Times New Roman" w:cs="Times New Roman"/>
          <w:lang w:val="en-GB"/>
        </w:rPr>
        <w:t>(</w:t>
      </w:r>
      <w:r w:rsidR="00956288">
        <w:rPr>
          <w:rFonts w:ascii="Times New Roman" w:hAnsi="Times New Roman" w:cs="Times New Roman"/>
          <w:lang w:val="en-GB"/>
        </w:rPr>
        <w:t>up to</w:t>
      </w:r>
      <w:r w:rsidR="00956288" w:rsidRPr="004722FF">
        <w:rPr>
          <w:rFonts w:ascii="Times New Roman" w:hAnsi="Times New Roman" w:cs="Times New Roman"/>
          <w:lang w:val="en-GB"/>
        </w:rPr>
        <w:t xml:space="preserve"> 8 months)</w:t>
      </w:r>
      <w:r w:rsidR="00956288">
        <w:rPr>
          <w:rFonts w:ascii="Times New Roman" w:hAnsi="Times New Roman" w:cs="Times New Roman"/>
          <w:lang w:val="en-GB"/>
        </w:rPr>
        <w:t xml:space="preserve"> </w:t>
      </w:r>
      <w:r w:rsidRPr="004722FF">
        <w:rPr>
          <w:rFonts w:ascii="Times New Roman" w:hAnsi="Times New Roman" w:cs="Times New Roman"/>
          <w:lang w:val="en-GB"/>
        </w:rPr>
        <w:t xml:space="preserve">from the start </w:t>
      </w:r>
      <w:r w:rsidR="00956288">
        <w:rPr>
          <w:rFonts w:ascii="Times New Roman" w:hAnsi="Times New Roman" w:cs="Times New Roman"/>
          <w:lang w:val="en-GB"/>
        </w:rPr>
        <w:t>of the treatment</w:t>
      </w:r>
      <w:r w:rsidRPr="004722FF">
        <w:rPr>
          <w:rFonts w:ascii="Times New Roman" w:hAnsi="Times New Roman" w:cs="Times New Roman"/>
          <w:lang w:val="en-GB"/>
        </w:rPr>
        <w:t xml:space="preserve">. The drugs of the IL-17 class are the fastest in obtaining </w:t>
      </w:r>
      <w:r w:rsidR="00956288">
        <w:rPr>
          <w:rFonts w:ascii="Times New Roman" w:hAnsi="Times New Roman" w:cs="Times New Roman"/>
          <w:lang w:val="en-GB"/>
        </w:rPr>
        <w:t>total clearance</w:t>
      </w:r>
      <w:r w:rsidRPr="004722FF">
        <w:rPr>
          <w:rFonts w:ascii="Times New Roman" w:hAnsi="Times New Roman" w:cs="Times New Roman"/>
          <w:lang w:val="en-GB"/>
        </w:rPr>
        <w:fldChar w:fldCharType="begin"/>
      </w:r>
      <w:r w:rsidR="007A0A45">
        <w:rPr>
          <w:rFonts w:ascii="Times New Roman" w:hAnsi="Times New Roman" w:cs="Times New Roman"/>
          <w:lang w:val="en-GB"/>
        </w:rPr>
        <w:instrText xml:space="preserve"> ADDIN ZOTERO_ITEM CSL_CITATION {"citationID":"Cd8oWB0V","properties":{"formattedCitation":"\\super 25\\nosupersub{}","plainCitation":"25","noteIndex":0},"citationItems":[{"id":54485,"uris":["http://zotero.org/groups/337550/items/6NGMAUL6"],"uri":["http://zotero.org/groups/337550/items/6NGMAUL6"],"itemData":{"id":54485,"type":"article-journal","abstract":"Several novel biologics are available or in development for moderate-to-severe plaque psoriasis. These drugs may differ in time until Psoriasis Area and Severity Index (PASI) response is obtained. In this systematic review, we examined the time to onset of action for interleukin (IL)-17 and IL-23 agents in the treatment of psoriasis. The primary objective was the weighted mean time needed for 25% and 50% of patients with psoriasis to achieve PASI90. The medical databases PubMed, Web of Science and EMBASE were searched using the following terms: psoriasis AND (ixekizumab OR secukinumab OR brodalumab OR risankizumab OR guselkumab OR tildrakizumab). A total of 27 studies were included for data extraction and qualitative synthesis, and 26 of these were quantitatively analysed. The shortest time to 25% and 50% of patients to achieved PASI90 were seen with brodalumab 210 mg every 2 weeks (Q2W; 3.5 weeks and 6.2 weeks, respectively) followed by ixekizumab 80 mg Q2W (4.1 and 7.4 weeks, respectively) and ixekizumab 80 mg Q4W (4.6 and 8.1 weeks, respectively) dosages. In conclusion, clinical trials yielded shorter time to onset of action in studies assessing approved dosing ranges of IL-17 inhibitors compared with studies assessing IL-23 inhibitors.","container-title":"Journal of the European Academy of Dermatology and Venereology: JEADV","DOI":"10.1111/jdv.15920","ISSN":"1468-3083","issue":"1","journalAbbreviation":"J Eur Acad Dermatol Venereol","language":"eng","note":"PMID: 31465593","page":"39-46","source":"PubMed","title":"Systematic review on rapidity of onset of action for interleukin-17 and interleukin-23 inhibitors for psoriasis","volume":"34","author":[{"family":"Egeberg","given":"A."},{"family":"Andersen","given":"Y. M. F."},{"family":"Halling-Overgaard","given":"A.-S."},{"family":"Alignahi","given":"F."},{"family":"Thyssen","given":"J. P."},{"family":"Burge","given":"R."},{"family":"Mallbris","given":"L."}],"issued":{"date-parts":[["2020"]]}}}],"schema":"https://github.com/citation-style-language/schema/raw/master/csl-citation.json"} </w:instrText>
      </w:r>
      <w:r w:rsidRPr="004722FF">
        <w:rPr>
          <w:rFonts w:ascii="Times New Roman" w:hAnsi="Times New Roman" w:cs="Times New Roman"/>
          <w:lang w:val="en-GB"/>
        </w:rPr>
        <w:fldChar w:fldCharType="separate"/>
      </w:r>
      <w:r w:rsidR="007A0A45" w:rsidRPr="007B4152">
        <w:rPr>
          <w:rFonts w:ascii="Times New Roman" w:hAnsi="Times New Roman" w:cs="Times New Roman"/>
          <w:szCs w:val="24"/>
          <w:vertAlign w:val="superscript"/>
          <w:lang w:val="en-US"/>
        </w:rPr>
        <w:t>25</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7CE9075B" w14:textId="3310636D" w:rsidR="00C05D6D" w:rsidRPr="004722FF" w:rsidRDefault="00C05D6D" w:rsidP="00B10DD1">
      <w:pPr>
        <w:pStyle w:val="Prrafodelista"/>
        <w:numPr>
          <w:ilvl w:val="0"/>
          <w:numId w:val="16"/>
        </w:numPr>
        <w:spacing w:before="0" w:after="0"/>
        <w:ind w:left="1701" w:hanging="357"/>
        <w:contextualSpacing w:val="0"/>
        <w:rPr>
          <w:rFonts w:ascii="Times New Roman" w:hAnsi="Times New Roman" w:cs="Times New Roman"/>
          <w:lang w:val="en-GB"/>
        </w:rPr>
      </w:pPr>
      <w:r w:rsidRPr="004722FF">
        <w:rPr>
          <w:rFonts w:ascii="Times New Roman" w:hAnsi="Times New Roman" w:cs="Times New Roman"/>
          <w:lang w:val="en-GB"/>
        </w:rPr>
        <w:t xml:space="preserve">Half of the patients </w:t>
      </w:r>
      <w:r w:rsidR="00956288">
        <w:rPr>
          <w:rFonts w:ascii="Times New Roman" w:hAnsi="Times New Roman" w:cs="Times New Roman"/>
          <w:lang w:val="en-GB"/>
        </w:rPr>
        <w:t>discontinue</w:t>
      </w:r>
      <w:r w:rsidRPr="004722FF">
        <w:rPr>
          <w:rFonts w:ascii="Times New Roman" w:hAnsi="Times New Roman" w:cs="Times New Roman"/>
          <w:lang w:val="en-GB"/>
        </w:rPr>
        <w:t xml:space="preserve"> or change their treatment within 4 years from its start, and the main reason is the lack of persistence of efficacy. The 4-year persistence rate for current biologics is between 41% and 56%, which means that 44% </w:t>
      </w:r>
      <w:r w:rsidR="00956288">
        <w:rPr>
          <w:rFonts w:ascii="Times New Roman" w:hAnsi="Times New Roman" w:cs="Times New Roman"/>
          <w:lang w:val="en-GB"/>
        </w:rPr>
        <w:t xml:space="preserve">to </w:t>
      </w:r>
      <w:r w:rsidRPr="004722FF">
        <w:rPr>
          <w:rFonts w:ascii="Times New Roman" w:hAnsi="Times New Roman" w:cs="Times New Roman"/>
          <w:lang w:val="en-GB"/>
        </w:rPr>
        <w:t xml:space="preserve">59% of patients have to stop their treatment before the </w:t>
      </w:r>
      <w:r w:rsidR="00956288">
        <w:rPr>
          <w:rFonts w:ascii="Times New Roman" w:hAnsi="Times New Roman" w:cs="Times New Roman"/>
          <w:lang w:val="en-GB"/>
        </w:rPr>
        <w:t>fourth year</w:t>
      </w:r>
      <w:r w:rsidRPr="004722FF">
        <w:rPr>
          <w:rFonts w:ascii="Times New Roman" w:hAnsi="Times New Roman" w:cs="Times New Roman"/>
          <w:lang w:val="en-GB"/>
        </w:rPr>
        <w:fldChar w:fldCharType="begin"/>
      </w:r>
      <w:r w:rsidR="007A0A45">
        <w:rPr>
          <w:rFonts w:ascii="Times New Roman" w:hAnsi="Times New Roman" w:cs="Times New Roman"/>
          <w:lang w:val="en-GB"/>
        </w:rPr>
        <w:instrText xml:space="preserve"> ADDIN ZOTERO_ITEM CSL_CITATION {"citationID":"gX1w2qlN","properties":{"formattedCitation":"\\super 26\\nosupersub{}","plainCitation":"26","noteIndex":0},"citationItems":[{"id":54066,"uris":["http://zotero.org/groups/337550/items/UPBLUWBP"],"uri":["http://zotero.org/groups/337550/items/UPBLUWBP"],"itemData":{"id":54066,"type":"article-journal","abstract":"Drug survival measures the length of time until discontinuation of a drug. The length of time a patient remains on a biologic drug is impacted by several factors such as tolerability, side effects, safety profile and effectiveness. To evaluate the long-term drug survival, data of the most commonly prescribed biologic medications used in the treatment of psoriasis, a systematic review was conducted. A literature search using PubMed, the Cochrane Library and the Cumulative Index to Nursing and Allied Health Literature from January 1 2010 to October 28 2016 identified 3734 abstracts. Of which, 36 publications with over 40,000 patients met the inclusion criteria. The median overall drug survival for ustekinumab, adalimumab, infliximab and etanercept was 38.0, 36.5, 26.6 and 24.7 months, respectively. The mean annual drug survival rate of TNF inhibitors was 70%, 57%, 51%, 45% and 41% at years-1, 2, 3, 4 and 5, respectively. The 5-year mean annual drug survival rate of ustekinumab was 87%, 78%, 70%, 71% and 51%, respectively. Based on our findings, ustekinumab appears to have a longer drug survival with lower rates of discontinuation compared to tumor necrosis factor inhibitors.","container-title":"Journal of Dermatological Treatment","DOI":"10.1080/09546634.2017.1398393","ISSN":"0954-6634","issue":"5","note":"publisher: Taylor &amp; Francis\n_eprint: https://doi.org/10.1080/09546634.2017.1398393\nPMID: 29076754","page":"460-466","source":"Taylor and Francis+NEJM","title":"Drug survival of biologic treatments in psoriasis: a systematic review","title-short":"Drug survival of biologic treatments in psoriasis","volume":"29","author":[{"family":"No","given":"Daniel J."},{"family":"Inkeles","given":"Megan S."},{"family":"Amin","given":"Mina"},{"family":"Wu","given":"Jashin J."}],"issued":{"date-parts":[["2018"]]}}}],"schema":"https://github.com/citation-style-language/schema/raw/master/csl-citation.json"} </w:instrText>
      </w:r>
      <w:r w:rsidRPr="004722FF">
        <w:rPr>
          <w:rFonts w:ascii="Times New Roman" w:hAnsi="Times New Roman" w:cs="Times New Roman"/>
          <w:lang w:val="en-GB"/>
        </w:rPr>
        <w:fldChar w:fldCharType="separate"/>
      </w:r>
      <w:r w:rsidR="007A0A45" w:rsidRPr="007B4152">
        <w:rPr>
          <w:rFonts w:ascii="Times New Roman" w:hAnsi="Times New Roman" w:cs="Times New Roman"/>
          <w:szCs w:val="24"/>
          <w:vertAlign w:val="superscript"/>
          <w:lang w:val="en-US"/>
        </w:rPr>
        <w:t>26</w:t>
      </w:r>
      <w:r w:rsidRPr="004722FF">
        <w:rPr>
          <w:rFonts w:ascii="Times New Roman" w:hAnsi="Times New Roman" w:cs="Times New Roman"/>
          <w:lang w:val="en-GB"/>
        </w:rPr>
        <w:fldChar w:fldCharType="end"/>
      </w:r>
      <w:r w:rsidRPr="004722FF">
        <w:rPr>
          <w:rFonts w:ascii="Times New Roman" w:hAnsi="Times New Roman" w:cs="Times New Roman"/>
          <w:lang w:val="en-GB"/>
        </w:rPr>
        <w:t xml:space="preserve">. </w:t>
      </w:r>
    </w:p>
    <w:p w14:paraId="12CC23D9" w14:textId="02298916" w:rsidR="00C05D6D" w:rsidRPr="004722FF" w:rsidRDefault="005D533B" w:rsidP="00B10DD1">
      <w:pPr>
        <w:spacing w:before="360" w:after="0"/>
        <w:ind w:left="1134" w:firstLine="210"/>
        <w:rPr>
          <w:rFonts w:ascii="Times New Roman" w:hAnsi="Times New Roman" w:cs="Times New Roman"/>
          <w:b/>
          <w:bCs/>
          <w:sz w:val="24"/>
          <w:szCs w:val="24"/>
          <w:lang w:val="en-GB"/>
        </w:rPr>
      </w:pPr>
      <w:r>
        <w:rPr>
          <w:rFonts w:ascii="Times New Roman" w:hAnsi="Times New Roman" w:cs="Times New Roman"/>
          <w:b/>
          <w:bCs/>
          <w:sz w:val="24"/>
          <w:szCs w:val="24"/>
          <w:lang w:val="en-GB"/>
        </w:rPr>
        <w:t>Safety and tolerability</w:t>
      </w:r>
    </w:p>
    <w:p w14:paraId="3C8803FD" w14:textId="543676D7" w:rsidR="00C05D6D" w:rsidRPr="004722FF" w:rsidRDefault="00C05D6D" w:rsidP="00B10DD1">
      <w:pPr>
        <w:pStyle w:val="Prrafodelista"/>
        <w:numPr>
          <w:ilvl w:val="0"/>
          <w:numId w:val="18"/>
        </w:numPr>
        <w:spacing w:before="0" w:after="0"/>
        <w:ind w:left="1701"/>
        <w:contextualSpacing w:val="0"/>
        <w:rPr>
          <w:rFonts w:ascii="Times New Roman" w:hAnsi="Times New Roman" w:cs="Times New Roman"/>
          <w:lang w:val="en-GB"/>
        </w:rPr>
      </w:pPr>
      <w:r w:rsidRPr="004722FF">
        <w:rPr>
          <w:rFonts w:ascii="Times New Roman" w:hAnsi="Times New Roman" w:cs="Times New Roman"/>
          <w:lang w:val="en-GB"/>
        </w:rPr>
        <w:t>One of the common concerns regarding the safety and tolerability of the use of biologicals is related to the possible reactivation of hepatitis B</w:t>
      </w:r>
      <w:bookmarkStart w:id="13" w:name="_Hlk78196137"/>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{"citationID":"GCvnPi0O","properties":{"formattedCitation":"\\super 27\\uc0\\u8211{}32\\nosupersub{}","plainCitation":"27–32","noteIndex":0},"citationItems":[{"id":54089,"uris":["http://zotero.org/groups/337550/items/LZEFQ5KX"],"uri":["http://zotero.org/groups/337550/items/LZEFQ5KX"],"itemData":{"id":54089,"type":"article-journal","abstract":"The advent of biologics brought a paradigm shift in ways to treat psoriatic patients because they have dramatic efficacy. At the same time, safety concerns about biologics have been raised. In this paper, we focus on the safety profile of biologics for psoriasis. As of 2017, six biologics are available in Japan. Two tumor necrosis factor-α inhibitors; infliximab and adalimumab, one anti-interleukin (IL)-12/23p40 antibody; ustekinumab, and IL-17 inhibitors; secukinumab, ixekizumab and brodalumab. Secukinumab and ixekizumab are anti-IL-17A antibodies. Brodalumab is an anti-IL17RA antibody. In this review, we pick up topics which have drawn attention regarding the safety of biologics and discuss them with recent published work.","container-title":"The Journal of Dermatology","DOI":"10.1111/1346-8138.14096","ISSN":"1346-8138","issue":"3","journalAbbreviation":"J Dermatol","language":"eng","note":"PMID: 29226369","page":"279-286","source":"PubMed","title":"Safety of biologics in psoriasis","volume":"45","author":[{"family":"Kamata","given":"Masahiro"},{"family":"Tada","given":"Yayoi"}],"issued":{"date-parts":[["2018"]]}}},{"id":54086,"uris":["http://zotero.org/groups/337550/items/7SMGBRDD"],"uri":["http://zotero.org/groups/337550/items/7SMGBRDD"],"itemData":{"id":54086,"type":"article-journal","abstract":"Psoriasis is a chronic inflammatory skin disease characterized by scaly indurated erythema. It impairs patients' quality of life enormously. It has been recognized not only as a skin disease but as a systemic disease, since it also causes arthritis (psoriatic arthritis) and mental disorders. Furthermore, an association with cardiovascular events is indicated. With the advent of biologics, treatment of psoriasis dramatically changed due to its high efficacy and tolerable safety. A variety of biologic agents are available for the treatment of psoriasis nowadays. However, characteristics such as rapidity of onset, long-term efficacy, safety profile, and effects on comorbidities are different. Better understanding of those characteristic leads to the right choice for individual patients, resulting in higher persistence, longer drug survival, higher patient satisfaction, and minimizing the disease impact of psoriasis. In this paper, we focus on the efficacy and safety profile of biologics in psoriasis patients, including plaque psoriasis and psoriatic arthritis. In addition, we discuss the impact of biologics on comorbidities caused by psoriasis.","container-title":"International Journal of Molecular Sciences","DOI":"10.3390/ijms21051690","ISSN":"1422-0067","issue":"5","journalAbbreviation":"Int J Mol Sci","language":"eng","note":"PMID: 32121574\nPMCID: PMC7084606","source":"PubMed","title":"Efficacy and Safety of Biologics for Psoriasis and Psoriatic Arthritis and Their Impact on Comorbidities: A Literature Review","title-short":"Efficacy and Safety of Biologics for Psoriasis and Psoriatic Arthritis and Their Impact on Comorbidities","volume":"21","author":[{"family":"Kamata","given":"Masahiro"},{"family":"Tada","given":"Yayoi"}],"issued":{"date-parts":[["2020"]]}}},{"id":54092,"uris":["http://zotero.org/groups/337550/items/G7A2EY6G"],"uri":["http://zotero.org/groups/337550/items/G7A2EY6G"],"itemData":{"id":54092,"type":"article-journal","abstract":"Psoriasis is a chronic inflammatory disease which affects nearly 3% of the adult US population. Due to the chronic nature of the disease and need for long-term treatment, psoriasis is associated with substantial disease burden and negative impact on patients' quality of life. In the past, systemic agents such as methotrexate, cyclosporine, and acitretin have been the mainstay treatment for moderate to severe psoriasis. Multiple new molecular targets have been recently identified, and novel biologic therapies directed at these targets have been approved leading to a paradigm shift in psoriasis management. However, despite the availability of several treatment options and continued introduction of highly efficacious biologics, undertreatment of psoriasis patients remains a huge problem. This can be largely attributed to several causes including high cost of biologics, lack of experience, and reluctance of practitioners to initiate or switch to systemic treatment regimens in moderate to severe psoriasis patients. In this article, we aim to provide a concise review of mechanism, safety, and efficacy of the approved systemic treatments for psoriasis.","container-title":"International Journal of Dermatology","DOI":"10.1111/ijd.14246","ISSN":"1365-4632","issue":"6","journalAbbreviation":"Int J Dermatol","language":"eng","note":"PMID: 30246393","page":"649-658","source":"PubMed","title":"Review of safety and efficacy of approved systemic psoriasis therapies","volume":"58","author":[{"family":"Kaushik","given":"Shivani B."},{"family":"Lebwohl","given":"Mark G."}],"issued":{"date-parts":[["2019"]]}}},{"id":58342,"uris":["http://zotero.org/groups/337550/items/BS4RJGAQ"],"uri":["http://zotero.org/groups/337550/items/BS4RJGAQ"],"itemData":{"id":58342,"type":"article-journal","abstract":"Tumor necrosis factor-alpha inhibitors are among the new class of drugs that offer new options for psoriasis control. In addition to serving as a key mediator in psoriasis, elevated tumor necrosis factor-alpha levels have also been observed in patients with congestive heart failure, and clinical trials have been performed to examine the effects of tumor necrosis factor-alpha inhibitors, such as etanercept and infliximab, in such a population. Two large-scale trials examining the effects of etanercept in more than 2000 patients with heart failure did not indicate any increased risk of mortality or morbidity, and no US Food and Drug Administration warning has been issued regarding the use of etanercept in such a patient population. On the other hand, a study with infliximab showed significantly increased deaths, hospitalizations, and morbidity. Thus, infliximab&gt;5 mg/kg is now contraindicated in patients with moderate-to-severe congestive heart failure (New York Heart Association functional class III/IV). If infliximab must be used, it should not exceed 5 mg/kg, and patients must be followed closely.","container-title":"Skinmed","DOI":"10.1111/j.1540-9740.2005.04502.x","ISSN":"1540-9740","issue":"6","journalAbbreviation":"Skinmed","language":"eng","note":"PMID: 16276152","page":"363-368","source":"PubMed","title":"TNF-alpha inhibitors and congestive heart failure","volume":"4","author":[{"family":"Behnam","given":"Shahrad M."},{"family":"Behnam","given":"Shahdad E."},{"family":"Koo","given":"John Y."}],"issued":{"date-parts":[["2005"]]}}},{"id":58344,"uris":["http://zotero.org/groups/337550/items/9I4VBHT2"],"uri":["http://zotero.org/groups/337550/items/9I4VBHT2"],"itemData":{"id":58344,"type":"article-journal","abstract":"Importance: Tumor necrosis factor (TNF) inhibitors are common therapies for certain autoimmune diseases, such as rheumatoid arthritis. An association between TNF inhibitor exposure and inflammatory central nervous system (CNS) events has been postulated but is poorly understood.\nObjective: To evaluate whether TNF inhibitor exposure is associated with inflammatory demyelinating and nondemyelinating CNS events in patients with an indication for TNF inhibitor use and to describe the spectrum of those CNS events.\nDesign, Setting, and Participants: A nested case-control study was conducted using the medical records of patients with autoimmune diseases treated at 3 Mayo Clinic locations (Rochester, Minnesota; Scottsdale, Arizona; and Jacksonville, Florida) between January 1, 2003, and February 20, 2019. Patients were included if their records reported International Statistical Classification of Diseases and Related Health Problems, Tenth Revision, diagnostic codes for US Food and Drug Administration-approved autoimmune disease indication for TNF inhibitor use (ie, rheumatoid arthritis, ankylosing spondylitis, psoriasis and psoriatic arthritis, Crohn disease, and ulcerative colitis) and diagnostic codes for inflammatory CNS events of interest. Patients were matched 1:1 with control participants by year of birth, type of autoimmune disease, and sex.\nExposures: TNF inhibitor exposure data were derived from the medical records along with type of TNF inhibitor, cumulative duration of exposure, and time of exposure.\nMain Outcomes and Measures: The main outcome was either inflammatory demyelinating (multiple sclerosis and other diseases such as optic neuritis) or nondemyelinating (meningitis, meningoencephalitis, encephalitis, neurosarcoidosis, and CNS vasculitis) CNS event. Association with TNF inhibitor was evaluated with conditional logistic regression and adjusted for disease duration to determine the odds ratios (ORs) and 95% CIs. Secondary analyses included stratification of outcome by inflammatory demyelinating and nondemyelinating CNS events and by autoimmune disease (rheumatoid arthritis and non-rheumatoid arthritis).\nResults: A total of 212 individuals were included: 106 patients with inflammatory CNS events and 106 control participants without such events. Of this total, 136 were female (64%); the median (interquartile range) age at disease onset for patients was 52 (43-62) years. Exposure to TNF inhibitors occurred in 64 patients (60%) and 42 control participants (40%) and was associated with an increased risk of any inflammatory CNS event (adjusted OR, 3.01; 95% CI, 1.55-5.82; P = .001). These results were similar when the outcome was stratified by demyelinating and nondemyelinating CNS events. Secondary analyses found the association was predominantly observed in patients with rheumatoid arthritis (adjusted OR, 4.82; 95% CI, 1.62-14.36; P = .005).\nConclusions and Relevance: This study found that exposure to TNF inhibitors in patients with autoimmune diseases appeared to be associated with increased risk for inflammatory CNS events. Whether this association represents de novo or exacerbated inflammatory pathways requires further research.","container-title":"JAMA neurology","DOI":"10.1001/jamaneurol.2020.1162","ISSN":"2168-6157","issue":"8","journalAbbreviation":"JAMA Neurol","language":"eng","note":"PMID: 32421186\nPMCID: PMC7235930","page":"937-946","source":"PubMed","title":"Association Between Tumor Necrosis Factor Inhibitor Exposure and Inflammatory Central Nervous System Events","volume":"77","author":[{"family":"Kunchok","given":"Amy"},{"family":"Aksamit","given":"Allen J."},{"family":"Davis","given":"John M."},{"family":"Kantarci","given":"Orhun H."},{"family":"Keegan","given":"B. Mark"},{"family":"Pittock","given":"Sean J."},{"family":"Weinshenker","given":"Brian G."},{"family":"McKeon","given":"Andrew"}],"issued":{"date-parts":[["2020"]]}}},{"id":58347,"uris":["http://zotero.org/groups/337550/items/B3ZLM9RW"],"uri":["http://zotero.org/groups/337550/items/B3ZLM9RW"],"itemData":{"id":58347,"type":"article-journal","abstract":"Tumor necrosis factor (TNF) antagonists are biologic response modifiers that have significantly improved the outcomes in patients with rheumatoid arthritis (RA). At this report, safety data were collected on approximately 271,000 patients administered infliximab (as of February 2002), 121,000 patients administered etanercept (as of December 2001), and on 2400 patients who received adalimumab in trials in connection with the regulatory approval process (approval granted December 2002 in the US and September 2003 in European Union). Infliximab and etanercept have predictable and manageable safety profiles, and preliminary data suggest that the profile of adalimumab is comparable. Safety issues involving the anti-TNF agents as a class include the risk of injection-site reactions or infusion-related reactions, infection (for example, serious, opportunistic, or tubercular), malignancy, autoimmunity, and demyelinating and neurologic disorders. Injection-site and infusion-related reactions are most often easily managed and rarely lead to discontinuation of therapy. Infections can be minimized or prevented by screening and careful monitoring and follow-up; most infections respond to appropriate medical treatment. More studies are needed to evaluate the occurrence of malignancies in patients with RA to determine the potential risk posed by therapy. Antibody formation can follow the administration of any biologic agent. Although demyelinating disease has been reported with anti-TNF agents, it is not clear whether a causal relationship exists. Overall, the anti-TNF agents are well tolerated and have demonstrated a favorable benefit-to-risk profile in patients with RA.","container-title":"Arthritis Research &amp; Therapy","DOI":"10.1186/ar995","ISSN":"1478-6354","issue":"Suppl 2","journalAbbreviation":"Arthritis Res Ther","note":"PMID: 15228616\nPMCID: PMC2833460","page":"S12-S18","source":"PubMed Central","title":"Does safety make a difference in selecting the right TNF antagonist?","volume":"6","author":[{"family":"Fleischmann","given":"Roy"},{"family":"Yocum","given":"David"}],"issued":{"date-parts":[["2004"]]}}}],"schema":"https://github.com/citation-style-language/schema/raw/master/csl-citation.json"}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27–32</w:t>
      </w:r>
      <w:r w:rsidRPr="004722FF">
        <w:rPr>
          <w:rFonts w:ascii="Times New Roman" w:hAnsi="Times New Roman" w:cs="Times New Roman"/>
          <w:sz w:val="20"/>
          <w:szCs w:val="20"/>
          <w:lang w:val="en-GB"/>
        </w:rPr>
        <w:fldChar w:fldCharType="end"/>
      </w:r>
      <w:bookmarkEnd w:id="13"/>
      <w:r w:rsidRPr="004722FF">
        <w:rPr>
          <w:rFonts w:ascii="Times New Roman" w:hAnsi="Times New Roman" w:cs="Times New Roman"/>
          <w:lang w:val="en-GB"/>
        </w:rPr>
        <w:t>. Different classes of drugs produce specific adverse events that must be taken into account when prescribing treatment</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{"citationID":"BxTCgo3Z","properties":{"formattedCitation":"\\super 27\\uc0\\u8211{}29\\nosupersub{}","plainCitation":"27–29","noteIndex":0},"citationItems":[{"id":54089,"uris":["http://zotero.org/groups/337550/items/LZEFQ5KX"],"uri":["http://zotero.org/groups/337550/items/LZEFQ5KX"],"itemData":{"id":54089,"type":"article-journal","abstract":"The advent of biologics brought a paradigm shift in ways to treat psoriatic patients because they have dramatic efficacy. At the same time, safety concerns about biologics have been raised. In this paper, we focus on the safety profile of biologics for psoriasis. As of 2017, six biologics are available in Japan. Two tumor necrosis factor-α inhibitors; infliximab and adalimumab, one anti-interleukin (IL)-12/23p40 antibody; ustekinumab, and IL-17 inhibitors; secukinumab, ixekizumab and brodalumab. Secukinumab and ixekizumab are anti-IL-17A antibodies. Brodalumab is an anti-IL17RA antibody. In this review, we pick up topics which have drawn attention regarding the safety of biologics and discuss them with recent published work.","container-title":"The Journal of Dermatology","DOI":"10.1111/1346-8138.14096","ISSN":"1346-8138","issue":"3","journalAbbreviation":"J Dermatol","language":"eng","note":"PMID: 29226369","page":"279-286","source":"PubMed","title":"Safety of biologics in psoriasis","volume":"45","author":[{"family":"Kamata","given":"Masahiro"},{"family":"Tada","given":"Yayoi"}],"issued":{"date-parts":[["2018"]]}}},{"id":54086,"uris":["http://zotero.org/groups/337550/items/7SMGBRDD"],"uri":["http://zotero.org/groups/337550/items/7SMGBRDD"],"itemData":{"id":54086,"type":"article-journal","abstract":"Psoriasis is a chronic inflammatory skin disease characterized by scaly indurated erythema. It impairs patients' quality of life enormously. It has been recognized not only as a skin disease but as a systemic disease, since it also causes arthritis (psoriatic arthritis) and mental disorders. Furthermore, an association with cardiovascular events is indicated. With the advent of biologics, treatment of psoriasis dramatically changed due to its high efficacy and tolerable safety. A variety of biologic agents are available for the treatment of psoriasis nowadays. However, characteristics such as rapidity of onset, long-term efficacy, safety profile, and effects on comorbidities are different. Better understanding of those characteristic leads to the right choice for individual patients, resulting in higher persistence, longer drug survival, higher patient satisfaction, and minimizing the disease impact of psoriasis. In this paper, we focus on the efficacy and safety profile of biologics in psoriasis patients, including plaque psoriasis and psoriatic arthritis. In addition, we discuss the impact of biologics on comorbidities caused by psoriasis.","container-title":"International Journal of Molecular Sciences","DOI":"10.3390/ijms21051690","ISSN":"1422-0067","issue":"5","journalAbbreviation":"Int J Mol Sci","language":"eng","note":"PMID: 32121574\nPMCID: PMC7084606","source":"PubMed","title":"Efficacy and Safety of Biologics for Psoriasis and Psoriatic Arthritis and Their Impact on Comorbidities: A Literature Review","title-short":"Efficacy and Safety of Biologics for Psoriasis and Psoriatic Arthritis and Their Impact on Comorbidities","volume":"21","author":[{"family":"Kamata","given":"Masahiro"},{"family":"Tada","given":"Yayoi"}],"issued":{"date-parts":[["2020"]]}}},{"id":54092,"uris":["http://zotero.org/groups/337550/items/G7A2EY6G"],"uri":["http://zotero.org/groups/337550/items/G7A2EY6G"],"itemData":{"id":54092,"type":"article-journal","abstract":"Psoriasis is a chronic inflammatory disease which affects nearly 3% of the adult US population. Due to the chronic nature of the disease and need for long-term treatment, psoriasis is associated with substantial disease burden and negative impact on patients' quality of life. In the past, systemic agents such as methotrexate, cyclosporine, and acitretin have been the mainstay treatment for moderate to severe psoriasis. Multiple new molecular targets have been recently identified, and novel biologic therapies directed at these targets have been approved leading to a paradigm shift in psoriasis management. However, despite the availability of several treatment options and continued introduction of highly efficacious biologics, undertreatment of psoriasis patients remains a huge problem. This can be largely attributed to several causes including high cost of biologics, lack of experience, and reluctance of practitioners to initiate or switch to systemic treatment regimens in moderate to severe psoriasis patients. In this article, we aim to provide a concise review of mechanism, safety, and efficacy of the approved systemic treatments for psoriasis.","container-title":"International Journal of Dermatology","DOI":"10.1111/ijd.14246","ISSN":"1365-4632","issue":"6","journalAbbreviation":"Int J Dermatol","language":"eng","note":"PMID: 30246393","page":"649-658","source":"PubMed","title":"Review of safety and efficacy of approved systemic psoriasis therapies","volume":"58","author":[{"family":"Kaushik","given":"Shivani B."},{"family":"Lebwohl","given":"Mark G."}],"issued":{"date-parts":[["2019"]]}}}],"schema":"https://github.com/citation-style-language/schema/raw/master/csl-citation.json"}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27–29</w:t>
      </w:r>
      <w:r w:rsidRPr="004722FF">
        <w:rPr>
          <w:rFonts w:ascii="Times New Roman" w:hAnsi="Times New Roman" w:cs="Times New Roman"/>
          <w:sz w:val="20"/>
          <w:szCs w:val="20"/>
          <w:lang w:val="en-GB"/>
        </w:rPr>
        <w:fldChar w:fldCharType="end"/>
      </w:r>
      <w:r w:rsidRPr="004722FF">
        <w:rPr>
          <w:rFonts w:ascii="Times New Roman" w:hAnsi="Times New Roman" w:cs="Times New Roman"/>
          <w:lang w:val="en-GB"/>
        </w:rPr>
        <w:t xml:space="preserve">: (i) TNF: severe infections, tuberculosis, paradoxical reactions, lupus, infusion reaction, congestive heart failure, autoimmune diseases, abnormal liver function results, some neurological disorders and demyelinating diseases. (ii) IL-12 / IL-23: although some observational studies have </w:t>
      </w:r>
      <w:r w:rsidR="00956288">
        <w:rPr>
          <w:rFonts w:ascii="Times New Roman" w:hAnsi="Times New Roman" w:cs="Times New Roman"/>
          <w:lang w:val="en-GB"/>
        </w:rPr>
        <w:t>raised</w:t>
      </w:r>
      <w:r w:rsidRPr="004722FF">
        <w:rPr>
          <w:rFonts w:ascii="Times New Roman" w:hAnsi="Times New Roman" w:cs="Times New Roman"/>
          <w:lang w:val="en-GB"/>
        </w:rPr>
        <w:t xml:space="preserve"> some concern related to the production of cardiovascular and major cardiovascular events due to the use of IL-12 / IL-23, this causality has not been demonstrated. (iii) IL-17: candidiasis, neutropenia, inflammatory bowel disease, upper respiratory tract infections, nasopharyngitis, headaches, </w:t>
      </w:r>
      <w:r w:rsidR="00956288" w:rsidRPr="004722FF">
        <w:rPr>
          <w:rFonts w:ascii="Times New Roman" w:hAnsi="Times New Roman" w:cs="Times New Roman"/>
          <w:lang w:val="en-GB"/>
        </w:rPr>
        <w:t>diarrhoea</w:t>
      </w:r>
      <w:r w:rsidRPr="004722FF">
        <w:rPr>
          <w:rFonts w:ascii="Times New Roman" w:hAnsi="Times New Roman" w:cs="Times New Roman"/>
          <w:lang w:val="en-GB"/>
        </w:rPr>
        <w:t>, and some psychiatric effects in brodalumab. IL-23: To date, no serious adverse events specific to IL-23 have been reported.</w:t>
      </w:r>
    </w:p>
    <w:p w14:paraId="3317EEBA" w14:textId="08C71D92" w:rsidR="00C05D6D" w:rsidRPr="004722FF" w:rsidRDefault="00F470BE" w:rsidP="00B10DD1">
      <w:pPr>
        <w:pStyle w:val="Prrafodelista"/>
        <w:numPr>
          <w:ilvl w:val="0"/>
          <w:numId w:val="18"/>
        </w:numPr>
        <w:spacing w:before="0" w:after="0"/>
        <w:ind w:left="1701"/>
        <w:contextualSpacing w:val="0"/>
        <w:rPr>
          <w:rFonts w:ascii="Times New Roman" w:hAnsi="Times New Roman" w:cs="Times New Roman"/>
          <w:lang w:val="en-GB"/>
        </w:rPr>
      </w:pPr>
      <w:r w:rsidRPr="004722FF">
        <w:rPr>
          <w:rFonts w:ascii="Times New Roman" w:hAnsi="Times New Roman" w:cs="Times New Roman"/>
          <w:lang w:val="en-GB"/>
        </w:rPr>
        <w:t>Biological treatments are generally safe, with a low proportion of patients affected by serious adverse events. The proportion of patients with moderate</w:t>
      </w:r>
      <w:r w:rsidR="004C74A0">
        <w:rPr>
          <w:rFonts w:ascii="Times New Roman" w:hAnsi="Times New Roman" w:cs="Times New Roman"/>
          <w:lang w:val="en-GB"/>
        </w:rPr>
        <w:t>-</w:t>
      </w:r>
      <w:r w:rsidRPr="004722FF">
        <w:rPr>
          <w:rFonts w:ascii="Times New Roman" w:hAnsi="Times New Roman" w:cs="Times New Roman"/>
          <w:lang w:val="en-GB"/>
        </w:rPr>
        <w:t>to</w:t>
      </w:r>
      <w:r w:rsidR="004C74A0">
        <w:rPr>
          <w:rFonts w:ascii="Times New Roman" w:hAnsi="Times New Roman" w:cs="Times New Roman"/>
          <w:lang w:val="en-GB"/>
        </w:rPr>
        <w:t>-</w:t>
      </w:r>
      <w:r w:rsidRPr="004722FF">
        <w:rPr>
          <w:rFonts w:ascii="Times New Roman" w:hAnsi="Times New Roman" w:cs="Times New Roman"/>
          <w:lang w:val="en-GB"/>
        </w:rPr>
        <w:t>severe psoriasis treated with biological drugs who experience some type of adverse event in the two years after treatment ranges between 46% and 93%. This percentage drops to between 5.3% and 11.7% if we consider serious adverse events, and to less than 0.5% if we consider deaths caused by adverse events</w:t>
      </w:r>
      <w:r w:rsidR="00C05D6D" w:rsidRPr="004722FF">
        <w:rPr>
          <w:rFonts w:ascii="Times New Roman" w:hAnsi="Times New Roman" w:cs="Times New Roman"/>
          <w:sz w:val="20"/>
          <w:szCs w:val="20"/>
          <w:lang w:val="en-GB"/>
        </w:rPr>
        <w:fldChar w:fldCharType="begin"/>
      </w:r>
      <w:r w:rsidR="00775F51">
        <w:rPr>
          <w:rFonts w:ascii="Times New Roman" w:hAnsi="Times New Roman" w:cs="Times New Roman"/>
          <w:sz w:val="20"/>
          <w:szCs w:val="20"/>
          <w:lang w:val="en-GB"/>
        </w:rPr>
        <w:instrText xml:space="preserve"> ADDIN ZOTERO_ITEM CSL_CITATION {"citationID":"Bfg7tgKp","properties":{"formattedCitation":"\\super 33,34\\nosupersub{}","plainCitation":"33,34","dontUpdate":true,"noteIndex":0},"citationItems":[{"id":54083,"uris":["http://zotero.org/groups/337550/items/EHYPU45G"],"uri":["http://zotero.org/groups/337550/items/EHYPU45G"],"itemData":{"id":54083,"type":"article-journal","abstract":"BACKGROUND: Registry studies broadly describing the safety of systemic drugs in psoriasis are needed.\nOBJECTIVE: To describe the safety findings of the systemic drugs acitretin, adalimumab, apremilast, cyclosporine, etanercept, infliximab, methotrexate, secukinumab, and ustekinumab used for the treatment of moderate to severe psoriasis in patients included in the Spanish Registry of Adverse Events for Biological Therapy in Dermatological Diseases (BIOBADADERM) Registry.\nMETHODS: The incidence rate ratio (IRR) and adjusted IRR (including propensity scores) of identified adverse events for each drug, using methotrexate as reference, were determined by means of a prospective cohort.\nRESULTS: Our study included 2845 patients (8954 treatment cycles; 9642 patient-years). Ustekinumab and secukinumab had the lowest rate of adverse events for several of the system organ classes, with a statistically significant decreased rate ratio (IRR of &lt;1), whereas cyclosporine and infliximab had the highest, with an increased rate ratio (IRR of ≥5).\nLIMITATIONS: Observational study, drug allocation not randomized, depletion of susceptibles, and prescribed doses not registered.\nCONCLUSION: Our data provide comparative safety information in the real-life setting that could help clinicians selecting between available products.","container-title":"Journal of the American Academy of Dermatology","DOI":"10.1016/j.jaad.2020.03.033","ISSN":"1097-6787","issue":"1","journalAbbreviation":"J Am Acad Dermatol","language":"eng","note":"PMID: 32213306","page":"139-150","source":"PubMed","title":"Long-term safety of nine systemic medications for psoriasis: A cohort study using the Spanish Registry of Adverse Events for Biological Therapy in Dermatological Diseases (BIOBADADERM) Registry","title-short":"Long-term safety of nine systemic medications for psoriasis","volume":"83","author":[{"family":"Daudén","given":"Esteban"},{"family":"Carretero","given":"Gregorio"},{"family":"Rivera","given":"Raquel"},{"family":"Ferrándiz","given":"Carlos"},{"family":"Llamas-Velasco","given":"Mar"},{"family":"Cueva","given":"Pablo","non-dropping-particle":"de la"},{"family":"Belinchón","given":"Isabel"},{"family":"Gómez-García","given":"Francisco José"},{"family":"Herrera-Acosta","given":"Enrique"},{"family":"Ruiz-Genao","given":"Diana Patricia"},{"family":"Ferrán-Farrés","given":"Marta"},{"family":"Alsina","given":"Mercè"},{"family":"Baniandrés-Rodríguez","given":"Ofelia"},{"family":"Sánchez-Carazo","given":"José Luis"},{"family":"Sahuquillo-Torralba","given":"Antonio"},{"family":"Fernández-Freire","given":"Lourdes Rodriguez"},{"family":"Vilar-Alejo","given":"Jaime"},{"family":"García-Donoso","given":"Carmen"},{"family":"Carrascosa","given":"José Manuel"},{"family":"Herrera-Ceballos","given":"Enrique"},{"family":"López-Estebaranz","given":"José Luis"},{"family":"Botella-Estrada","given":"Rafael"},{"family":"Segovia-Muñoz","given":"Eva"},{"family":"Descalzo","given":"Miguel Angel"},{"family":"García-Doval","given":"Ignacio"},{"literal":"BIOBADADERM Study Group"}],"issued":{"date-parts":[["2020"]]}}},{"id":54552,"uris":["http://zotero.org/groups/337550/items/RMS87B2A"],"uri":["http://zotero.org/groups/337550/items/RMS87B2A"],"itemData":{"id":54552,"type":"article-journal","abstract":"Biologics targeting interleukin (IL)-17 and IL-23 are generally well-tolerated and considered safe, though adverse events are seen more often compared with placebo. The objectives of this systematic review and meta-analysis were to assess the prevalence of adverse events in patients with psoriasis or psoriatic arthritis with any adverse events after 12, 16, 24 and 52 weeks of treatment with IL-17 or IL-23 inhibitors. Two independent authors searched the databases PubMed and EMBASE for studies reporting on adverse events in phase 3 trials of IL-17 and IL-23 inhibitors for patients with psoriasis and psoriatic arthritis. The study was performed in accordance with the Preferred Reporting Items for Systematic Reviews and Meta-Analyses (PRISMA) guidelines. Data synthesis was performed using a random-effects model. In total, 44 publications (43 studies) were included in the analyses. The proportion of patients with any adverse events for all treatments pooled were 0.57 [95% confidence interval (CI): 0.55–0.59] after 12 weeks, 0.52 (95% CI: 0.49–0.55) after 16 weeks, 0.72 (95% CI: 0.66–0.78) after 24 weeks and 0.81 (95% CI: 0.76–0.86) after 52 weeks. Across therapies, the most prevalent AEs were infections, nasopharyngitis and headache. For ixekizumab one of the most prevalent AEs was injection site reactions, reported in 15.7% of the patients after 52 weeks. Overall, IL-17 and IL-23 inhibitors appear to be well-tolerated with good safety profiles. Our findings may aid the clinical decision making when choosing the most appropriate therapy for patients with moderate-to-severe psoriasis.","container-title":"Journal of the European Academy of Dermatology and Venereology","DOI":"https://doi.org/10.1111/jdv.16073","ISSN":"1468-3083","issue":"6","language":"en","note":"_eprint: https://onlinelibrary.wiley.com/doi/pdf/10.1111/jdv.16073","page":"1151-1160","source":"Wiley Online Library","title":"Adverse events with IL-17 and IL-23 inhibitors for psoriasis and psoriatic arthritis: a systematic review and meta-analysis of phase III studies","title-short":"Adverse events with IL-17 and IL-23 inhibitors for psoriasis and psoriatic arthritis","volume":"34","author":[{"family":"Loft","given":"N. D."},{"family":"Vaengebjerg","given":"S."},{"family":"Halling","given":"A.-S."},{"family":"Skov","given":"L."},{"family":"Egeberg","given":"A."}],"issued":{"date-parts":[["2020"]]}}}],"schema":"https://github.com/citation-style-language/schema/raw/master/csl-citation.json"} </w:instrText>
      </w:r>
      <w:r w:rsidR="00C05D6D" w:rsidRPr="004722FF">
        <w:rPr>
          <w:rFonts w:ascii="Times New Roman" w:hAnsi="Times New Roman" w:cs="Times New Roman"/>
          <w:sz w:val="20"/>
          <w:szCs w:val="20"/>
          <w:lang w:val="en-GB"/>
        </w:rPr>
        <w:fldChar w:fldCharType="separate"/>
      </w:r>
      <w:r w:rsidR="001B7CAD" w:rsidRPr="004722FF">
        <w:rPr>
          <w:rFonts w:ascii="Times New Roman" w:hAnsi="Times New Roman" w:cs="Times New Roman"/>
          <w:sz w:val="20"/>
          <w:szCs w:val="24"/>
          <w:vertAlign w:val="superscript"/>
          <w:lang w:val="en-GB"/>
        </w:rPr>
        <w:t>33.34</w:t>
      </w:r>
      <w:r w:rsidR="00C05D6D" w:rsidRPr="004722FF">
        <w:rPr>
          <w:rFonts w:ascii="Times New Roman" w:hAnsi="Times New Roman" w:cs="Times New Roman"/>
          <w:sz w:val="20"/>
          <w:szCs w:val="20"/>
          <w:lang w:val="en-GB"/>
        </w:rPr>
        <w:fldChar w:fldCharType="end"/>
      </w:r>
      <w:r w:rsidR="00C05D6D" w:rsidRPr="004722FF">
        <w:rPr>
          <w:rFonts w:ascii="Times New Roman" w:hAnsi="Times New Roman" w:cs="Times New Roman"/>
          <w:lang w:val="en-GB"/>
        </w:rPr>
        <w:t>.</w:t>
      </w:r>
    </w:p>
    <w:p w14:paraId="5B5FA909" w14:textId="220D5C89" w:rsidR="00C05D6D" w:rsidRPr="005D533B" w:rsidRDefault="00C05D6D" w:rsidP="00B10DD1">
      <w:pPr>
        <w:pStyle w:val="Prrafodelista"/>
        <w:numPr>
          <w:ilvl w:val="0"/>
          <w:numId w:val="18"/>
        </w:numPr>
        <w:spacing w:before="0" w:after="0"/>
        <w:ind w:left="1701"/>
        <w:contextualSpacing w:val="0"/>
        <w:rPr>
          <w:rFonts w:ascii="Times New Roman" w:hAnsi="Times New Roman" w:cs="Times New Roman"/>
          <w:sz w:val="20"/>
          <w:szCs w:val="20"/>
          <w:lang w:val="en-GB"/>
        </w:rPr>
      </w:pPr>
      <w:r w:rsidRPr="004722FF">
        <w:rPr>
          <w:rFonts w:ascii="Times New Roman" w:hAnsi="Times New Roman" w:cs="Times New Roman"/>
          <w:lang w:val="en-GB"/>
        </w:rPr>
        <w:t xml:space="preserve">The proportion of patients who have to interrupt their treatment for safety reasons is less than that related to failure or loss of efficacy. In this sense, </w:t>
      </w:r>
      <w:r w:rsidR="0092119C">
        <w:rPr>
          <w:rFonts w:ascii="Times New Roman" w:hAnsi="Times New Roman" w:cs="Times New Roman"/>
          <w:lang w:val="en-GB"/>
        </w:rPr>
        <w:t xml:space="preserve">the </w:t>
      </w:r>
      <w:r w:rsidRPr="004722FF">
        <w:rPr>
          <w:rFonts w:ascii="Times New Roman" w:hAnsi="Times New Roman" w:cs="Times New Roman"/>
          <w:lang w:val="en-GB"/>
        </w:rPr>
        <w:t xml:space="preserve">IL-17, IL-23 and IL-12 / IL-23 have lower discontinuation rates (0% to 2.6%) than </w:t>
      </w:r>
      <w:r w:rsidR="0092119C">
        <w:rPr>
          <w:rFonts w:ascii="Times New Roman" w:hAnsi="Times New Roman" w:cs="Times New Roman"/>
          <w:lang w:val="en-GB"/>
        </w:rPr>
        <w:t xml:space="preserve">the </w:t>
      </w:r>
      <w:r w:rsidRPr="004722FF">
        <w:rPr>
          <w:rFonts w:ascii="Times New Roman" w:hAnsi="Times New Roman" w:cs="Times New Roman"/>
          <w:lang w:val="en-GB"/>
        </w:rPr>
        <w:t xml:space="preserve">TNFs (6.5% to 15.6% ) </w:t>
      </w:r>
      <w:r w:rsidR="0092119C">
        <w:rPr>
          <w:rFonts w:ascii="Times New Roman" w:hAnsi="Times New Roman" w:cs="Times New Roman"/>
          <w:lang w:val="en-GB"/>
        </w:rPr>
        <w:t xml:space="preserve">considering </w:t>
      </w:r>
      <w:r w:rsidRPr="004722FF">
        <w:rPr>
          <w:rFonts w:ascii="Times New Roman" w:hAnsi="Times New Roman" w:cs="Times New Roman"/>
          <w:lang w:val="en-GB"/>
        </w:rPr>
        <w:t>1-2 years after the start of treatment</w:t>
      </w:r>
      <w:r w:rsidRPr="004722FF">
        <w:rPr>
          <w:rFonts w:ascii="Times New Roman" w:hAnsi="Times New Roman" w:cs="Times New Roman"/>
          <w:lang w:val="en-GB"/>
        </w:rPr>
        <w:fldChar w:fldCharType="begin"/>
      </w:r>
      <w:r w:rsidR="00775F51">
        <w:rPr>
          <w:rFonts w:ascii="Times New Roman" w:hAnsi="Times New Roman" w:cs="Times New Roman"/>
          <w:lang w:val="en-GB"/>
        </w:rPr>
        <w:instrText xml:space="preserve"> ADDIN ZOTERO_ITEM CSL_CITATION {"citationID":"2Owhbh7Y","properties":{"formattedCitation":"\\super 35,36\\nosupersub{}","plainCitation":"35,36","dontUpdate":true,"noteIndex":0},"citationItems":[{"id":54063,"uris":["http://zotero.org/groups/337550/items/AN6JV3XP"],"uri":["http://zotero.org/groups/337550/items/AN6JV3XP"],"itemData":{"id":54063,"type":"article-journal","abstract":"Drug survival of biologics represents their real-world effectiveness and safety. We conducted a meta-analysis of real-world evidence on the drug survival of biologics in treating psoriasis. We searched the PubMed, CENTRAL, and EMBASE databases from inception to 7th October 2017 for studies reporting the annual drug survival for at least 1 year. Two authors independently screened and selected relevant studies, and assessed their risk of bias. A third author was available for arbitrating discrepancies. We conducted a random-effects model meta-analysis to obtain the respective pooled drug survival from year 1 to 4. We conducted subgroup analysis on biologic-naïve subjects, discontinuation for loss of efficacy and adverse effects. We included 37 studies with 32,631 subjects. The drug survival for all biologics decreased with time, dropping from 66% at year 1 to 41% at year 4 for etanercept, from 69% to 47% for adalimumab, from 61% to 42% for infliximab, and from 82% to 56% for ustekinumab. Ustekinumab was associated with the highest drug survival in all and biologic-naïve subjects. Etanercept was associated with the lowest drug survival and was most commonly discontinued for loss of efficacy. Infliximab was most frequently associated with discontinuation for adverse effects. Clinicians may use this study as a reference in treating psoriasis.","container-title":"Scientific Reports","DOI":"10.1038/s41598-018-34293-y","ISSN":"2045-2322","issue":"1","journalAbbreviation":"Sci Rep","language":"eng","note":"PMID: 30375427\nPMCID: PMC6207685","page":"16068","source":"PubMed","title":"Drug survival of biologics in treating psoriasis: a meta-analysis of real-world evidence","title-short":"Drug survival of biologics in treating psoriasis","volume":"8","author":[{"family":"Lin","given":"Pei-Tzu"},{"family":"Wang","given":"Shu-Hui"},{"family":"Chi","given":"Ching-Chi"}],"issued":{"date-parts":[["2018"]]}}},{"id":54555,"uris":["http://zotero.org/groups/337550/items/5JI3VYU2"],"uri":["http://zotero.org/groups/337550/items/5JI3VYU2"],"itemData":{"id":54555,"type":"article-journal","abstract":"BACKGROUND: Drug survival analysis of biologic agents in psoriasis is of extreme importance, as it allows not only the evaluation of objective clinical outcomes (such as effectiveness and safety) but also of factors that are associated with patients' adherence to treatment. The aim of this study was to evaluate and compare the drug survival of the most recent biologic agents approved for the treatment of moderate-to-severe psoriasis-ustekinumab, secukinumab, ixekizumab, brodalumab, guselkumab, and risankizumab-and to identify clinical predictors that can influence the drug survival of these drugs.\nMETHODS: This retrospective multicentric cohort study from 16 dermatology centers in Portugal, Spain, Italy, Switzerland, Czech Republic, Canada, and the United States included patients that started IL-12/23, IL-17 (IL-17A and IL-17R) and IL-23 inhibitors for the treatment of psoriasis between January 1, 2012 and December 31, 2019. Survival analysis was performed using a Kaplan-Meier estimator, to obtain descriptive survival curves, and proportional hazard Cox regression models.\nRESULTS: A total of 3312 treatment courses (total patients: 3145) were included in the study; 1118 (33.8%) with an IL-12/23 inhibitor (ustekinumab), 1678 (50.7%) with an IL-17 inhibitor [911 (27.5%) on secukinumab, 651 (19.7%) on ixekizumab, 116 (3.5%) on brodalumab], and 516 (15.5%) with an IL-23 inhibitor [398 (12.0%) on guselkumab, 118 (3.5%) on risankizumab]. At 18 months, the cumulative probability of survival was 96.4% for risankizumab, 91.1% for guselkumab, 86.3% for brodalumab, 86.1% for ustekinumab, 82.0% for ixekizumab, and 79.9% for secukinumab. Using ustekinumab as reference, drug survival of guselkumab was higher (HR 0.609; 95% CI 0.418-0.887) and that of secukinumab was lower (HR 1.490; 95% CI 1.257-1.766). In the final multivariable model, secukinumab, female sex, higher BMI, and prior exposure to biologic agents significantly increased the risk of drug discontinuation, whereas risankizumab was protective.\nCONCLUSION: In this multinational cohort with 8439 patient-years of follow-up, the cumulative probability of drug survival for all drugs was &gt;79% at 18 months. Prescribed biologic, female sex, higher BMI, and previous exposure to biologic agents were predictors of drug discontinuation. Drug survival of guselkumab and risankizumab was higher than that of ustekinumab, and secukinumab was lower.","container-title":"American Journal of Clinical Dermatology","DOI":"10.1007/s40257-021-00598-4","ISSN":"1179-1888","journalAbbreviation":"Am J Clin Dermatol","language":"eng","note":"PMID: 33786754","source":"PubMed","title":"Drug Survival of IL-12/23, IL-17 and IL-23 Inhibitors for Psoriasis Treatment: A Retrospective Multi-Country, Multicentric Cohort Study","title-short":"Drug Survival of IL-12/23, IL-17 and IL-23 Inhibitors for Psoriasis Treatment","author":[{"family":"Torres","given":"Tiago"},{"family":"Puig","given":"Luis"},{"family":"Vender","given":"Ron"},{"family":"Lynde","given":"Charles"},{"family":"Piaserico","given":"Stefano"},{"family":"Carrascosa","given":"Jose M."},{"family":"Gisondi","given":"Paolo"},{"family":"Daudén","given":"Esteban"},{"family":"Conrad","given":"Curdin"},{"family":"Mendes-Bastos","given":"Pedro"},{"family":"Ferreira","given":"Paulo"},{"family":"Leite","given":"Luiz"},{"family":"Lu","given":"Justin D."},{"family":"Valerio","given":"J."},{"family":"Bruni","given":"M."},{"family":"Messina","given":"F."},{"family":"Nidegger","given":"A."},{"family":"Llamas-Velasco","given":"M."},{"family":"Del Alcazar","given":"E."},{"family":"Mufti","given":"A."},{"family":"White","given":"Kyra"},{"family":"Caldarola","given":"G."},{"family":"Teixeira","given":"Laetitia"},{"family":"Romanelli","given":"Paolo"},{"family":"Desai","given":"K."},{"family":"Gkalpakiotis","given":"Spyridon"},{"family":"Romanelli","given":"Marco"},{"family":"Yeung","given":"Jensen"},{"family":"Nogueira","given":"Miguel"},{"family":"Chiricozzi","given":"Andrea"}],"issued":{"date-parts":[["2021"]]}}}],"schema":"https://github.com/citation-style-language/schema/raw/master/csl-citation.json"} </w:instrText>
      </w:r>
      <w:r w:rsidRPr="004722FF">
        <w:rPr>
          <w:rFonts w:ascii="Times New Roman" w:hAnsi="Times New Roman" w:cs="Times New Roman"/>
          <w:lang w:val="en-GB"/>
        </w:rPr>
        <w:fldChar w:fldCharType="separate"/>
      </w:r>
      <w:r w:rsidR="001B7CAD" w:rsidRPr="004722FF">
        <w:rPr>
          <w:rFonts w:ascii="Times New Roman" w:hAnsi="Times New Roman" w:cs="Times New Roman"/>
          <w:szCs w:val="24"/>
          <w:vertAlign w:val="superscript"/>
          <w:lang w:val="en-GB"/>
        </w:rPr>
        <w:t>35.36</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661BF1EB" w14:textId="48188041" w:rsidR="005D533B" w:rsidRDefault="005D533B" w:rsidP="005D533B">
      <w:pPr>
        <w:pStyle w:val="Prrafodelista"/>
        <w:spacing w:before="0" w:after="0"/>
        <w:ind w:left="1701"/>
        <w:contextualSpacing w:val="0"/>
        <w:rPr>
          <w:rFonts w:ascii="Times New Roman" w:hAnsi="Times New Roman" w:cs="Times New Roman"/>
          <w:sz w:val="20"/>
          <w:szCs w:val="20"/>
          <w:lang w:val="en-GB"/>
        </w:rPr>
      </w:pPr>
    </w:p>
    <w:p w14:paraId="6EFD05EB" w14:textId="77777777" w:rsidR="0092119C" w:rsidRPr="004722FF" w:rsidRDefault="0092119C" w:rsidP="005D533B">
      <w:pPr>
        <w:pStyle w:val="Prrafodelista"/>
        <w:spacing w:before="0" w:after="0"/>
        <w:ind w:left="1701"/>
        <w:contextualSpacing w:val="0"/>
        <w:rPr>
          <w:rFonts w:ascii="Times New Roman" w:hAnsi="Times New Roman" w:cs="Times New Roman"/>
          <w:sz w:val="20"/>
          <w:szCs w:val="20"/>
          <w:lang w:val="en-GB"/>
        </w:rPr>
      </w:pPr>
    </w:p>
    <w:p w14:paraId="7FE4A751" w14:textId="0994A5CE" w:rsidR="00933602" w:rsidRPr="0092119C" w:rsidRDefault="006D324E" w:rsidP="0092119C">
      <w:pPr>
        <w:pStyle w:val="Ttulo1"/>
        <w:shd w:val="clear" w:color="auto" w:fill="A6A6A6" w:themeFill="background1" w:themeFillShade="A6"/>
        <w:spacing w:before="120" w:after="120"/>
        <w:ind w:left="709"/>
        <w:jc w:val="left"/>
        <w:rPr>
          <w:rStyle w:val="TEXTOGENERALCar"/>
          <w:rFonts w:ascii="Times New Roman" w:hAnsi="Times New Roman" w:cs="Times New Roman"/>
          <w:b/>
          <w:bCs/>
          <w:color w:val="FFFFFF" w:themeColor="background1"/>
          <w:sz w:val="32"/>
          <w:szCs w:val="32"/>
        </w:rPr>
      </w:pPr>
      <w:bookmarkStart w:id="14" w:name="_Toc89351161"/>
      <w:r w:rsidRPr="0092119C">
        <w:rPr>
          <w:rStyle w:val="TEXTOGENERALCar"/>
          <w:rFonts w:ascii="Times New Roman" w:hAnsi="Times New Roman" w:cs="Times New Roman"/>
          <w:b/>
          <w:bCs/>
          <w:color w:val="FFFFFF" w:themeColor="background1"/>
          <w:sz w:val="32"/>
          <w:szCs w:val="32"/>
        </w:rPr>
        <w:lastRenderedPageBreak/>
        <w:t>2</w:t>
      </w:r>
      <w:bookmarkEnd w:id="0"/>
      <w:bookmarkEnd w:id="1"/>
      <w:bookmarkEnd w:id="2"/>
      <w:r w:rsidR="0092119C">
        <w:rPr>
          <w:rStyle w:val="TEXTOGENERALCar"/>
          <w:rFonts w:ascii="Times New Roman" w:hAnsi="Times New Roman" w:cs="Times New Roman"/>
          <w:b/>
          <w:bCs/>
          <w:color w:val="FFFFFF" w:themeColor="background1"/>
          <w:sz w:val="32"/>
          <w:szCs w:val="32"/>
        </w:rPr>
        <w:t>.</w:t>
      </w:r>
      <w:r w:rsidR="00933602" w:rsidRPr="0092119C">
        <w:rPr>
          <w:rStyle w:val="TEXTOGENERALCar"/>
          <w:rFonts w:ascii="Times New Roman" w:hAnsi="Times New Roman" w:cs="Times New Roman"/>
          <w:b/>
          <w:bCs/>
          <w:color w:val="FFFFFF" w:themeColor="background1"/>
          <w:sz w:val="32"/>
          <w:szCs w:val="32"/>
        </w:rPr>
        <w:t xml:space="preserve"> </w:t>
      </w:r>
      <w:bookmarkEnd w:id="3"/>
      <w:bookmarkEnd w:id="4"/>
      <w:bookmarkEnd w:id="5"/>
      <w:bookmarkEnd w:id="6"/>
      <w:r w:rsidR="0092119C">
        <w:rPr>
          <w:rStyle w:val="TEXTOGENERALCar"/>
          <w:rFonts w:ascii="Times New Roman" w:hAnsi="Times New Roman" w:cs="Times New Roman"/>
          <w:b/>
          <w:bCs/>
          <w:color w:val="FFFFFF" w:themeColor="background1"/>
          <w:sz w:val="32"/>
        </w:rPr>
        <w:t>Outcomes of the intervention</w:t>
      </w:r>
      <w:bookmarkEnd w:id="14"/>
    </w:p>
    <w:p w14:paraId="01F3C198" w14:textId="77777777" w:rsidR="00C05D6D" w:rsidRPr="004722FF" w:rsidRDefault="00C05D6D" w:rsidP="00C05D6D">
      <w:pPr>
        <w:pStyle w:val="Prrafodelista"/>
        <w:numPr>
          <w:ilvl w:val="0"/>
          <w:numId w:val="1"/>
        </w:numPr>
        <w:spacing w:before="120" w:line="240" w:lineRule="auto"/>
        <w:contextualSpacing w:val="0"/>
        <w:jc w:val="left"/>
        <w:outlineLvl w:val="1"/>
        <w:rPr>
          <w:rFonts w:ascii="Times New Roman" w:eastAsiaTheme="majorEastAsia" w:hAnsi="Times New Roman" w:cs="Times New Roman"/>
          <w:smallCaps/>
          <w:vanish/>
          <w:spacing w:val="5"/>
          <w:sz w:val="28"/>
          <w:szCs w:val="56"/>
          <w:lang w:val="en-GB"/>
        </w:rPr>
      </w:pPr>
      <w:bookmarkStart w:id="15" w:name="_Toc66708324"/>
      <w:bookmarkStart w:id="16" w:name="_Toc66708325"/>
      <w:bookmarkStart w:id="17" w:name="_Toc66976346"/>
      <w:bookmarkStart w:id="18" w:name="_Toc66979308"/>
      <w:bookmarkStart w:id="19" w:name="_Toc67659783"/>
      <w:bookmarkStart w:id="20" w:name="_Toc67660685"/>
      <w:bookmarkStart w:id="21" w:name="_Toc67901277"/>
      <w:bookmarkStart w:id="22" w:name="_Toc67929349"/>
      <w:bookmarkStart w:id="23" w:name="_Toc67932803"/>
      <w:bookmarkStart w:id="24" w:name="_Toc68012273"/>
      <w:bookmarkStart w:id="25" w:name="_Toc68075377"/>
      <w:bookmarkStart w:id="26" w:name="_Toc68075586"/>
      <w:bookmarkStart w:id="27" w:name="_Toc68613918"/>
      <w:bookmarkStart w:id="28" w:name="_Toc68707607"/>
      <w:bookmarkStart w:id="29" w:name="_Toc68781196"/>
      <w:bookmarkStart w:id="30" w:name="_Toc68787770"/>
      <w:bookmarkStart w:id="31" w:name="_Toc68787834"/>
      <w:bookmarkStart w:id="32" w:name="_Toc68791678"/>
      <w:bookmarkStart w:id="33" w:name="_Toc68795017"/>
      <w:bookmarkStart w:id="34" w:name="_Toc68795073"/>
      <w:bookmarkStart w:id="35" w:name="_Toc69114408"/>
      <w:bookmarkStart w:id="36" w:name="_Toc69119163"/>
      <w:bookmarkStart w:id="37" w:name="_Toc69124703"/>
      <w:bookmarkStart w:id="38" w:name="_Toc69131887"/>
      <w:bookmarkStart w:id="39" w:name="_Toc69131996"/>
      <w:bookmarkStart w:id="40" w:name="_Toc69132043"/>
      <w:bookmarkStart w:id="41" w:name="_Toc69133754"/>
      <w:bookmarkStart w:id="42" w:name="_Toc69722648"/>
      <w:bookmarkStart w:id="43" w:name="_Toc69722881"/>
      <w:bookmarkStart w:id="44" w:name="_Toc69722904"/>
      <w:bookmarkStart w:id="45" w:name="_Toc69722922"/>
      <w:bookmarkStart w:id="46" w:name="_Toc69722940"/>
      <w:bookmarkStart w:id="47" w:name="_Toc69722968"/>
      <w:bookmarkStart w:id="48" w:name="_Toc69904451"/>
      <w:bookmarkStart w:id="49" w:name="_Toc69918160"/>
      <w:bookmarkStart w:id="50" w:name="_Toc69920748"/>
      <w:bookmarkStart w:id="51" w:name="_Toc70602393"/>
      <w:bookmarkStart w:id="52" w:name="_Toc70602414"/>
      <w:bookmarkStart w:id="53" w:name="_Toc70602435"/>
      <w:bookmarkStart w:id="54" w:name="_Toc70602462"/>
      <w:bookmarkStart w:id="55" w:name="_Toc70602495"/>
      <w:bookmarkStart w:id="56" w:name="_Toc70602685"/>
      <w:bookmarkStart w:id="57" w:name="_Toc70602717"/>
      <w:bookmarkStart w:id="58" w:name="_Toc70602842"/>
      <w:bookmarkStart w:id="59" w:name="_Toc70603449"/>
      <w:bookmarkStart w:id="60" w:name="_Toc70603505"/>
      <w:bookmarkStart w:id="61" w:name="_Toc70603566"/>
      <w:bookmarkStart w:id="62" w:name="_Toc70616600"/>
      <w:bookmarkStart w:id="63" w:name="_Toc70617563"/>
      <w:bookmarkStart w:id="64" w:name="_Toc70619573"/>
      <w:bookmarkStart w:id="65" w:name="_Toc70619650"/>
      <w:bookmarkStart w:id="66" w:name="_Toc70684850"/>
      <w:bookmarkStart w:id="67" w:name="_Toc71017187"/>
      <w:bookmarkStart w:id="68" w:name="_Toc71021286"/>
      <w:bookmarkStart w:id="69" w:name="_Toc71198057"/>
      <w:bookmarkStart w:id="70" w:name="_Toc71276351"/>
      <w:bookmarkStart w:id="71" w:name="_Toc71277299"/>
      <w:bookmarkStart w:id="72" w:name="_Toc71277349"/>
      <w:bookmarkStart w:id="73" w:name="_Toc71287222"/>
      <w:bookmarkStart w:id="74" w:name="_Toc71287281"/>
      <w:bookmarkStart w:id="75" w:name="_Toc72253324"/>
      <w:bookmarkStart w:id="76" w:name="_Toc73005633"/>
      <w:bookmarkStart w:id="77" w:name="_Toc73539158"/>
      <w:bookmarkStart w:id="78" w:name="_Toc73541265"/>
      <w:bookmarkStart w:id="79" w:name="_Toc73602795"/>
      <w:bookmarkStart w:id="80" w:name="_Toc74314108"/>
      <w:bookmarkStart w:id="81" w:name="_Toc74639555"/>
      <w:bookmarkStart w:id="82" w:name="_Toc74645717"/>
      <w:bookmarkStart w:id="83" w:name="_Toc89076814"/>
      <w:bookmarkStart w:id="84" w:name="_Toc89077560"/>
      <w:bookmarkStart w:id="85" w:name="_Toc89077668"/>
      <w:bookmarkStart w:id="86" w:name="_Toc89077699"/>
      <w:bookmarkStart w:id="87" w:name="_Toc89077934"/>
      <w:bookmarkStart w:id="88" w:name="_Toc89077959"/>
      <w:bookmarkStart w:id="89" w:name="_Toc89077994"/>
      <w:bookmarkStart w:id="90" w:name="_Toc89078056"/>
      <w:bookmarkStart w:id="91" w:name="_Toc89078111"/>
      <w:bookmarkStart w:id="92" w:name="_Toc89078201"/>
      <w:bookmarkStart w:id="93" w:name="_Toc89078403"/>
      <w:bookmarkStart w:id="94" w:name="_Toc89351162"/>
      <w:bookmarkStart w:id="95" w:name="_Toc7464571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7F569EBC" w14:textId="168B0BD3" w:rsidR="003A0704" w:rsidRPr="0092119C" w:rsidRDefault="009B1D97" w:rsidP="00C05D6D">
      <w:pPr>
        <w:pStyle w:val="Ttulo2"/>
        <w:numPr>
          <w:ilvl w:val="1"/>
          <w:numId w:val="1"/>
        </w:numPr>
        <w:spacing w:before="120" w:line="240" w:lineRule="auto"/>
        <w:ind w:left="1425"/>
        <w:rPr>
          <w:rFonts w:ascii="Times New Roman" w:hAnsi="Times New Roman" w:cs="Times New Roman"/>
          <w:b/>
          <w:bCs/>
          <w:smallCaps w:val="0"/>
          <w:color w:val="auto"/>
          <w:sz w:val="22"/>
          <w:szCs w:val="22"/>
          <w:lang w:val="en-GB"/>
        </w:rPr>
      </w:pPr>
      <w:bookmarkStart w:id="96" w:name="_Toc89351163"/>
      <w:bookmarkEnd w:id="95"/>
      <w:r>
        <w:rPr>
          <w:rFonts w:ascii="Times New Roman" w:hAnsi="Times New Roman" w:cs="Times New Roman"/>
          <w:b/>
          <w:bCs/>
          <w:smallCaps w:val="0"/>
          <w:color w:val="auto"/>
          <w:sz w:val="24"/>
          <w:szCs w:val="52"/>
          <w:lang w:val="en-GB"/>
        </w:rPr>
        <w:t>Level of clearance</w:t>
      </w:r>
      <w:bookmarkEnd w:id="96"/>
    </w:p>
    <w:p w14:paraId="39148D2F" w14:textId="39A6AB54" w:rsidR="00DE3C28" w:rsidRPr="0092119C" w:rsidRDefault="00DE3C28" w:rsidP="006A074F">
      <w:pPr>
        <w:pStyle w:val="TITULOTABLASYFIGURAS"/>
        <w:ind w:left="709"/>
        <w:rPr>
          <w:rFonts w:ascii="Times New Roman" w:hAnsi="Times New Roman" w:cs="Times New Roman"/>
          <w:b/>
          <w:bCs/>
          <w:smallCaps w:val="0"/>
          <w:color w:val="auto"/>
          <w:sz w:val="22"/>
          <w:szCs w:val="56"/>
          <w:lang w:val="en-GB"/>
        </w:rPr>
      </w:pPr>
      <w:bookmarkStart w:id="97" w:name="_Ref74047594"/>
      <w:bookmarkStart w:id="98" w:name="_Toc89078649"/>
      <w:r w:rsidRPr="0092119C">
        <w:rPr>
          <w:rFonts w:ascii="Times New Roman" w:hAnsi="Times New Roman" w:cs="Times New Roman"/>
          <w:b/>
          <w:bCs/>
          <w:smallCaps w:val="0"/>
          <w:color w:val="auto"/>
          <w:sz w:val="22"/>
          <w:szCs w:val="56"/>
          <w:lang w:val="en-GB"/>
        </w:rPr>
        <w:t>Table</w:t>
      </w:r>
      <w:r w:rsidR="0092119C">
        <w:rPr>
          <w:rFonts w:ascii="Times New Roman" w:hAnsi="Times New Roman" w:cs="Times New Roman"/>
          <w:b/>
          <w:bCs/>
          <w:smallCaps w:val="0"/>
          <w:color w:val="auto"/>
          <w:sz w:val="22"/>
          <w:szCs w:val="56"/>
          <w:lang w:val="en-GB"/>
        </w:rPr>
        <w:t xml:space="preserve"> (S1).</w:t>
      </w:r>
      <w:r w:rsidRPr="0092119C">
        <w:rPr>
          <w:rFonts w:ascii="Times New Roman" w:hAnsi="Times New Roman" w:cs="Times New Roman"/>
          <w:b/>
          <w:bCs/>
          <w:smallCaps w:val="0"/>
          <w:color w:val="auto"/>
          <w:sz w:val="22"/>
          <w:szCs w:val="56"/>
          <w:lang w:val="en-GB"/>
        </w:rPr>
        <w:fldChar w:fldCharType="begin"/>
      </w:r>
      <w:r w:rsidRPr="0092119C">
        <w:rPr>
          <w:rFonts w:ascii="Times New Roman" w:hAnsi="Times New Roman" w:cs="Times New Roman"/>
          <w:b/>
          <w:bCs/>
          <w:smallCaps w:val="0"/>
          <w:color w:val="auto"/>
          <w:sz w:val="22"/>
          <w:szCs w:val="56"/>
          <w:lang w:val="en-GB"/>
        </w:rPr>
        <w:instrText xml:space="preserve"> SEQ Tabla \* ARABIC </w:instrText>
      </w:r>
      <w:r w:rsidRPr="0092119C">
        <w:rPr>
          <w:rFonts w:ascii="Times New Roman" w:hAnsi="Times New Roman" w:cs="Times New Roman"/>
          <w:b/>
          <w:bCs/>
          <w:smallCaps w:val="0"/>
          <w:color w:val="auto"/>
          <w:sz w:val="22"/>
          <w:szCs w:val="56"/>
          <w:lang w:val="en-GB"/>
        </w:rPr>
        <w:fldChar w:fldCharType="separate"/>
      </w:r>
      <w:r w:rsidR="00A35209" w:rsidRPr="0092119C">
        <w:rPr>
          <w:rFonts w:ascii="Times New Roman" w:hAnsi="Times New Roman" w:cs="Times New Roman"/>
          <w:b/>
          <w:bCs/>
          <w:smallCaps w:val="0"/>
          <w:noProof/>
          <w:color w:val="auto"/>
          <w:sz w:val="22"/>
          <w:szCs w:val="56"/>
          <w:lang w:val="en-GB"/>
        </w:rPr>
        <w:t>3</w:t>
      </w:r>
      <w:r w:rsidRPr="0092119C">
        <w:rPr>
          <w:rFonts w:ascii="Times New Roman" w:hAnsi="Times New Roman" w:cs="Times New Roman"/>
          <w:b/>
          <w:bCs/>
          <w:smallCaps w:val="0"/>
          <w:color w:val="auto"/>
          <w:sz w:val="22"/>
          <w:szCs w:val="56"/>
          <w:lang w:val="en-GB"/>
        </w:rPr>
        <w:fldChar w:fldCharType="end"/>
      </w:r>
      <w:bookmarkEnd w:id="97"/>
      <w:r w:rsidRPr="0092119C">
        <w:rPr>
          <w:rFonts w:ascii="Times New Roman" w:hAnsi="Times New Roman" w:cs="Times New Roman"/>
          <w:b/>
          <w:bCs/>
          <w:smallCaps w:val="0"/>
          <w:color w:val="auto"/>
          <w:sz w:val="22"/>
          <w:szCs w:val="56"/>
          <w:lang w:val="en-GB"/>
        </w:rPr>
        <w:t xml:space="preserve">: </w:t>
      </w:r>
      <w:r w:rsidR="00417762">
        <w:rPr>
          <w:rFonts w:ascii="Times New Roman" w:hAnsi="Times New Roman" w:cs="Times New Roman"/>
          <w:b/>
          <w:bCs/>
          <w:smallCaps w:val="0"/>
          <w:color w:val="auto"/>
          <w:sz w:val="22"/>
          <w:szCs w:val="56"/>
          <w:lang w:val="en-GB"/>
        </w:rPr>
        <w:t>L</w:t>
      </w:r>
      <w:r w:rsidR="00B0106B">
        <w:rPr>
          <w:rFonts w:ascii="Times New Roman" w:hAnsi="Times New Roman" w:cs="Times New Roman"/>
          <w:b/>
          <w:bCs/>
          <w:smallCaps w:val="0"/>
          <w:color w:val="auto"/>
          <w:sz w:val="22"/>
          <w:szCs w:val="56"/>
          <w:lang w:val="en-GB"/>
        </w:rPr>
        <w:t>evel of clearance</w:t>
      </w:r>
      <w:r w:rsidRPr="0092119C">
        <w:rPr>
          <w:rFonts w:ascii="Times New Roman" w:hAnsi="Times New Roman" w:cs="Times New Roman"/>
          <w:b/>
          <w:bCs/>
          <w:smallCaps w:val="0"/>
          <w:color w:val="auto"/>
          <w:sz w:val="22"/>
          <w:szCs w:val="56"/>
          <w:lang w:val="en-GB"/>
        </w:rPr>
        <w:t xml:space="preserve">, PASI, IGA, </w:t>
      </w:r>
      <w:r w:rsidR="0092119C" w:rsidRPr="0092119C">
        <w:rPr>
          <w:rFonts w:ascii="Times New Roman" w:hAnsi="Times New Roman" w:cs="Times New Roman"/>
          <w:b/>
          <w:bCs/>
          <w:smallCaps w:val="0"/>
          <w:color w:val="auto"/>
          <w:sz w:val="22"/>
          <w:szCs w:val="56"/>
          <w:lang w:val="en-GB"/>
        </w:rPr>
        <w:t>PGA, %</w:t>
      </w:r>
      <w:r w:rsidRPr="0092119C">
        <w:rPr>
          <w:rFonts w:ascii="Times New Roman" w:hAnsi="Times New Roman" w:cs="Times New Roman"/>
          <w:b/>
          <w:bCs/>
          <w:smallCaps w:val="0"/>
          <w:color w:val="auto"/>
          <w:sz w:val="22"/>
          <w:szCs w:val="56"/>
          <w:lang w:val="en-GB"/>
        </w:rPr>
        <w:t xml:space="preserve"> </w:t>
      </w:r>
      <w:r w:rsidR="0092119C">
        <w:rPr>
          <w:rFonts w:ascii="Times New Roman" w:hAnsi="Times New Roman" w:cs="Times New Roman"/>
          <w:b/>
          <w:bCs/>
          <w:smallCaps w:val="0"/>
          <w:color w:val="auto"/>
          <w:sz w:val="22"/>
          <w:szCs w:val="56"/>
          <w:lang w:val="en-GB"/>
        </w:rPr>
        <w:t xml:space="preserve">of </w:t>
      </w:r>
      <w:r w:rsidRPr="0092119C">
        <w:rPr>
          <w:rFonts w:ascii="Times New Roman" w:hAnsi="Times New Roman" w:cs="Times New Roman"/>
          <w:b/>
          <w:bCs/>
          <w:smallCaps w:val="0"/>
          <w:color w:val="auto"/>
          <w:sz w:val="22"/>
          <w:szCs w:val="56"/>
          <w:lang w:val="en-GB"/>
        </w:rPr>
        <w:t>patients, weeks 12-24</w:t>
      </w:r>
      <w:bookmarkEnd w:id="98"/>
      <w:r w:rsidRPr="0092119C">
        <w:rPr>
          <w:rFonts w:ascii="Times New Roman" w:hAnsi="Times New Roman" w:cs="Times New Roman"/>
          <w:b/>
          <w:bCs/>
          <w:smallCaps w:val="0"/>
          <w:color w:val="auto"/>
          <w:sz w:val="22"/>
          <w:szCs w:val="56"/>
          <w:lang w:val="en-GB"/>
        </w:rPr>
        <w:t xml:space="preserve"> </w:t>
      </w:r>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7B4152" w14:paraId="2B2F3799" w14:textId="77777777" w:rsidTr="001517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64790A6E" w14:textId="77777777" w:rsidR="00864D57" w:rsidRPr="0092119C" w:rsidRDefault="00864D57" w:rsidP="000C47EE">
            <w:pPr>
              <w:spacing w:before="0" w:after="0" w:line="240" w:lineRule="auto"/>
              <w:jc w:val="left"/>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12920D4F" w14:textId="3376C93A" w:rsidR="00864D57" w:rsidRPr="0092119C" w:rsidRDefault="00D83722" w:rsidP="000C47EE">
            <w:pPr>
              <w:spacing w:before="0" w:after="0" w:line="240" w:lineRule="auto"/>
              <w:jc w:val="center"/>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Gordon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{"citationID":"MOJ0Ajhr","properties":{"formattedCitation":"\\super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37</w:t>
            </w:r>
            <w:r w:rsidRPr="0092119C">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08154008" w14:textId="5F91A6AC" w:rsidR="00864D57" w:rsidRPr="0092119C" w:rsidRDefault="00D83722" w:rsidP="000C47E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Warren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{"citationID":"Qih16LHO","properties":{"formattedCitation":"\\super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38</w:t>
            </w:r>
            <w:r w:rsidRPr="0092119C">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32462C74" w14:textId="67A54B01" w:rsidR="00864D57" w:rsidRPr="0092119C" w:rsidRDefault="00D83722" w:rsidP="000C47EE">
            <w:pPr>
              <w:spacing w:before="0" w:after="0" w:line="240" w:lineRule="auto"/>
              <w:jc w:val="center"/>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Reich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{"citationID":"oMOX4CAS","properties":{"formattedCitation":"\\super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39</w:t>
            </w:r>
            <w:r w:rsidRPr="0092119C">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492424CC" w14:textId="72A345A3" w:rsidR="00864D57" w:rsidRPr="0092119C" w:rsidRDefault="008D1FA5" w:rsidP="000C47E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Reich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{"citationID":"mH1Lh9wW","properties":{"formattedCitation":"\\super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40</w:t>
            </w:r>
            <w:r w:rsidRPr="0092119C">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AA48AF7" w14:textId="35E8E407" w:rsidR="00864D57" w:rsidRPr="0092119C" w:rsidRDefault="00ED0A37" w:rsidP="00FC2D66">
            <w:pPr>
              <w:spacing w:before="0" w:after="0" w:line="240" w:lineRule="auto"/>
              <w:jc w:val="center"/>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Griffiths (2015)</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{"citationID":"tvYj1cPT","properties":{"formattedCitation":"\\super 41\\nosupersub{}","plainCitation":"41","noteIndex":0},"citationItems":[{"id":22744,"uris":["http://zotero.org/groups/337550/items/PEC8X4WR"],"uri":["http://zotero.org/groups/337550/items/PEC8X4WR"],"itemData":{"id":22744,"type":"article-journal","abstract":"BACKGROUND: Ixekizumab is a humanised monoclonal antibody against the proinflammatory cytokine interleukin 17A. We report two studies of ixekizumab compared with placebo or etanercept to assess the safety and efficacy of specifically targeting interleukin 17A in patients with widespread moderate-to-severe psoriasis.\nMETHODS: In two prospective, double-blind, multicentre, phase 3 studies (UNCOVER-2 and UNCOVER-3), eligible patients were aged 18 years or older, had a confirmed diagnosis of chronic plaque psoriasis at least 6 months before baseline (randomisation), 10% or greater body-surface area involvement at both screening and baseline visits, at least a moderate clinical severity as measured by a static physician global assessment (sPGA) score of 3 or more, and a psoriasis area and severity index (PASI) score of 12. Participants were randomly assigned (1:2:2:2) by computer-generated random sequence with an interactive voice response system to receive subcutaneous placebo, etanercept (50 mg twice weekly), or one injection of 80 mg ixekizumab every 2 weeks, or every 4 weeks after a 160 mg starting dose. Blinding was maintained with a double-dummy design. Coprimary efficacy endpoints were proportions of patients achieving sPGA score 0 or 1 and 75% or greater improvement in PASI at week 12. Analysis was by intention to treat. These trials are registered with ClinicalTrials.gov, numbers NCT01597245 and NCT01646177.\nFINDINGS: Between May 30, 2012, and Dec 30, 2013, 1224 patients in UNCOVER-2 were randomly assigned to receive subcutaneous placebo (n=168), etanercept (n=358), or ixekizumab every 2 weeks (n=351) or every 4 weeks (n=347); between Aug 11, 2012, and Feb 27, 2014, 1346 patients in UNCOVER-3 were randomly assigned to receive placebo (n=193), etanercept (n=382), ixekizumab every 2 weeks (n=385), or ixekizumab every 4 weeks (n=386). At week 12, both primary endpoints were met in both studies. For UNCOVER-2 and UNCOVER-3 respectively, in the ixekizumab every 2 weeks group, PASI 75 was achieved by 315 (response rate 89·7%; [effect size 87·4% (97·5% CI 82·9-91·8) vs placebo; 48·1% (41·2-55·0) vs etanercept]) and 336 (87·3%; [80·0% (74·4-85·7) vs placebo; 33·9% (27·0-40·7) vs etanercept]) patients; in the ixekizumab every 4 weeks group, by 269 (77·5%; [75·1% (69·5-80·8) vs placebo; 35·9% (28·2-43·6) vs etanercept]) and 325 (84·2%; [76·9% (71·0-82·8) vs placebo; 30·8% (23·7-37·9) vs etanercept]) patients; in the placebo group, by four (2·4%) and 14 (7·3%) patients; and in the etanercept group by 149 (41·6%) and 204 (53·4%) patients (all p&lt;0·0001 vs placebo or etanercept). In the ixekizumab every 2 weeks group, sPGA 0/1 was achieved by 292 (response rate 83·2%; [effect size 80·8% (97·5% CI 75·6-86·0) vs placebo; 47·2% (39·9-54·4) vs etanercept]) and 310 (80·5%; [73·8% (67·7-79·9) vs placebo; 38·9% (31·7-46·1) vs etanercept]) patients; in the ixekizumab every 4 weeks group by 253 (72·9%; [70·5% (64·6-76·5) vs placebo; 36·9% (29·1-44·7) vs etanercept]) and 291 (75·4%; [68·7% (62·3-75·0) vs placebo; 33·8% (26·3-41·3) vs etanercept]) patients; in the placebo group by four (2·4%) and 13 (6·7%) patients; and in the etanercept group by 129 (36·0%) and 159 (41·6%) patients (all p&lt;0·0001 vs placebo or etanercept). In combined studies, serious adverse events were reported in 14 (1·9%) of 734 patients given ixekizumab every 2 weeks, 14 (1·9%) of 729 given ixekizumab every 4 weeks, seven (1·9%) of 360 given placebo, and 14 (1·9%) of 739 given etanercept; no deaths were noted.\nINTERPRETATION: Both ixekizumab dose regimens had greater efficacy than placebo and etanercept over 12 weeks in two independent studies. These studies show that selectively neutralising interleukin 17A with a high affinity antibody potentially gives patients with psoriasis a new and effective biological therapy option.\nFUNDING: Eli Lilly and Co.","container-title":"Lancet (London, England)","DOI":"10.1016/S0140-6736(15)60125-8","ISSN":"1474-547X","issue":"9993","journalAbbreviation":"Lancet","language":"eng","note":"PMID: 26072109","page":"541-551","source":"UpToDate References","title":"Comparison of ixekizumab with etanercept or placebo in moderate-to-severe psoriasis (UNCOVER-2 and UNCOVER-3): results from two phase 3 randomised trials","title-short":"Comparison of ixekizumab with etanercept or placebo in moderate-to-severe psoriasis (UNCOVER-2 and UNCOVER-3)","volume":"386","author":[{"family":"Griffiths","given":"Christopher E. M."},{"family":"Reich","given":"Kristian"},{"family":"Lebwohl","given":"Mark"},{"family":"Kerkhof","given":"Peter","non-dropping-particle":"van de"},{"family":"Paul","given":"Carle"},{"family":"Menter","given":"Alan"},{"family":"Cameron","given":"Gregory S."},{"family":"Erickson","given":"Janelle"},{"family":"Zhang","given":"Lu"},{"family":"Secrest","given":"Roberta J."},{"family":"Ball","given":"Susan"},{"family":"Braun","given":"Daniel K."},{"family":"Osuntokun","given":"Olawale O."},{"family":"Heffernan","given":"Michael P."},{"family":"Nickoloff","given":"Brian J."},{"family":"Papp","given":"Kim"},{"literal":"UNCOVER-2 and UNCOVER-3 investigators"}],"issued":{"date-parts":[["2015"]]}}}],"schema":"https://github.com/citation-style-language/schema/raw/master/csl-citation.json"}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41</w:t>
            </w:r>
            <w:r w:rsidRPr="0092119C">
              <w:rPr>
                <w:rFonts w:ascii="Times New Roman" w:hAnsi="Times New Roman" w:cs="Times New Roman"/>
                <w:sz w:val="20"/>
                <w:szCs w:val="20"/>
                <w:lang w:val="en-GB"/>
              </w:rPr>
              <w:fldChar w:fldCharType="end"/>
            </w:r>
            <w:r w:rsidRPr="0092119C">
              <w:rPr>
                <w:rFonts w:ascii="Times New Roman" w:hAnsi="Times New Roman" w:cs="Times New Roman"/>
                <w:color w:val="auto"/>
                <w:sz w:val="20"/>
                <w:szCs w:val="20"/>
                <w:lang w:val="en-GB"/>
              </w:rPr>
              <w:t xml:space="preserve"> and Gordon (2016</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{"citationID":"I8OfZx5J","properties":{"formattedCitation":"\\super 42\\nosupersub{}","plainCitation":"42","noteIndex":0},"citationItems":[{"id":22743,"uris":["http://zotero.org/groups/337550/items/C3QCCC2M"],"uri":["http://zotero.org/groups/337550/items/C3QCCC2M"],"itemData":{"id":22743,"type":"article-journal","abstract":"BACKGROUND: Two phase 3 trials (UNCOVER-2 and UNCOVER-3) showed that at 12 weeks of treatment, ixekizumab, a monoclonal antibody against interleukin-17A, was superior to placebo and etanercept in the treatment of moderate-to-severe psoriasis. We report the 60-week data from the UNCOVER-2 and UNCOVER-3 trials, as well as 12-week and 60-week data from a third phase 3 trial, UNCOVER-1.\nMETHODS: We randomly assigned 1296 patients in the UNCOVER-1 trial, 1224 patients in the UNCOVER-2 trial, and 1346 patients in the UNCOVER-3 trial to receive subcutaneous injections of placebo (placebo group), 80 mg of ixekizumab every 2 weeks after a starting dose of 160 mg (2-wk dosing group), or 80 mg of ixekizumab every 4 weeks after a starting dose of 160 mg (4-wk dosing group). Additional cohorts in the UNCOVER-2 and UNCOVER-3 trials were randomly assigned to receive 50 mg of etanercept twice weekly. At week 12 in the UNCOVER-3 trial, the patients entered a long-term extension period during which they received 80 mg of ixekizumab every 4 weeks through week 60; at week 12 in the UNCOVER-1 and UNCOVER-2 trials, the patients who had a response to ixekizumab (defined as a static Physicians Global Assessment [sPGA] score of 0 [clear] or 1 [minimal psoriasis]) were randomly reassigned to receive placebo, 80 mg of ixekizumab every 4 weeks, or 80 mg of ixekizumab every 12 weeks through week 60. Coprimary end points were the percentage of patients who had a score on the sPGA of 0 or 1 and a 75% or greater reduction from baseline in Psoriasis Area and Severity Index (PASI 75) at week 12.\nRESULTS: In the UNCOVER-1 trial, at week 12, the patients had better responses to ixekizumab than to placebo; in the 2-wk dosing group, 81.8% had an sPGA score of 0 or 1 and 89.1% had a PASI 75 response; in the 4-wk dosing group, the respective rates were 76.4% and 82.6%; and in the placebo group, the rates were 3.2% and 3.9% (P&lt;0.001 for all comparisons of ixekizumab with placebo). In the UNCOVER-1 and UNCOVER-2 trials, among the patients who were randomly reassigned at week 12 to receive 80 mg of ixekizumab every 4 weeks, 80 mg of ixekizumab every 12 weeks, or placebo, an sPGA score of 0 or 1 was maintained by 73.8%, 39.0%, and 7.0% of the patients, respectively. Patients in the UNCOVER-3 trial received continuous treatment of ixekizumab from weeks 0 through 60, and at week 60, at least 73% had an sPGA score of 0 or 1 and at least 80% had a PASI 75 response. Adverse events reported during ixekizumab use included neutropenia, candidal infections, and inflammatory bowel disease.\nCONCLUSIONS: In three phase 3 trials involving patients with psoriasis, ixekizumab was effective through 60 weeks of treatment. As with any treatment, the benefits need to be weighed against the risks of adverse events. The efficacy and safety of ixekizumab beyond 60 weeks of treatment are not yet known. (Funded by Eli Lilly; UNCOVER-1, UNCOVER-2, and UNCOVER-3 ClinicalTrials.gov numbers NCT01474512, NCT01597245, and NCT01646177, respectively.).","container-title":"The New England Journal of Medicine","DOI":"10.1056/NEJMoa1512711","ISSN":"1533-4406","issue":"4","journalAbbreviation":"N. Engl. J. Med.","language":"eng","note":"PMID: 27299809","page":"345-356","source":"UpToDate References","title":"Phase 3 Trials of Ixekizumab in Moderate-to-Severe Plaque Psoriasis","volume":"375","author":[{"family":"Gordon","given":"Kenneth B."},{"family":"Blauvelt","given":"Andrew"},{"family":"Papp","given":"Kim A."},{"family":"Langley","given":"Richard G."},{"family":"Luger","given":"Thomas"},{"family":"Ohtsuki","given":"Mamitaro"},{"family":"Reich","given":"Kristian"},{"family":"Amato","given":"David"},{"family":"Ball","given":"Susan G."},{"family":"Braun","given":"Daniel K."},{"family":"Cameron","given":"Gregory S."},{"family":"Erickson","given":"Janelle"},{"family":"Konrad","given":"Robert J."},{"family":"Muram","given":"Talia M."},{"family":"Nickoloff","given":"Brian J."},{"family":"Osuntokun","given":"Olawale O."},{"family":"Secrest","given":"Roberta J."},{"family":"Zhao","given":"Fangyi"},{"family":"Mallbris","given":"Lotus"},{"family":"Leonardi","given":"Craig L."},{"literal":"UNCOVER-1 Study Group"},{"literal":"UNCOVER-2 Study Group"},{"literal":"UNCOVER-3 Study Group"}],"issued":{"date-parts":[["2016"]]}}}],"schema":"https://github.com/citation-style-language/schema/raw/master/csl-citation.json"}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42</w:t>
            </w:r>
            <w:r w:rsidRPr="0092119C">
              <w:rPr>
                <w:rFonts w:ascii="Times New Roman" w:hAnsi="Times New Roman" w:cs="Times New Roman"/>
                <w:sz w:val="20"/>
                <w:szCs w:val="20"/>
                <w:lang w:val="en-GB"/>
              </w:rPr>
              <w:fldChar w:fldCharType="end"/>
            </w:r>
            <w:r w:rsidRPr="0092119C">
              <w:rPr>
                <w:rFonts w:ascii="Times New Roman" w:hAnsi="Times New Roman" w:cs="Times New Roman"/>
                <w:color w:val="auto"/>
                <w:sz w:val="20"/>
                <w:szCs w:val="20"/>
                <w:lang w:val="en-GB"/>
              </w:rPr>
              <w:t>,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{"citationID":"3Mjfa6VT","properties":{"formattedCitation":"\\super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37</w:t>
            </w:r>
            <w:r w:rsidRPr="0092119C">
              <w:rPr>
                <w:rFonts w:ascii="Times New Roman" w:hAnsi="Times New Roman" w:cs="Times New Roman"/>
                <w:sz w:val="20"/>
                <w:szCs w:val="20"/>
                <w:lang w:val="en-GB"/>
              </w:rPr>
              <w:fldChar w:fldCharType="end"/>
            </w:r>
            <w:r w:rsidRPr="0092119C">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6573EBF0" w14:textId="22F18772" w:rsidR="00864D57" w:rsidRPr="0092119C" w:rsidRDefault="00007DCD" w:rsidP="000C47E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2119C">
              <w:rPr>
                <w:rFonts w:ascii="Times New Roman" w:hAnsi="Times New Roman" w:cs="Times New Roman"/>
                <w:color w:val="auto"/>
                <w:sz w:val="20"/>
                <w:szCs w:val="20"/>
                <w:lang w:val="en-GB"/>
              </w:rPr>
              <w:t>Gordon (2018</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{"citationID":"SfcupfKG","properties":{"formattedCitation":"\\super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92119C">
              <w:rPr>
                <w:rFonts w:ascii="Times New Roman" w:hAnsi="Times New Roman" w:cs="Times New Roman"/>
                <w:sz w:val="20"/>
                <w:szCs w:val="20"/>
                <w:vertAlign w:val="superscript"/>
              </w:rPr>
              <w:t>43</w:t>
            </w:r>
            <w:r w:rsidRPr="0092119C">
              <w:rPr>
                <w:rFonts w:ascii="Times New Roman" w:hAnsi="Times New Roman" w:cs="Times New Roman"/>
                <w:sz w:val="20"/>
                <w:szCs w:val="20"/>
                <w:lang w:val="en-GB"/>
              </w:rPr>
              <w:fldChar w:fldCharType="end"/>
            </w:r>
            <w:r w:rsidRPr="0092119C">
              <w:rPr>
                <w:rFonts w:ascii="Times New Roman" w:hAnsi="Times New Roman" w:cs="Times New Roman"/>
                <w:color w:val="auto"/>
                <w:sz w:val="20"/>
                <w:szCs w:val="20"/>
                <w:lang w:val="en-GB"/>
              </w:rPr>
              <w:t>, 2021</w:t>
            </w:r>
            <w:r w:rsidRPr="0092119C">
              <w:rPr>
                <w:rFonts w:ascii="Times New Roman" w:hAnsi="Times New Roman" w:cs="Times New Roman"/>
                <w:sz w:val="20"/>
                <w:szCs w:val="20"/>
                <w:lang w:val="en-GB"/>
              </w:rPr>
              <w:fldChar w:fldCharType="begin"/>
            </w:r>
            <w:r w:rsidR="007A0A45" w:rsidRPr="0092119C">
              <w:rPr>
                <w:rFonts w:ascii="Times New Roman" w:hAnsi="Times New Roman" w:cs="Times New Roman"/>
                <w:color w:val="auto"/>
                <w:sz w:val="20"/>
                <w:szCs w:val="20"/>
                <w:lang w:val="en-GB"/>
              </w:rPr>
              <w:instrText xml:space="preserve"> ADDIN ZOTERO_ITEM CSL_CITATION {"citationID":"rm1DlKbb","properties":{"formattedCitation":"\\super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2119C">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92119C">
              <w:rPr>
                <w:rFonts w:ascii="Times New Roman" w:hAnsi="Times New Roman" w:cs="Times New Roman"/>
                <w:sz w:val="20"/>
                <w:szCs w:val="20"/>
                <w:lang w:val="en-GB"/>
              </w:rPr>
              <w:fldChar w:fldCharType="end"/>
            </w:r>
            <w:r w:rsidRPr="0092119C">
              <w:rPr>
                <w:rFonts w:ascii="Times New Roman" w:hAnsi="Times New Roman" w:cs="Times New Roman"/>
                <w:color w:val="auto"/>
                <w:sz w:val="20"/>
                <w:szCs w:val="20"/>
                <w:lang w:val="en-GB"/>
              </w:rPr>
              <w:t>)</w:t>
            </w:r>
          </w:p>
        </w:tc>
      </w:tr>
      <w:tr w:rsidR="005F7BBC" w:rsidRPr="007B4152" w14:paraId="4386616A"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6F7E6FE4" w14:textId="77777777" w:rsidR="000C47EE" w:rsidRPr="0092119C" w:rsidRDefault="00864D57" w:rsidP="000C47EE">
            <w:pPr>
              <w:spacing w:before="0" w:after="0" w:line="240" w:lineRule="auto"/>
              <w:jc w:val="left"/>
              <w:rPr>
                <w:rFonts w:ascii="Times New Roman" w:hAnsi="Times New Roman" w:cs="Times New Roman"/>
                <w:sz w:val="20"/>
                <w:szCs w:val="20"/>
                <w:lang w:val="en-GB"/>
              </w:rPr>
            </w:pPr>
            <w:r w:rsidRPr="0092119C">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609760BB"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A66DD25"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473EADE8"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4AA27279"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550E79F3"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76951FF"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0E7B5AA3"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D50DF21"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128CCC82"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3E8E50B2"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74BAA2B7" w14:textId="77777777" w:rsidR="000C47EE" w:rsidRPr="0092119C" w:rsidRDefault="008136F8" w:rsidP="000C47EE">
            <w:pPr>
              <w:spacing w:before="0" w:after="0" w:line="240" w:lineRule="auto"/>
              <w:jc w:val="center"/>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BKZ</w:t>
            </w:r>
          </w:p>
        </w:tc>
        <w:tc>
          <w:tcPr>
            <w:tcW w:w="1064"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37012F75" w14:textId="77777777" w:rsidR="000C47EE" w:rsidRPr="0092119C" w:rsidRDefault="000C47EE"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2119C">
              <w:rPr>
                <w:rFonts w:ascii="Times New Roman" w:hAnsi="Times New Roman" w:cs="Times New Roman"/>
                <w:b/>
                <w:bCs/>
                <w:sz w:val="20"/>
                <w:szCs w:val="20"/>
                <w:lang w:val="en-GB"/>
              </w:rPr>
              <w:t>RIS</w:t>
            </w:r>
          </w:p>
        </w:tc>
      </w:tr>
      <w:tr w:rsidR="004722FF" w:rsidRPr="007B4152" w14:paraId="1DA52BA3"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553E50B" w14:textId="22CA9A15"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100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E86A00D"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DB6F063"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E30BB6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E91B25B"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67454C1"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7E44828"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BB0EA6A"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D1DD413"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C5DC89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4E489EB"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35-41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E8BC008"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252CD91"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6AC1BD66" w14:textId="77777777" w:rsidTr="00151751">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487DEA2" w14:textId="5185CE1A"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100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B74E590" w14:textId="77777777" w:rsidR="000C47EE" w:rsidRPr="0092119C" w:rsidRDefault="00F17959"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68</w:t>
            </w:r>
          </w:p>
        </w:tc>
        <w:tc>
          <w:tcPr>
            <w:tcW w:w="1063" w:type="dxa"/>
            <w:tcBorders>
              <w:right w:val="single" w:sz="12" w:space="0" w:color="auto"/>
            </w:tcBorders>
            <w:tcMar>
              <w:top w:w="28" w:type="dxa"/>
              <w:bottom w:w="28" w:type="dxa"/>
            </w:tcMar>
            <w:vAlign w:val="center"/>
          </w:tcPr>
          <w:p w14:paraId="5E9790B0" w14:textId="77777777" w:rsidR="000C47EE" w:rsidRPr="0092119C" w:rsidRDefault="00F17959"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796A5CC" w14:textId="77777777" w:rsidR="000C47EE" w:rsidRPr="0092119C" w:rsidRDefault="0053401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61</w:t>
            </w:r>
          </w:p>
        </w:tc>
        <w:tc>
          <w:tcPr>
            <w:tcW w:w="1063" w:type="dxa"/>
            <w:tcBorders>
              <w:right w:val="single" w:sz="12" w:space="0" w:color="auto"/>
            </w:tcBorders>
            <w:tcMar>
              <w:top w:w="28" w:type="dxa"/>
              <w:bottom w:w="28" w:type="dxa"/>
            </w:tcMar>
            <w:vAlign w:val="center"/>
          </w:tcPr>
          <w:p w14:paraId="69637898" w14:textId="77777777" w:rsidR="000C47EE" w:rsidRPr="0092119C" w:rsidRDefault="0053401D"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816583B"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59</w:t>
            </w:r>
          </w:p>
        </w:tc>
        <w:tc>
          <w:tcPr>
            <w:tcW w:w="1063" w:type="dxa"/>
            <w:tcBorders>
              <w:right w:val="single" w:sz="12" w:space="0" w:color="auto"/>
            </w:tcBorders>
            <w:tcMar>
              <w:top w:w="28" w:type="dxa"/>
              <w:bottom w:w="28" w:type="dxa"/>
            </w:tcMar>
            <w:vAlign w:val="center"/>
          </w:tcPr>
          <w:p w14:paraId="7C439051" w14:textId="489AF5B9" w:rsidR="000C47EE" w:rsidRPr="0092119C" w:rsidRDefault="0092119C"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w:t>
            </w:r>
            <w:r>
              <w:rPr>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7047F2B"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62</w:t>
            </w:r>
          </w:p>
        </w:tc>
        <w:tc>
          <w:tcPr>
            <w:tcW w:w="1063" w:type="dxa"/>
            <w:tcBorders>
              <w:right w:val="single" w:sz="12" w:space="0" w:color="auto"/>
            </w:tcBorders>
            <w:tcMar>
              <w:top w:w="28" w:type="dxa"/>
              <w:bottom w:w="28" w:type="dxa"/>
            </w:tcMar>
            <w:vAlign w:val="center"/>
          </w:tcPr>
          <w:p w14:paraId="128F6552" w14:textId="77777777" w:rsidR="000C47EE" w:rsidRPr="0092119C" w:rsidRDefault="003D062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49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2EC652"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68</w:t>
            </w:r>
          </w:p>
        </w:tc>
        <w:tc>
          <w:tcPr>
            <w:tcW w:w="1063" w:type="dxa"/>
            <w:tcBorders>
              <w:right w:val="single" w:sz="12" w:space="0" w:color="auto"/>
            </w:tcBorders>
            <w:tcMar>
              <w:top w:w="28" w:type="dxa"/>
              <w:bottom w:w="28" w:type="dxa"/>
            </w:tcMar>
            <w:vAlign w:val="center"/>
          </w:tcPr>
          <w:p w14:paraId="777AEEDC"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22A5B2B"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68</w:t>
            </w:r>
          </w:p>
        </w:tc>
        <w:tc>
          <w:tcPr>
            <w:tcW w:w="1064" w:type="dxa"/>
            <w:tcBorders>
              <w:right w:val="single" w:sz="12" w:space="0" w:color="auto"/>
            </w:tcBorders>
            <w:tcMar>
              <w:top w:w="28" w:type="dxa"/>
              <w:bottom w:w="28" w:type="dxa"/>
            </w:tcMar>
            <w:vAlign w:val="center"/>
          </w:tcPr>
          <w:p w14:paraId="6DF8542A"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36-51</w:t>
            </w:r>
          </w:p>
        </w:tc>
      </w:tr>
      <w:tr w:rsidR="004722FF" w:rsidRPr="007B4152" w14:paraId="53F0A8AA"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58BF2DC" w14:textId="1540974F"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100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F09E9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E01CBD2"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5F50883" w14:textId="77777777" w:rsidR="000C47EE" w:rsidRPr="0092119C" w:rsidRDefault="00DB0288"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67</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4545F88" w14:textId="77777777" w:rsidR="000C47EE" w:rsidRPr="0092119C" w:rsidRDefault="00DB0288"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30</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3E1CB5C"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84351ED"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9AAD235"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94EFE51"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67F32B6"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8C915F4"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55C276E"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B616F1E"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17D28B33"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28368A2" w14:textId="69F97FB3"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PGA 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651F7C1"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19A65FA"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B4710D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05F07D0"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8BB9773"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FADC503"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86BBA56"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7D86291"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34A08A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A3BB0F0"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40-42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EFFA3BA"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30390DC8"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6574AA2D"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332D954" w14:textId="23A4D33D"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IGA 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0C82F06" w14:textId="77777777" w:rsidR="000C47EE" w:rsidRPr="0092119C" w:rsidRDefault="00C05D6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70</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AC0EC46" w14:textId="77777777" w:rsidR="000C47EE" w:rsidRPr="0092119C" w:rsidRDefault="00F17959"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63503E9"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AE3CA3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FD2D378"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59</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6074A62" w14:textId="77777777" w:rsidR="000C47EE" w:rsidRPr="0092119C" w:rsidRDefault="003D062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22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0BD566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AA7E40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5E51A53"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70</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12F9F5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B01C258"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70</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D89AB12"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13FE2255"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7B17BFB" w14:textId="0548A381" w:rsidR="008D1A6F" w:rsidRPr="0092119C" w:rsidRDefault="008D1A6F"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PGA 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EEE1AC8"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F865941"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01AC9FD"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EC3AB4E"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38F9240"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5EA5C98"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AEF07A9"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F05D36F"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D8D18AC"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8F8660A"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C6F4228"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1349DF09"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37-51</w:t>
            </w:r>
          </w:p>
        </w:tc>
      </w:tr>
      <w:tr w:rsidR="004722FF" w:rsidRPr="007B4152" w14:paraId="3E55C997"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777C3FD" w14:textId="4EB54542"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IGA 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8A681B9"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6CB749E"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645A624" w14:textId="77777777" w:rsidR="000C47EE" w:rsidRPr="0092119C" w:rsidRDefault="0053401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87</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9039DA0" w14:textId="77777777" w:rsidR="000C47EE" w:rsidRPr="0092119C" w:rsidRDefault="0053401D"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58</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AC2E83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252EE02"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2817169"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AE882D8"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4F046B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0D51DA3"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ADEE388"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3CBD923"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69E3D321"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C237055" w14:textId="1B2ED410"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90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6995BD8"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4656E1E"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23E707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06D0035"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0ADEB03"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85</w:t>
            </w:r>
          </w:p>
        </w:tc>
        <w:tc>
          <w:tcPr>
            <w:tcW w:w="1063" w:type="dxa"/>
            <w:tcBorders>
              <w:right w:val="single" w:sz="12" w:space="0" w:color="auto"/>
            </w:tcBorders>
            <w:tcMar>
              <w:top w:w="28" w:type="dxa"/>
              <w:bottom w:w="28" w:type="dxa"/>
            </w:tcMar>
            <w:vAlign w:val="center"/>
          </w:tcPr>
          <w:p w14:paraId="3B1DB24C" w14:textId="77777777" w:rsidR="000C47EE" w:rsidRPr="0092119C" w:rsidRDefault="003D062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44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D4DF023"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2026973"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19428A3"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BE7B01C"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68-71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25BF32C"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6C8CA005"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148F27DA"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42787CE" w14:textId="6E8A308B"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90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B91DC7A" w14:textId="77777777" w:rsidR="000C47EE" w:rsidRPr="0092119C" w:rsidRDefault="00F17959"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5C40AB7" w14:textId="77777777" w:rsidR="000C47EE" w:rsidRPr="0092119C" w:rsidRDefault="00F17959"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CDBD284" w14:textId="77777777" w:rsidR="000C47EE" w:rsidRPr="0092119C" w:rsidRDefault="0053401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827E919" w14:textId="77777777" w:rsidR="000C47EE" w:rsidRPr="0092119C" w:rsidRDefault="0053401D"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47</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E262113"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85</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7CFAA33" w14:textId="1DAC0B91" w:rsidR="000C47EE" w:rsidRPr="0092119C" w:rsidRDefault="00EB6D57"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50</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4C12744"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10C3324" w14:textId="77777777" w:rsidR="000C47EE" w:rsidRPr="0092119C" w:rsidRDefault="003D062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74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C12EB4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CD9F9A8"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14B98A4"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91</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C2BBA19"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75</w:t>
            </w:r>
          </w:p>
        </w:tc>
      </w:tr>
      <w:tr w:rsidR="004722FF" w:rsidRPr="007B4152" w14:paraId="2B60D351"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2F896B5" w14:textId="46753051"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90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5BA86A8"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FCC99E4"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738CF3D" w14:textId="77777777" w:rsidR="000C47EE" w:rsidRPr="0092119C" w:rsidRDefault="0053401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86</w:t>
            </w:r>
          </w:p>
        </w:tc>
        <w:tc>
          <w:tcPr>
            <w:tcW w:w="1063" w:type="dxa"/>
            <w:tcBorders>
              <w:right w:val="single" w:sz="12" w:space="0" w:color="auto"/>
            </w:tcBorders>
            <w:tcMar>
              <w:top w:w="28" w:type="dxa"/>
              <w:bottom w:w="28" w:type="dxa"/>
            </w:tcMar>
            <w:vAlign w:val="center"/>
          </w:tcPr>
          <w:p w14:paraId="09734A7A" w14:textId="77777777" w:rsidR="000C47EE" w:rsidRPr="0092119C" w:rsidRDefault="0053401D"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FCF2B4"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0F7A8B3"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0FB58A"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DB45929"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ACD2E32"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C7205C3"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D53DC42"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7535C8AF"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0697571A"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C979A13" w14:textId="18CB7BF4"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IGA 0/1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EFEA7F7"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A7E7923"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0F9F55A"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0465C08"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6456CAF"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82</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0673DE1" w14:textId="77777777" w:rsidR="000C47EE" w:rsidRPr="0092119C" w:rsidRDefault="003D062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3BDC571"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24C5EA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6D9493A"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8DAEDE4"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1E52A09"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F8A4574"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5E46B994"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6F53065" w14:textId="515F0207"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PGA 0/1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74E9C7C"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DD61C62"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A0BC58C"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0A685EB"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F6C5E29"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B654A45"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7DF312C"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86E6BC8"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F29A8C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C3DB5D0" w14:textId="77777777" w:rsidR="000C47EE" w:rsidRPr="0092119C" w:rsidRDefault="00BF539D"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81-83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674B146"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35C19390"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4E4FF995"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A4A3A6E" w14:textId="44DD9DD6"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IGA 0/1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CB07BBA" w14:textId="77777777" w:rsidR="000C47EE" w:rsidRPr="0092119C" w:rsidRDefault="00C05D6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98792BE" w14:textId="77777777" w:rsidR="000C47EE" w:rsidRPr="0092119C" w:rsidRDefault="00F17959"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1156CBF" w14:textId="77777777" w:rsidR="000C47EE" w:rsidRPr="0092119C" w:rsidRDefault="0053401D"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85</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DF9C08A" w14:textId="77777777" w:rsidR="000C47EE" w:rsidRPr="0092119C" w:rsidRDefault="0053401D"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57</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15C505D"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84</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D83DEA5" w14:textId="77777777" w:rsidR="000C47EE" w:rsidRPr="0092119C" w:rsidRDefault="003D062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53</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7013822"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86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4D3422C" w14:textId="77777777" w:rsidR="000C47EE" w:rsidRPr="0092119C" w:rsidRDefault="003D062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79</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79E794F"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5A0B81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1C450BB"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93</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359FD1D"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r w:rsidR="004722FF" w:rsidRPr="007B4152" w14:paraId="414DA776"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D269DDF" w14:textId="04FCE5AD" w:rsidR="008D1A6F" w:rsidRPr="0092119C" w:rsidRDefault="008D1A6F"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PGA 0/1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D835E8E"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3CF792E"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9689C79"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D47A1B9"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0143942"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2E566FA"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5AC6209"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139A540"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B8541A5"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2343606"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8097159" w14:textId="77777777" w:rsidR="008D1A6F"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7D4E5632" w14:textId="77777777" w:rsidR="008D1A6F"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84-88</w:t>
            </w:r>
          </w:p>
        </w:tc>
      </w:tr>
      <w:tr w:rsidR="004722FF" w:rsidRPr="007B4152" w14:paraId="138F3623" w14:textId="77777777" w:rsidTr="00151751">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B1E37E7" w14:textId="7503C389"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75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153712F"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929F0DD"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90A317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7197521"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6AF6255"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15C2D93"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84D19F2"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0E945EF"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02CC6AE"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0CEC792" w14:textId="77777777" w:rsidR="000C47EE" w:rsidRPr="0092119C" w:rsidRDefault="00812AA3"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87-90</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7CAF504"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0269781" w14:textId="77777777" w:rsidR="000C47EE" w:rsidRPr="0092119C" w:rsidRDefault="008D1A6F" w:rsidP="000C47E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87-89</w:t>
            </w:r>
          </w:p>
        </w:tc>
      </w:tr>
      <w:tr w:rsidR="002A1DD3" w:rsidRPr="007B4152" w14:paraId="3A49E008" w14:textId="77777777" w:rsidTr="00151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81CA35E" w14:textId="2C71469F" w:rsidR="000C47EE" w:rsidRPr="0092119C" w:rsidRDefault="000C47EE" w:rsidP="000C47EE">
            <w:pPr>
              <w:spacing w:before="0" w:after="0" w:line="240" w:lineRule="auto"/>
              <w:jc w:val="left"/>
              <w:rPr>
                <w:rFonts w:ascii="Times New Roman" w:hAnsi="Times New Roman" w:cs="Times New Roman"/>
                <w:b w:val="0"/>
                <w:bCs w:val="0"/>
                <w:sz w:val="20"/>
                <w:szCs w:val="20"/>
                <w:lang w:val="en-GB"/>
              </w:rPr>
            </w:pPr>
            <w:r w:rsidRPr="0092119C">
              <w:rPr>
                <w:rFonts w:ascii="Times New Roman" w:hAnsi="Times New Roman" w:cs="Times New Roman"/>
                <w:b w:val="0"/>
                <w:bCs w:val="0"/>
                <w:sz w:val="20"/>
                <w:szCs w:val="20"/>
                <w:lang w:val="en-GB"/>
              </w:rPr>
              <w:t xml:space="preserve">PASI 75 </w:t>
            </w:r>
            <w:r w:rsidR="00F57B33">
              <w:rPr>
                <w:rFonts w:ascii="Times New Roman" w:hAnsi="Times New Roman" w:cs="Times New Roman"/>
                <w:b w:val="0"/>
                <w:bCs w:val="0"/>
                <w:sz w:val="20"/>
                <w:szCs w:val="20"/>
                <w:lang w:val="en-GB"/>
              </w:rPr>
              <w:t xml:space="preserve">Week </w:t>
            </w:r>
            <w:r w:rsidRPr="0092119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DB4585D"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0AAED482"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01B4847"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61B0CFD1"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572160DD"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368DD341"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9EE3DB3" w14:textId="77777777" w:rsidR="000C47EE" w:rsidRPr="0092119C" w:rsidRDefault="003D062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93</w:t>
            </w:r>
          </w:p>
        </w:tc>
        <w:tc>
          <w:tcPr>
            <w:tcW w:w="1063" w:type="dxa"/>
            <w:tcBorders>
              <w:bottom w:val="single" w:sz="12" w:space="0" w:color="auto"/>
              <w:right w:val="single" w:sz="12" w:space="0" w:color="auto"/>
            </w:tcBorders>
            <w:tcMar>
              <w:top w:w="28" w:type="dxa"/>
              <w:bottom w:w="28" w:type="dxa"/>
            </w:tcMar>
            <w:vAlign w:val="center"/>
          </w:tcPr>
          <w:p w14:paraId="43C1FB1B" w14:textId="77777777" w:rsidR="000C47EE" w:rsidRPr="0092119C" w:rsidRDefault="003D062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91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03CB170D" w14:textId="77777777" w:rsidR="000C47EE" w:rsidRPr="0092119C" w:rsidRDefault="00812AA3"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95</w:t>
            </w:r>
          </w:p>
        </w:tc>
        <w:tc>
          <w:tcPr>
            <w:tcW w:w="1063" w:type="dxa"/>
            <w:tcBorders>
              <w:bottom w:val="single" w:sz="12" w:space="0" w:color="auto"/>
              <w:right w:val="single" w:sz="12" w:space="0" w:color="auto"/>
            </w:tcBorders>
            <w:tcMar>
              <w:top w:w="28" w:type="dxa"/>
              <w:bottom w:w="28" w:type="dxa"/>
            </w:tcMar>
            <w:vAlign w:val="center"/>
          </w:tcPr>
          <w:p w14:paraId="213FF1D7" w14:textId="77777777" w:rsidR="000C47EE" w:rsidRPr="0092119C" w:rsidRDefault="00812AA3"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D2D8DB6" w14:textId="77777777" w:rsidR="000C47EE" w:rsidRPr="0092119C" w:rsidRDefault="008D1A6F" w:rsidP="000C47EE">
            <w:pPr>
              <w:spacing w:before="0" w:after="0" w:line="240" w:lineRule="auto"/>
              <w:jc w:val="center"/>
              <w:rPr>
                <w:rFonts w:ascii="Times New Roman" w:hAnsi="Times New Roman" w:cs="Times New Roman"/>
                <w:sz w:val="20"/>
                <w:szCs w:val="20"/>
                <w:lang w:val="en-GB"/>
              </w:rPr>
            </w:pPr>
            <w:r w:rsidRPr="0092119C">
              <w:rPr>
                <w:rFonts w:ascii="Times New Roman" w:hAnsi="Times New Roman" w:cs="Times New Roman"/>
                <w:sz w:val="20"/>
                <w:szCs w:val="20"/>
                <w:lang w:val="en-GB"/>
              </w:rPr>
              <w:t>95</w:t>
            </w:r>
          </w:p>
        </w:tc>
        <w:tc>
          <w:tcPr>
            <w:tcW w:w="1064" w:type="dxa"/>
            <w:tcBorders>
              <w:bottom w:val="single" w:sz="12" w:space="0" w:color="auto"/>
              <w:right w:val="single" w:sz="12" w:space="0" w:color="auto"/>
            </w:tcBorders>
            <w:tcMar>
              <w:top w:w="28" w:type="dxa"/>
              <w:bottom w:w="28" w:type="dxa"/>
            </w:tcMar>
            <w:vAlign w:val="center"/>
          </w:tcPr>
          <w:p w14:paraId="47A25955" w14:textId="77777777" w:rsidR="000C47EE" w:rsidRPr="0092119C" w:rsidRDefault="008D1A6F" w:rsidP="000C47E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2119C">
              <w:rPr>
                <w:rFonts w:ascii="Times New Roman" w:hAnsi="Times New Roman" w:cs="Times New Roman"/>
                <w:sz w:val="20"/>
                <w:szCs w:val="20"/>
                <w:lang w:val="en-GB"/>
              </w:rPr>
              <w:t>-</w:t>
            </w:r>
          </w:p>
        </w:tc>
      </w:tr>
    </w:tbl>
    <w:p w14:paraId="3F2457B1" w14:textId="4650FDA2" w:rsidR="000C47EE" w:rsidRDefault="00864D57" w:rsidP="006149C2">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Pr="004722FF">
        <w:rPr>
          <w:rFonts w:ascii="Times New Roman" w:hAnsi="Times New Roman" w:cs="Times New Roman"/>
          <w:b/>
          <w:sz w:val="20"/>
          <w:szCs w:val="20"/>
          <w:highlight w:val="lightGray"/>
          <w:lang w:val="en-GB"/>
        </w:rPr>
        <w:t xml:space="preserve">All data refer to head-to-head comparisons, except for the comparison between bimekizumab and ixekizumab, and between bimekizumab and risankizumab, which uses trials of each comparator vs. </w:t>
      </w:r>
      <w:r w:rsidR="00F57B33" w:rsidRPr="004722FF">
        <w:rPr>
          <w:rFonts w:ascii="Times New Roman" w:hAnsi="Times New Roman" w:cs="Times New Roman"/>
          <w:b/>
          <w:sz w:val="20"/>
          <w:szCs w:val="20"/>
          <w:highlight w:val="lightGray"/>
          <w:lang w:val="en-GB"/>
        </w:rPr>
        <w:t>placebo.</w:t>
      </w:r>
      <w:r w:rsidR="00F57B33" w:rsidRPr="004722FF">
        <w:rPr>
          <w:rFonts w:ascii="Times New Roman" w:hAnsi="Times New Roman" w:cs="Times New Roman"/>
          <w:sz w:val="20"/>
          <w:szCs w:val="20"/>
          <w:lang w:val="en-GB"/>
        </w:rPr>
        <w:t xml:space="preserve"> (</w:t>
      </w:r>
      <w:r w:rsidRPr="004722FF">
        <w:rPr>
          <w:rFonts w:ascii="Times New Roman" w:hAnsi="Times New Roman" w:cs="Times New Roman"/>
          <w:sz w:val="20"/>
          <w:szCs w:val="20"/>
          <w:lang w:val="en-GB"/>
        </w:rPr>
        <w:t xml:space="preserve">ii) the data are ordered according to the </w:t>
      </w:r>
      <w:r w:rsidR="00F57B33">
        <w:rPr>
          <w:rFonts w:ascii="Times New Roman" w:hAnsi="Times New Roman" w:cs="Times New Roman"/>
          <w:sz w:val="20"/>
          <w:szCs w:val="20"/>
          <w:lang w:val="en-GB"/>
        </w:rPr>
        <w:t>level</w:t>
      </w:r>
      <w:r w:rsidRPr="004722FF">
        <w:rPr>
          <w:rFonts w:ascii="Times New Roman" w:hAnsi="Times New Roman" w:cs="Times New Roman"/>
          <w:sz w:val="20"/>
          <w:szCs w:val="20"/>
          <w:lang w:val="en-GB"/>
        </w:rPr>
        <w:t xml:space="preserve"> of clearance (from highest to lowest). (iii) </w:t>
      </w:r>
      <w:r w:rsidR="00F57B33">
        <w:rPr>
          <w:rFonts w:ascii="Times New Roman" w:hAnsi="Times New Roman" w:cs="Times New Roman"/>
          <w:sz w:val="20"/>
          <w:szCs w:val="20"/>
          <w:lang w:val="en-GB"/>
        </w:rPr>
        <w:t>D</w:t>
      </w:r>
      <w:r w:rsidRPr="004722FF">
        <w:rPr>
          <w:rFonts w:ascii="Times New Roman" w:hAnsi="Times New Roman" w:cs="Times New Roman"/>
          <w:sz w:val="20"/>
          <w:szCs w:val="20"/>
          <w:lang w:val="en-GB"/>
        </w:rPr>
        <w:t xml:space="preserve">ata of trials that reflect the </w:t>
      </w:r>
      <w:r w:rsidR="00F57B33">
        <w:rPr>
          <w:rFonts w:ascii="Times New Roman" w:hAnsi="Times New Roman" w:cs="Times New Roman"/>
          <w:sz w:val="20"/>
          <w:szCs w:val="20"/>
          <w:lang w:val="en-GB"/>
        </w:rPr>
        <w:t>posology applied</w:t>
      </w:r>
      <w:r w:rsidRPr="004722FF">
        <w:rPr>
          <w:rFonts w:ascii="Times New Roman" w:hAnsi="Times New Roman" w:cs="Times New Roman"/>
          <w:sz w:val="20"/>
          <w:szCs w:val="20"/>
          <w:lang w:val="en-GB"/>
        </w:rPr>
        <w:t xml:space="preserve"> in the technical </w:t>
      </w:r>
      <w:r w:rsidR="00F57B33">
        <w:rPr>
          <w:rFonts w:ascii="Times New Roman" w:hAnsi="Times New Roman" w:cs="Times New Roman"/>
          <w:sz w:val="20"/>
          <w:szCs w:val="20"/>
          <w:lang w:val="en-GB"/>
        </w:rPr>
        <w:t xml:space="preserve">product specification </w:t>
      </w:r>
      <w:r w:rsidRPr="004722FF">
        <w:rPr>
          <w:rFonts w:ascii="Times New Roman" w:hAnsi="Times New Roman" w:cs="Times New Roman"/>
          <w:sz w:val="20"/>
          <w:szCs w:val="20"/>
          <w:lang w:val="en-GB"/>
        </w:rPr>
        <w:t xml:space="preserve">have been prioritized. PASI 75/90/100 = improvement in </w:t>
      </w:r>
      <w:r w:rsidR="00F57B33">
        <w:rPr>
          <w:rFonts w:ascii="Times New Roman" w:hAnsi="Times New Roman" w:cs="Times New Roman"/>
          <w:sz w:val="20"/>
          <w:szCs w:val="20"/>
          <w:lang w:val="en-GB"/>
        </w:rPr>
        <w:t xml:space="preserve">the level of clearance </w:t>
      </w:r>
      <w:r w:rsidRPr="004722FF">
        <w:rPr>
          <w:rFonts w:ascii="Times New Roman" w:hAnsi="Times New Roman" w:cs="Times New Roman"/>
          <w:sz w:val="20"/>
          <w:szCs w:val="20"/>
          <w:lang w:val="en-GB"/>
        </w:rPr>
        <w:t xml:space="preserve">of ≥ 75/90/100% compared to the start of treatment. IGA: Investigators' Global Assessment, where 0 means complete clearance, and 1, almost complete clearance. PGA: </w:t>
      </w:r>
      <w:r w:rsidR="00F57B33">
        <w:rPr>
          <w:rFonts w:ascii="Times New Roman" w:hAnsi="Times New Roman" w:cs="Times New Roman"/>
          <w:sz w:val="20"/>
          <w:szCs w:val="20"/>
          <w:lang w:val="en-GB"/>
        </w:rPr>
        <w:t xml:space="preserve">Physician </w:t>
      </w:r>
      <w:r w:rsidRPr="004722FF">
        <w:rPr>
          <w:rFonts w:ascii="Times New Roman" w:hAnsi="Times New Roman" w:cs="Times New Roman"/>
          <w:sz w:val="20"/>
          <w:szCs w:val="20"/>
          <w:lang w:val="en-GB"/>
        </w:rPr>
        <w:t xml:space="preserve">Global </w:t>
      </w:r>
      <w:r w:rsidR="00F57B33">
        <w:rPr>
          <w:rFonts w:ascii="Times New Roman" w:hAnsi="Times New Roman" w:cs="Times New Roman"/>
          <w:sz w:val="20"/>
          <w:szCs w:val="20"/>
          <w:lang w:val="en-GB"/>
        </w:rPr>
        <w:t>Assessment</w:t>
      </w:r>
      <w:r w:rsidRPr="004722FF">
        <w:rPr>
          <w:rFonts w:ascii="Times New Roman" w:hAnsi="Times New Roman" w:cs="Times New Roman"/>
          <w:sz w:val="20"/>
          <w:szCs w:val="20"/>
          <w:lang w:val="en-GB"/>
        </w:rPr>
        <w:t>, where 0 means complete clearance and 1, almost complete clearance. BKZ: Bimekizumab. PBO: placebo. ADA: Adalimumab. UST: Ustekinumab. SEC: Secukinumab. IXE: Ixekizumab. RIS: Risankizumab.</w:t>
      </w:r>
    </w:p>
    <w:p w14:paraId="2C1F0BA4" w14:textId="3E0E599C" w:rsidR="00F57B33" w:rsidRDefault="00F57B33" w:rsidP="006149C2">
      <w:pPr>
        <w:spacing w:before="120" w:line="240" w:lineRule="auto"/>
        <w:ind w:left="709"/>
        <w:rPr>
          <w:rFonts w:ascii="Times New Roman" w:hAnsi="Times New Roman" w:cs="Times New Roman"/>
          <w:sz w:val="20"/>
          <w:szCs w:val="20"/>
          <w:lang w:val="en-GB"/>
        </w:rPr>
      </w:pPr>
    </w:p>
    <w:p w14:paraId="47909701" w14:textId="62E6B56F" w:rsidR="00F57B33" w:rsidRDefault="00F57B33" w:rsidP="006149C2">
      <w:pPr>
        <w:spacing w:before="120" w:line="240" w:lineRule="auto"/>
        <w:ind w:left="709"/>
        <w:rPr>
          <w:rFonts w:ascii="Times New Roman" w:hAnsi="Times New Roman" w:cs="Times New Roman"/>
          <w:sz w:val="20"/>
          <w:szCs w:val="20"/>
          <w:lang w:val="en-GB"/>
        </w:rPr>
      </w:pPr>
    </w:p>
    <w:p w14:paraId="47CB4E8C" w14:textId="63B4EC76" w:rsidR="00F57B33" w:rsidRDefault="00F57B33" w:rsidP="006149C2">
      <w:pPr>
        <w:spacing w:before="120" w:line="240" w:lineRule="auto"/>
        <w:ind w:left="709"/>
        <w:rPr>
          <w:rFonts w:ascii="Times New Roman" w:hAnsi="Times New Roman" w:cs="Times New Roman"/>
          <w:sz w:val="20"/>
          <w:szCs w:val="20"/>
          <w:lang w:val="en-GB"/>
        </w:rPr>
      </w:pPr>
    </w:p>
    <w:p w14:paraId="2EE05198" w14:textId="77777777" w:rsidR="00F57B33" w:rsidRPr="004722FF" w:rsidRDefault="00F57B33" w:rsidP="006149C2">
      <w:pPr>
        <w:spacing w:before="120" w:line="240" w:lineRule="auto"/>
        <w:ind w:left="709"/>
        <w:rPr>
          <w:rFonts w:ascii="Times New Roman" w:hAnsi="Times New Roman" w:cs="Times New Roman"/>
          <w:sz w:val="20"/>
          <w:szCs w:val="20"/>
          <w:lang w:val="en-GB"/>
        </w:rPr>
      </w:pPr>
    </w:p>
    <w:p w14:paraId="7044F166" w14:textId="6DC85338" w:rsidR="001D179C" w:rsidRPr="00B0106B" w:rsidRDefault="001D179C" w:rsidP="00B406C9">
      <w:pPr>
        <w:pStyle w:val="Ttulo2"/>
        <w:numPr>
          <w:ilvl w:val="1"/>
          <w:numId w:val="1"/>
        </w:numPr>
        <w:spacing w:before="120" w:line="240" w:lineRule="auto"/>
        <w:ind w:left="993" w:firstLine="0"/>
        <w:rPr>
          <w:rFonts w:ascii="Times New Roman" w:hAnsi="Times New Roman" w:cs="Times New Roman"/>
          <w:b/>
          <w:bCs/>
          <w:smallCaps w:val="0"/>
          <w:color w:val="auto"/>
          <w:sz w:val="22"/>
          <w:szCs w:val="22"/>
          <w:lang w:val="en-GB"/>
        </w:rPr>
      </w:pPr>
      <w:bookmarkStart w:id="99" w:name="_Toc74645720"/>
      <w:bookmarkStart w:id="100" w:name="_Toc89351164"/>
      <w:r w:rsidRPr="00B0106B">
        <w:rPr>
          <w:rFonts w:ascii="Times New Roman" w:hAnsi="Times New Roman" w:cs="Times New Roman"/>
          <w:b/>
          <w:bCs/>
          <w:smallCaps w:val="0"/>
          <w:color w:val="auto"/>
          <w:sz w:val="24"/>
          <w:szCs w:val="24"/>
          <w:lang w:val="en-GB"/>
        </w:rPr>
        <w:lastRenderedPageBreak/>
        <w:t>Rapid</w:t>
      </w:r>
      <w:r w:rsidR="009B1D97">
        <w:rPr>
          <w:rFonts w:ascii="Times New Roman" w:hAnsi="Times New Roman" w:cs="Times New Roman"/>
          <w:b/>
          <w:bCs/>
          <w:smallCaps w:val="0"/>
          <w:color w:val="auto"/>
          <w:sz w:val="24"/>
          <w:szCs w:val="24"/>
          <w:lang w:val="en-GB"/>
        </w:rPr>
        <w:t>ity of</w:t>
      </w:r>
      <w:r w:rsidRPr="00B0106B">
        <w:rPr>
          <w:rFonts w:ascii="Times New Roman" w:hAnsi="Times New Roman" w:cs="Times New Roman"/>
          <w:b/>
          <w:bCs/>
          <w:smallCaps w:val="0"/>
          <w:color w:val="auto"/>
          <w:sz w:val="24"/>
          <w:szCs w:val="24"/>
          <w:lang w:val="en-GB"/>
        </w:rPr>
        <w:t xml:space="preserve"> clearance</w:t>
      </w:r>
      <w:bookmarkEnd w:id="99"/>
      <w:bookmarkEnd w:id="100"/>
    </w:p>
    <w:p w14:paraId="1FEDB691" w14:textId="20247B72" w:rsidR="00213E3A" w:rsidRPr="00B0106B" w:rsidRDefault="00213E3A" w:rsidP="006A074F">
      <w:pPr>
        <w:pStyle w:val="TITULOTABLASYFIGURAS"/>
        <w:spacing w:before="360"/>
        <w:ind w:left="709"/>
        <w:rPr>
          <w:rFonts w:ascii="Times New Roman" w:hAnsi="Times New Roman" w:cs="Times New Roman"/>
          <w:b/>
          <w:bCs/>
          <w:smallCaps w:val="0"/>
          <w:color w:val="auto"/>
          <w:sz w:val="22"/>
          <w:szCs w:val="56"/>
          <w:lang w:val="en-GB"/>
        </w:rPr>
      </w:pPr>
      <w:bookmarkStart w:id="101" w:name="_Toc89078650"/>
      <w:r w:rsidRPr="00B0106B">
        <w:rPr>
          <w:rFonts w:ascii="Times New Roman" w:hAnsi="Times New Roman" w:cs="Times New Roman"/>
          <w:b/>
          <w:bCs/>
          <w:smallCaps w:val="0"/>
          <w:color w:val="auto"/>
          <w:sz w:val="22"/>
          <w:szCs w:val="56"/>
          <w:lang w:val="en-GB"/>
        </w:rPr>
        <w:t xml:space="preserve">Table </w:t>
      </w:r>
      <w:r w:rsidR="00B0106B">
        <w:rPr>
          <w:rFonts w:ascii="Times New Roman" w:hAnsi="Times New Roman" w:cs="Times New Roman"/>
          <w:b/>
          <w:bCs/>
          <w:smallCaps w:val="0"/>
          <w:color w:val="auto"/>
          <w:sz w:val="22"/>
          <w:szCs w:val="56"/>
          <w:lang w:val="en-GB"/>
        </w:rPr>
        <w:t>(S1).</w:t>
      </w:r>
      <w:r w:rsidRPr="00B0106B">
        <w:rPr>
          <w:rFonts w:ascii="Times New Roman" w:hAnsi="Times New Roman" w:cs="Times New Roman"/>
          <w:b/>
          <w:bCs/>
          <w:smallCaps w:val="0"/>
          <w:color w:val="auto"/>
          <w:sz w:val="22"/>
          <w:szCs w:val="56"/>
          <w:lang w:val="en-GB"/>
        </w:rPr>
        <w:fldChar w:fldCharType="begin"/>
      </w:r>
      <w:r w:rsidRPr="00B0106B">
        <w:rPr>
          <w:rFonts w:ascii="Times New Roman" w:hAnsi="Times New Roman" w:cs="Times New Roman"/>
          <w:b/>
          <w:bCs/>
          <w:smallCaps w:val="0"/>
          <w:color w:val="auto"/>
          <w:sz w:val="22"/>
          <w:szCs w:val="56"/>
          <w:lang w:val="en-GB"/>
        </w:rPr>
        <w:instrText xml:space="preserve"> SEQ Tabla \* ARABIC </w:instrText>
      </w:r>
      <w:r w:rsidRPr="00B0106B">
        <w:rPr>
          <w:rFonts w:ascii="Times New Roman" w:hAnsi="Times New Roman" w:cs="Times New Roman"/>
          <w:b/>
          <w:bCs/>
          <w:smallCaps w:val="0"/>
          <w:color w:val="auto"/>
          <w:sz w:val="22"/>
          <w:szCs w:val="56"/>
          <w:lang w:val="en-GB"/>
        </w:rPr>
        <w:fldChar w:fldCharType="separate"/>
      </w:r>
      <w:r w:rsidR="00A35209" w:rsidRPr="00B0106B">
        <w:rPr>
          <w:rFonts w:ascii="Times New Roman" w:hAnsi="Times New Roman" w:cs="Times New Roman"/>
          <w:b/>
          <w:bCs/>
          <w:smallCaps w:val="0"/>
          <w:noProof/>
          <w:color w:val="auto"/>
          <w:sz w:val="22"/>
          <w:szCs w:val="56"/>
          <w:lang w:val="en-GB"/>
        </w:rPr>
        <w:t>4</w:t>
      </w:r>
      <w:r w:rsidRPr="00B0106B">
        <w:rPr>
          <w:rFonts w:ascii="Times New Roman" w:hAnsi="Times New Roman" w:cs="Times New Roman"/>
          <w:b/>
          <w:bCs/>
          <w:smallCaps w:val="0"/>
          <w:color w:val="auto"/>
          <w:sz w:val="22"/>
          <w:szCs w:val="56"/>
          <w:lang w:val="en-GB"/>
        </w:rPr>
        <w:fldChar w:fldCharType="end"/>
      </w:r>
      <w:r w:rsidRPr="00B0106B">
        <w:rPr>
          <w:rFonts w:ascii="Times New Roman" w:hAnsi="Times New Roman" w:cs="Times New Roman"/>
          <w:b/>
          <w:bCs/>
          <w:smallCaps w:val="0"/>
          <w:color w:val="auto"/>
          <w:sz w:val="22"/>
          <w:szCs w:val="56"/>
          <w:lang w:val="en-GB"/>
        </w:rPr>
        <w:t xml:space="preserve">: </w:t>
      </w:r>
      <w:r w:rsidR="00417762">
        <w:rPr>
          <w:rFonts w:ascii="Times New Roman" w:hAnsi="Times New Roman" w:cs="Times New Roman"/>
          <w:b/>
          <w:bCs/>
          <w:smallCaps w:val="0"/>
          <w:color w:val="auto"/>
          <w:sz w:val="22"/>
          <w:szCs w:val="56"/>
          <w:lang w:val="en-GB"/>
        </w:rPr>
        <w:t>L</w:t>
      </w:r>
      <w:r w:rsidR="00B0106B">
        <w:rPr>
          <w:rFonts w:ascii="Times New Roman" w:hAnsi="Times New Roman" w:cs="Times New Roman"/>
          <w:b/>
          <w:bCs/>
          <w:smallCaps w:val="0"/>
          <w:color w:val="auto"/>
          <w:sz w:val="22"/>
          <w:szCs w:val="56"/>
          <w:lang w:val="en-GB"/>
        </w:rPr>
        <w:t>evel of clearance</w:t>
      </w:r>
      <w:r w:rsidRPr="00B0106B">
        <w:rPr>
          <w:rFonts w:ascii="Times New Roman" w:hAnsi="Times New Roman" w:cs="Times New Roman"/>
          <w:b/>
          <w:bCs/>
          <w:smallCaps w:val="0"/>
          <w:color w:val="auto"/>
          <w:sz w:val="22"/>
          <w:szCs w:val="56"/>
          <w:lang w:val="en-GB"/>
        </w:rPr>
        <w:t>,</w:t>
      </w:r>
      <w:r w:rsidR="00B0106B">
        <w:rPr>
          <w:rFonts w:ascii="Times New Roman" w:hAnsi="Times New Roman" w:cs="Times New Roman"/>
          <w:b/>
          <w:bCs/>
          <w:smallCaps w:val="0"/>
          <w:color w:val="auto"/>
          <w:sz w:val="22"/>
          <w:szCs w:val="56"/>
          <w:lang w:val="en-GB"/>
        </w:rPr>
        <w:t xml:space="preserve"> </w:t>
      </w:r>
      <w:r w:rsidRPr="00B0106B">
        <w:rPr>
          <w:rFonts w:ascii="Times New Roman" w:hAnsi="Times New Roman" w:cs="Times New Roman"/>
          <w:b/>
          <w:bCs/>
          <w:smallCaps w:val="0"/>
          <w:color w:val="auto"/>
          <w:sz w:val="22"/>
          <w:szCs w:val="56"/>
          <w:lang w:val="en-GB"/>
        </w:rPr>
        <w:t xml:space="preserve">% </w:t>
      </w:r>
      <w:r w:rsidR="00B0106B">
        <w:rPr>
          <w:rFonts w:ascii="Times New Roman" w:hAnsi="Times New Roman" w:cs="Times New Roman"/>
          <w:b/>
          <w:bCs/>
          <w:smallCaps w:val="0"/>
          <w:color w:val="auto"/>
          <w:sz w:val="22"/>
          <w:szCs w:val="56"/>
          <w:lang w:val="en-GB"/>
        </w:rPr>
        <w:t xml:space="preserve">of patients with </w:t>
      </w:r>
      <w:r w:rsidRPr="00B0106B">
        <w:rPr>
          <w:rFonts w:ascii="Times New Roman" w:hAnsi="Times New Roman" w:cs="Times New Roman"/>
          <w:b/>
          <w:bCs/>
          <w:smallCaps w:val="0"/>
          <w:color w:val="auto"/>
          <w:sz w:val="22"/>
          <w:szCs w:val="56"/>
          <w:lang w:val="en-GB"/>
        </w:rPr>
        <w:t>PASI 75, week 4</w:t>
      </w:r>
      <w:bookmarkEnd w:id="101"/>
      <w:r w:rsidRPr="00B0106B">
        <w:rPr>
          <w:rFonts w:ascii="Times New Roman" w:hAnsi="Times New Roman" w:cs="Times New Roman"/>
          <w:b/>
          <w:bCs/>
          <w:smallCaps w:val="0"/>
          <w:color w:val="auto"/>
          <w:sz w:val="22"/>
          <w:szCs w:val="56"/>
          <w:lang w:val="en-GB"/>
        </w:rPr>
        <w:t xml:space="preserve"> </w:t>
      </w:r>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7B4152" w14:paraId="30EE67D1" w14:textId="77777777" w:rsidTr="007A514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7D818A5A" w14:textId="77777777" w:rsidR="006369D0" w:rsidRPr="009B1D97" w:rsidRDefault="006369D0" w:rsidP="00677C01">
            <w:pPr>
              <w:spacing w:before="0" w:after="0" w:line="240" w:lineRule="auto"/>
              <w:jc w:val="left"/>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6DA588F1" w14:textId="77C27466" w:rsidR="006369D0" w:rsidRPr="009B1D97" w:rsidRDefault="006369D0" w:rsidP="00677C01">
            <w:pPr>
              <w:spacing w:before="0" w:after="0" w:line="240" w:lineRule="auto"/>
              <w:jc w:val="center"/>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Gordon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{"citationID":"QqWTWPed","properties":{"formattedCitation":"\\super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37</w:t>
            </w:r>
            <w:r w:rsidRPr="009B1D97">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02837546" w14:textId="77C92F29" w:rsidR="006369D0" w:rsidRPr="009B1D97" w:rsidRDefault="006369D0"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Warren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{"citationID":"gOK97hDf","properties":{"formattedCitation":"\\super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38</w:t>
            </w:r>
            <w:r w:rsidRPr="009B1D97">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836AB51" w14:textId="4059A2CA" w:rsidR="006369D0" w:rsidRPr="009B1D97" w:rsidRDefault="006369D0" w:rsidP="00677C01">
            <w:pPr>
              <w:spacing w:before="0" w:after="0" w:line="240" w:lineRule="auto"/>
              <w:jc w:val="center"/>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Reich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{"citationID":"LavZ7Dpl","properties":{"formattedCitation":"\\super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39</w:t>
            </w:r>
            <w:r w:rsidRPr="009B1D97">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3456EE56" w14:textId="7B06D89E" w:rsidR="006369D0" w:rsidRPr="009B1D97" w:rsidRDefault="006369D0"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Reich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{"citationID":"ELBDkSgc","properties":{"formattedCitation":"\\super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40</w:t>
            </w:r>
            <w:r w:rsidRPr="009B1D97">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60234A6" w14:textId="5908ADA5" w:rsidR="006369D0" w:rsidRPr="009B1D97" w:rsidRDefault="006369D0" w:rsidP="00677C01">
            <w:pPr>
              <w:spacing w:before="0" w:after="0" w:line="240" w:lineRule="auto"/>
              <w:jc w:val="center"/>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Griffiths (2015)</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{"citationID":"RtpgRCtJ","properties":{"formattedCitation":"\\super 41\\nosupersub{}","plainCitation":"41","noteIndex":0},"citationItems":[{"id":22744,"uris":["http://zotero.org/groups/337550/items/PEC8X4WR"],"uri":["http://zotero.org/groups/337550/items/PEC8X4WR"],"itemData":{"id":22744,"type":"article-journal","abstract":"BACKGROUND: Ixekizumab is a humanised monoclonal antibody against the proinflammatory cytokine interleukin 17A. We report two studies of ixekizumab compared with placebo or etanercept to assess the safety and efficacy of specifically targeting interleukin 17A in patients with widespread moderate-to-severe psoriasis.\nMETHODS: In two prospective, double-blind, multicentre, phase 3 studies (UNCOVER-2 and UNCOVER-3), eligible patients were aged 18 years or older, had a confirmed diagnosis of chronic plaque psoriasis at least 6 months before baseline (randomisation), 10% or greater body-surface area involvement at both screening and baseline visits, at least a moderate clinical severity as measured by a static physician global assessment (sPGA) score of 3 or more, and a psoriasis area and severity index (PASI) score of 12. Participants were randomly assigned (1:2:2:2) by computer-generated random sequence with an interactive voice response system to receive subcutaneous placebo, etanercept (50 mg twice weekly), or one injection of 80 mg ixekizumab every 2 weeks, or every 4 weeks after a 160 mg starting dose. Blinding was maintained with a double-dummy design. Coprimary efficacy endpoints were proportions of patients achieving sPGA score 0 or 1 and 75% or greater improvement in PASI at week 12. Analysis was by intention to treat. These trials are registered with ClinicalTrials.gov, numbers NCT01597245 and NCT01646177.\nFINDINGS: Between May 30, 2012, and Dec 30, 2013, 1224 patients in UNCOVER-2 were randomly assigned to receive subcutaneous placebo (n=168), etanercept (n=358), or ixekizumab every 2 weeks (n=351) or every 4 weeks (n=347); between Aug 11, 2012, and Feb 27, 2014, 1346 patients in UNCOVER-3 were randomly assigned to receive placebo (n=193), etanercept (n=382), ixekizumab every 2 weeks (n=385), or ixekizumab every 4 weeks (n=386). At week 12, both primary endpoints were met in both studies. For UNCOVER-2 and UNCOVER-3 respectively, in the ixekizumab every 2 weeks group, PASI 75 was achieved by 315 (response rate 89·7%; [effect size 87·4% (97·5% CI 82·9-91·8) vs placebo; 48·1% (41·2-55·0) vs etanercept]) and 336 (87·3%; [80·0% (74·4-85·7) vs placebo; 33·9% (27·0-40·7) vs etanercept]) patients; in the ixekizumab every 4 weeks group, by 269 (77·5%; [75·1% (69·5-80·8) vs placebo; 35·9% (28·2-43·6) vs etanercept]) and 325 (84·2%; [76·9% (71·0-82·8) vs placebo; 30·8% (23·7-37·9) vs etanercept]) patients; in the placebo group, by four (2·4%) and 14 (7·3%) patients; and in the etanercept group by 149 (41·6%) and 204 (53·4%) patients (all p&lt;0·0001 vs placebo or etanercept). In the ixekizumab every 2 weeks group, sPGA 0/1 was achieved by 292 (response rate 83·2%; [effect size 80·8% (97·5% CI 75·6-86·0) vs placebo; 47·2% (39·9-54·4) vs etanercept]) and 310 (80·5%; [73·8% (67·7-79·9) vs placebo; 38·9% (31·7-46·1) vs etanercept]) patients; in the ixekizumab every 4 weeks group by 253 (72·9%; [70·5% (64·6-76·5) vs placebo; 36·9% (29·1-44·7) vs etanercept]) and 291 (75·4%; [68·7% (62·3-75·0) vs placebo; 33·8% (26·3-41·3) vs etanercept]) patients; in the placebo group by four (2·4%) and 13 (6·7%) patients; and in the etanercept group by 129 (36·0%) and 159 (41·6%) patients (all p&lt;0·0001 vs placebo or etanercept). In combined studies, serious adverse events were reported in 14 (1·9%) of 734 patients given ixekizumab every 2 weeks, 14 (1·9%) of 729 given ixekizumab every 4 weeks, seven (1·9%) of 360 given placebo, and 14 (1·9%) of 739 given etanercept; no deaths were noted.\nINTERPRETATION: Both ixekizumab dose regimens had greater efficacy than placebo and etanercept over 12 weeks in two independent studies. These studies show that selectively neutralising interleukin 17A with a high affinity antibody potentially gives patients with psoriasis a new and effective biological therapy option.\nFUNDING: Eli Lilly and Co.","container-title":"Lancet (London, England)","DOI":"10.1016/S0140-6736(15)60125-8","ISSN":"1474-547X","issue":"9993","journalAbbreviation":"Lancet","language":"eng","note":"PMID: 26072109","page":"541-551","source":"UpToDate References","title":"Comparison of ixekizumab with etanercept or placebo in moderate-to-severe psoriasis (UNCOVER-2 and UNCOVER-3): results from two phase 3 randomised trials","title-short":"Comparison of ixekizumab with etanercept or placebo in moderate-to-severe psoriasis (UNCOVER-2 and UNCOVER-3)","volume":"386","author":[{"family":"Griffiths","given":"Christopher E. M."},{"family":"Reich","given":"Kristian"},{"family":"Lebwohl","given":"Mark"},{"family":"Kerkhof","given":"Peter","non-dropping-particle":"van de"},{"family":"Paul","given":"Carle"},{"family":"Menter","given":"Alan"},{"family":"Cameron","given":"Gregory S."},{"family":"Erickson","given":"Janelle"},{"family":"Zhang","given":"Lu"},{"family":"Secrest","given":"Roberta J."},{"family":"Ball","given":"Susan"},{"family":"Braun","given":"Daniel K."},{"family":"Osuntokun","given":"Olawale O."},{"family":"Heffernan","given":"Michael P."},{"family":"Nickoloff","given":"Brian J."},{"family":"Papp","given":"Kim"},{"literal":"UNCOVER-2 and UNCOVER-3 investigators"}],"issued":{"date-parts":[["2015"]]}}}],"schema":"https://github.com/citation-style-language/schema/raw/master/csl-citation.json"}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41</w:t>
            </w:r>
            <w:r w:rsidRPr="009B1D97">
              <w:rPr>
                <w:rFonts w:ascii="Times New Roman" w:hAnsi="Times New Roman" w:cs="Times New Roman"/>
                <w:sz w:val="20"/>
                <w:szCs w:val="20"/>
                <w:lang w:val="en-GB"/>
              </w:rPr>
              <w:fldChar w:fldCharType="end"/>
            </w:r>
            <w:r w:rsidRPr="009B1D97">
              <w:rPr>
                <w:rFonts w:ascii="Times New Roman" w:hAnsi="Times New Roman" w:cs="Times New Roman"/>
                <w:color w:val="auto"/>
                <w:sz w:val="20"/>
                <w:szCs w:val="20"/>
                <w:lang w:val="en-GB"/>
              </w:rPr>
              <w:t xml:space="preserve"> and Gordon (2016</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{"citationID":"eRzTz2jV","properties":{"formattedCitation":"\\super 42\\nosupersub{}","plainCitation":"42","noteIndex":0},"citationItems":[{"id":22743,"uris":["http://zotero.org/groups/337550/items/C3QCCC2M"],"uri":["http://zotero.org/groups/337550/items/C3QCCC2M"],"itemData":{"id":22743,"type":"article-journal","abstract":"BACKGROUND: Two phase 3 trials (UNCOVER-2 and UNCOVER-3) showed that at 12 weeks of treatment, ixekizumab, a monoclonal antibody against interleukin-17A, was superior to placebo and etanercept in the treatment of moderate-to-severe psoriasis. We report the 60-week data from the UNCOVER-2 and UNCOVER-3 trials, as well as 12-week and 60-week data from a third phase 3 trial, UNCOVER-1.\nMETHODS: We randomly assigned 1296 patients in the UNCOVER-1 trial, 1224 patients in the UNCOVER-2 trial, and 1346 patients in the UNCOVER-3 trial to receive subcutaneous injections of placebo (placebo group), 80 mg of ixekizumab every 2 weeks after a starting dose of 160 mg (2-wk dosing group), or 80 mg of ixekizumab every 4 weeks after a starting dose of 160 mg (4-wk dosing group). Additional cohorts in the UNCOVER-2 and UNCOVER-3 trials were randomly assigned to receive 50 mg of etanercept twice weekly. At week 12 in the UNCOVER-3 trial, the patients entered a long-term extension period during which they received 80 mg of ixekizumab every 4 weeks through week 60; at week 12 in the UNCOVER-1 and UNCOVER-2 trials, the patients who had a response to ixekizumab (defined as a static Physicians Global Assessment [sPGA] score of 0 [clear] or 1 [minimal psoriasis]) were randomly reassigned to receive placebo, 80 mg of ixekizumab every 4 weeks, or 80 mg of ixekizumab every 12 weeks through week 60. Coprimary end points were the percentage of patients who had a score on the sPGA of 0 or 1 and a 75% or greater reduction from baseline in Psoriasis Area and Severity Index (PASI 75) at week 12.\nRESULTS: In the UNCOVER-1 trial, at week 12, the patients had better responses to ixekizumab than to placebo; in the 2-wk dosing group, 81.8% had an sPGA score of 0 or 1 and 89.1% had a PASI 75 response; in the 4-wk dosing group, the respective rates were 76.4% and 82.6%; and in the placebo group, the rates were 3.2% and 3.9% (P&lt;0.001 for all comparisons of ixekizumab with placebo). In the UNCOVER-1 and UNCOVER-2 trials, among the patients who were randomly reassigned at week 12 to receive 80 mg of ixekizumab every 4 weeks, 80 mg of ixekizumab every 12 weeks, or placebo, an sPGA score of 0 or 1 was maintained by 73.8%, 39.0%, and 7.0% of the patients, respectively. Patients in the UNCOVER-3 trial received continuous treatment of ixekizumab from weeks 0 through 60, and at week 60, at least 73% had an sPGA score of 0 or 1 and at least 80% had a PASI 75 response. Adverse events reported during ixekizumab use included neutropenia, candidal infections, and inflammatory bowel disease.\nCONCLUSIONS: In three phase 3 trials involving patients with psoriasis, ixekizumab was effective through 60 weeks of treatment. As with any treatment, the benefits need to be weighed against the risks of adverse events. The efficacy and safety of ixekizumab beyond 60 weeks of treatment are not yet known. (Funded by Eli Lilly; UNCOVER-1, UNCOVER-2, and UNCOVER-3 ClinicalTrials.gov numbers NCT01474512, NCT01597245, and NCT01646177, respectively.).","container-title":"The New England Journal of Medicine","DOI":"10.1056/NEJMoa1512711","ISSN":"1533-4406","issue":"4","journalAbbreviation":"N. Engl. J. Med.","language":"eng","note":"PMID: 27299809","page":"345-356","source":"UpToDate References","title":"Phase 3 Trials of Ixekizumab in Moderate-to-Severe Plaque Psoriasis","volume":"375","author":[{"family":"Gordon","given":"Kenneth B."},{"family":"Blauvelt","given":"Andrew"},{"family":"Papp","given":"Kim A."},{"family":"Langley","given":"Richard G."},{"family":"Luger","given":"Thomas"},{"family":"Ohtsuki","given":"Mamitaro"},{"family":"Reich","given":"Kristian"},{"family":"Amato","given":"David"},{"family":"Ball","given":"Susan G."},{"family":"Braun","given":"Daniel K."},{"family":"Cameron","given":"Gregory S."},{"family":"Erickson","given":"Janelle"},{"family":"Konrad","given":"Robert J."},{"family":"Muram","given":"Talia M."},{"family":"Nickoloff","given":"Brian J."},{"family":"Osuntokun","given":"Olawale O."},{"family":"Secrest","given":"Roberta J."},{"family":"Zhao","given":"Fangyi"},{"family":"Mallbris","given":"Lotus"},{"family":"Leonardi","given":"Craig L."},{"literal":"UNCOVER-1 Study Group"},{"literal":"UNCOVER-2 Study Group"},{"literal":"UNCOVER-3 Study Group"}],"issued":{"date-parts":[["2016"]]}}}],"schema":"https://github.com/citation-style-language/schema/raw/master/csl-citation.json"}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42</w:t>
            </w:r>
            <w:r w:rsidRPr="009B1D97">
              <w:rPr>
                <w:rFonts w:ascii="Times New Roman" w:hAnsi="Times New Roman" w:cs="Times New Roman"/>
                <w:sz w:val="20"/>
                <w:szCs w:val="20"/>
                <w:lang w:val="en-GB"/>
              </w:rPr>
              <w:fldChar w:fldCharType="end"/>
            </w:r>
            <w:r w:rsidRPr="009B1D97">
              <w:rPr>
                <w:rFonts w:ascii="Times New Roman" w:hAnsi="Times New Roman" w:cs="Times New Roman"/>
                <w:color w:val="auto"/>
                <w:sz w:val="20"/>
                <w:szCs w:val="20"/>
                <w:lang w:val="en-GB"/>
              </w:rPr>
              <w:t>,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{"citationID":"jbVed5bc","properties":{"formattedCitation":"\\super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37</w:t>
            </w:r>
            <w:r w:rsidRPr="009B1D97">
              <w:rPr>
                <w:rFonts w:ascii="Times New Roman" w:hAnsi="Times New Roman" w:cs="Times New Roman"/>
                <w:sz w:val="20"/>
                <w:szCs w:val="20"/>
                <w:lang w:val="en-GB"/>
              </w:rPr>
              <w:fldChar w:fldCharType="end"/>
            </w:r>
            <w:r w:rsidRPr="009B1D97">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1DAA7F9D" w14:textId="6EF42BAD" w:rsidR="006369D0" w:rsidRPr="009B1D97" w:rsidRDefault="006369D0"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9B1D97">
              <w:rPr>
                <w:rFonts w:ascii="Times New Roman" w:hAnsi="Times New Roman" w:cs="Times New Roman"/>
                <w:color w:val="auto"/>
                <w:sz w:val="20"/>
                <w:szCs w:val="20"/>
                <w:lang w:val="en-GB"/>
              </w:rPr>
              <w:t>Gordon (2018</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{"citationID":"gd2PkHJ2","properties":{"formattedCitation":"\\super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9B1D97">
              <w:rPr>
                <w:rFonts w:ascii="Times New Roman" w:hAnsi="Times New Roman" w:cs="Times New Roman"/>
                <w:sz w:val="20"/>
                <w:szCs w:val="20"/>
                <w:vertAlign w:val="superscript"/>
              </w:rPr>
              <w:t>43</w:t>
            </w:r>
            <w:r w:rsidRPr="009B1D97">
              <w:rPr>
                <w:rFonts w:ascii="Times New Roman" w:hAnsi="Times New Roman" w:cs="Times New Roman"/>
                <w:sz w:val="20"/>
                <w:szCs w:val="20"/>
                <w:lang w:val="en-GB"/>
              </w:rPr>
              <w:fldChar w:fldCharType="end"/>
            </w:r>
            <w:r w:rsidRPr="009B1D97">
              <w:rPr>
                <w:rFonts w:ascii="Times New Roman" w:hAnsi="Times New Roman" w:cs="Times New Roman"/>
                <w:color w:val="auto"/>
                <w:sz w:val="20"/>
                <w:szCs w:val="20"/>
                <w:lang w:val="en-GB"/>
              </w:rPr>
              <w:t>, 2021</w:t>
            </w:r>
            <w:r w:rsidRPr="009B1D97">
              <w:rPr>
                <w:rFonts w:ascii="Times New Roman" w:hAnsi="Times New Roman" w:cs="Times New Roman"/>
                <w:sz w:val="20"/>
                <w:szCs w:val="20"/>
                <w:lang w:val="en-GB"/>
              </w:rPr>
              <w:fldChar w:fldCharType="begin"/>
            </w:r>
            <w:r w:rsidR="007A0A45" w:rsidRPr="009B1D97">
              <w:rPr>
                <w:rFonts w:ascii="Times New Roman" w:hAnsi="Times New Roman" w:cs="Times New Roman"/>
                <w:color w:val="auto"/>
                <w:sz w:val="20"/>
                <w:szCs w:val="20"/>
                <w:lang w:val="en-GB"/>
              </w:rPr>
              <w:instrText xml:space="preserve"> ADDIN ZOTERO_ITEM CSL_CITATION {"citationID":"djJgXF4N","properties":{"formattedCitation":"\\super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9B1D97">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9B1D97">
              <w:rPr>
                <w:rFonts w:ascii="Times New Roman" w:hAnsi="Times New Roman" w:cs="Times New Roman"/>
                <w:sz w:val="20"/>
                <w:szCs w:val="20"/>
                <w:lang w:val="en-GB"/>
              </w:rPr>
              <w:fldChar w:fldCharType="end"/>
            </w:r>
            <w:r w:rsidRPr="009B1D97">
              <w:rPr>
                <w:rFonts w:ascii="Times New Roman" w:hAnsi="Times New Roman" w:cs="Times New Roman"/>
                <w:color w:val="auto"/>
                <w:sz w:val="20"/>
                <w:szCs w:val="20"/>
                <w:lang w:val="en-GB"/>
              </w:rPr>
              <w:t>)</w:t>
            </w:r>
          </w:p>
        </w:tc>
      </w:tr>
      <w:tr w:rsidR="005F7BBC" w:rsidRPr="007B4152" w14:paraId="01ABBE4A" w14:textId="77777777" w:rsidTr="007A51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2C017917" w14:textId="77777777" w:rsidR="006369D0" w:rsidRPr="009B1D97" w:rsidRDefault="006369D0" w:rsidP="00677C01">
            <w:pPr>
              <w:spacing w:before="0" w:after="0" w:line="240" w:lineRule="auto"/>
              <w:jc w:val="left"/>
              <w:rPr>
                <w:rFonts w:ascii="Times New Roman" w:hAnsi="Times New Roman" w:cs="Times New Roman"/>
                <w:sz w:val="20"/>
                <w:szCs w:val="20"/>
                <w:lang w:val="en-GB"/>
              </w:rPr>
            </w:pPr>
            <w:r w:rsidRPr="009B1D97">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4F8F2386"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4152A00D"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19D2DA6F"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49128148"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65F68065"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3CA88958"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28A9C8F7"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148F76F6"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5ED37CEE"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726C8DD3"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4989CFE9" w14:textId="77777777" w:rsidR="006369D0" w:rsidRPr="009B1D97" w:rsidRDefault="008136F8" w:rsidP="00677C01">
            <w:pPr>
              <w:spacing w:before="0" w:after="0" w:line="240" w:lineRule="auto"/>
              <w:jc w:val="center"/>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BKZ</w:t>
            </w:r>
          </w:p>
        </w:tc>
        <w:tc>
          <w:tcPr>
            <w:tcW w:w="1064"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46FA0C04" w14:textId="77777777" w:rsidR="006369D0" w:rsidRPr="009B1D97" w:rsidRDefault="006369D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9B1D97">
              <w:rPr>
                <w:rFonts w:ascii="Times New Roman" w:hAnsi="Times New Roman" w:cs="Times New Roman"/>
                <w:b/>
                <w:bCs/>
                <w:sz w:val="20"/>
                <w:szCs w:val="20"/>
                <w:lang w:val="en-GB"/>
              </w:rPr>
              <w:t>RIS</w:t>
            </w:r>
          </w:p>
        </w:tc>
      </w:tr>
      <w:tr w:rsidR="002A1DD3" w:rsidRPr="007B4152" w14:paraId="6127EE5A" w14:textId="77777777" w:rsidTr="007A5143">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4AFBF47" w14:textId="52788279" w:rsidR="006369D0" w:rsidRPr="00743B1E" w:rsidRDefault="006369D0" w:rsidP="00677C01">
            <w:pPr>
              <w:spacing w:before="0" w:after="0" w:line="240" w:lineRule="auto"/>
              <w:jc w:val="left"/>
              <w:rPr>
                <w:rFonts w:ascii="Times New Roman" w:hAnsi="Times New Roman" w:cs="Times New Roman"/>
                <w:b w:val="0"/>
                <w:bCs w:val="0"/>
                <w:sz w:val="20"/>
                <w:szCs w:val="20"/>
                <w:lang w:val="en-GB"/>
              </w:rPr>
            </w:pPr>
            <w:r w:rsidRPr="00743B1E">
              <w:rPr>
                <w:rFonts w:ascii="Times New Roman" w:hAnsi="Times New Roman" w:cs="Times New Roman"/>
                <w:b w:val="0"/>
                <w:bCs w:val="0"/>
                <w:sz w:val="20"/>
                <w:szCs w:val="20"/>
                <w:lang w:val="en-GB"/>
              </w:rPr>
              <w:t xml:space="preserve">PASI 75 </w:t>
            </w:r>
            <w:r w:rsidR="00F57B33" w:rsidRPr="00743B1E">
              <w:rPr>
                <w:rFonts w:ascii="Times New Roman" w:hAnsi="Times New Roman" w:cs="Times New Roman"/>
                <w:b w:val="0"/>
                <w:bCs w:val="0"/>
                <w:sz w:val="20"/>
                <w:szCs w:val="20"/>
                <w:lang w:val="en-GB"/>
              </w:rPr>
              <w:t>Week</w:t>
            </w:r>
            <w:r w:rsidR="009B1D97" w:rsidRPr="00743B1E">
              <w:rPr>
                <w:rFonts w:ascii="Times New Roman" w:hAnsi="Times New Roman" w:cs="Times New Roman"/>
                <w:b w:val="0"/>
                <w:bCs w:val="0"/>
                <w:sz w:val="20"/>
                <w:szCs w:val="20"/>
                <w:lang w:val="en-GB"/>
              </w:rPr>
              <w:t xml:space="preserve"> </w:t>
            </w:r>
            <w:r w:rsidRPr="00743B1E">
              <w:rPr>
                <w:rFonts w:ascii="Times New Roman" w:hAnsi="Times New Roman" w:cs="Times New Roman"/>
                <w:b w:val="0"/>
                <w:bCs w:val="0"/>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549C895" w14:textId="77777777" w:rsidR="006369D0" w:rsidRPr="009B1D97" w:rsidRDefault="009A3932"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76</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0AA0D90B" w14:textId="77777777" w:rsidR="006369D0" w:rsidRPr="009B1D97" w:rsidRDefault="009A3932"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B1D97">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7B33776" w14:textId="77777777" w:rsidR="006369D0" w:rsidRPr="009B1D97" w:rsidRDefault="009A3932"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77</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11639A1D" w14:textId="77777777" w:rsidR="006369D0" w:rsidRPr="009B1D97" w:rsidRDefault="009A3932"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B1D97">
              <w:rPr>
                <w:rFonts w:ascii="Times New Roman" w:hAnsi="Times New Roman" w:cs="Times New Roman"/>
                <w:sz w:val="20"/>
                <w:szCs w:val="20"/>
                <w:lang w:val="en-GB"/>
              </w:rPr>
              <w:t>31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351C01C2" w14:textId="77777777" w:rsidR="006369D0" w:rsidRPr="009B1D97" w:rsidRDefault="009A3932"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77</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0E7C444C" w14:textId="713E2681" w:rsidR="006369D0" w:rsidRPr="009B1D97" w:rsidRDefault="00B10DD1"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15</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054E2C3" w14:textId="77777777" w:rsidR="006369D0" w:rsidRPr="009B1D97" w:rsidRDefault="009A3932"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71</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638C33CC" w14:textId="77777777" w:rsidR="006369D0" w:rsidRPr="009B1D97" w:rsidRDefault="009A3932"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B1D97">
              <w:rPr>
                <w:rFonts w:ascii="Times New Roman" w:hAnsi="Times New Roman" w:cs="Times New Roman"/>
                <w:sz w:val="20"/>
                <w:szCs w:val="20"/>
                <w:lang w:val="en-GB"/>
              </w:rPr>
              <w:t>47</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14ABF49A" w14:textId="77777777" w:rsidR="006369D0" w:rsidRPr="009B1D97" w:rsidRDefault="00A557FA"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76</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23D3631B" w14:textId="77777777" w:rsidR="006369D0" w:rsidRPr="009B1D97" w:rsidRDefault="00BF539D"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B1D97">
              <w:rPr>
                <w:rFonts w:ascii="Times New Roman" w:hAnsi="Times New Roman" w:cs="Times New Roman"/>
                <w:sz w:val="20"/>
                <w:szCs w:val="20"/>
                <w:lang w:val="en-GB"/>
              </w:rPr>
              <w:t>49-54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7F8DCE42" w14:textId="77777777" w:rsidR="006369D0" w:rsidRPr="009B1D97" w:rsidRDefault="00A557FA" w:rsidP="00677C01">
            <w:pPr>
              <w:spacing w:before="0" w:after="0" w:line="240" w:lineRule="auto"/>
              <w:jc w:val="center"/>
              <w:rPr>
                <w:rFonts w:ascii="Times New Roman" w:hAnsi="Times New Roman" w:cs="Times New Roman"/>
                <w:sz w:val="20"/>
                <w:szCs w:val="20"/>
                <w:lang w:val="en-GB"/>
              </w:rPr>
            </w:pPr>
            <w:r w:rsidRPr="009B1D97">
              <w:rPr>
                <w:rFonts w:ascii="Times New Roman" w:hAnsi="Times New Roman" w:cs="Times New Roman"/>
                <w:sz w:val="20"/>
                <w:szCs w:val="20"/>
                <w:lang w:val="en-GB"/>
              </w:rPr>
              <w:t>76</w:t>
            </w:r>
          </w:p>
        </w:tc>
        <w:tc>
          <w:tcPr>
            <w:tcW w:w="1064" w:type="dxa"/>
            <w:tcBorders>
              <w:top w:val="single" w:sz="4" w:space="0" w:color="000000" w:themeColor="text1"/>
              <w:bottom w:val="single" w:sz="12" w:space="0" w:color="auto"/>
              <w:right w:val="single" w:sz="12" w:space="0" w:color="auto"/>
            </w:tcBorders>
            <w:tcMar>
              <w:top w:w="28" w:type="dxa"/>
              <w:bottom w:w="28" w:type="dxa"/>
            </w:tcMar>
            <w:vAlign w:val="center"/>
          </w:tcPr>
          <w:p w14:paraId="7E2EB6CE" w14:textId="77777777" w:rsidR="006369D0" w:rsidRPr="009B1D97" w:rsidRDefault="00A557FA"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B1D97">
              <w:rPr>
                <w:rFonts w:ascii="Times New Roman" w:hAnsi="Times New Roman" w:cs="Times New Roman"/>
                <w:sz w:val="20"/>
                <w:szCs w:val="20"/>
                <w:lang w:val="en-GB"/>
              </w:rPr>
              <w:t>25</w:t>
            </w:r>
          </w:p>
        </w:tc>
      </w:tr>
    </w:tbl>
    <w:p w14:paraId="53EFD3BA" w14:textId="5499EC31" w:rsidR="00C1209B" w:rsidRPr="004722FF" w:rsidRDefault="00C1209B" w:rsidP="00C1209B">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Pr="004722FF">
        <w:rPr>
          <w:rFonts w:ascii="Times New Roman" w:hAnsi="Times New Roman" w:cs="Times New Roman"/>
          <w:b/>
          <w:sz w:val="20"/>
          <w:szCs w:val="20"/>
          <w:highlight w:val="lightGray"/>
          <w:lang w:val="en-GB"/>
        </w:rPr>
        <w:t>All data refer to head-to-head comparisons, except for the comparison between bimekizumab and ixekizumab, and between bimekizumab and risankizumab, which uses trials vs. placebo</w:t>
      </w:r>
      <w:r w:rsidRPr="004722FF">
        <w:rPr>
          <w:rFonts w:ascii="Times New Roman" w:hAnsi="Times New Roman" w:cs="Times New Roman"/>
          <w:sz w:val="20"/>
          <w:szCs w:val="20"/>
          <w:lang w:val="en-GB"/>
        </w:rPr>
        <w:t xml:space="preserve">(ii) </w:t>
      </w:r>
      <w:r w:rsidR="009B1D97" w:rsidRPr="004722FF">
        <w:rPr>
          <w:rFonts w:ascii="Times New Roman" w:hAnsi="Times New Roman" w:cs="Times New Roman"/>
          <w:sz w:val="20"/>
          <w:szCs w:val="20"/>
          <w:lang w:val="en-GB"/>
        </w:rPr>
        <w:t xml:space="preserve">the data are ordered according to the </w:t>
      </w:r>
      <w:r w:rsidR="009B1D97">
        <w:rPr>
          <w:rFonts w:ascii="Times New Roman" w:hAnsi="Times New Roman" w:cs="Times New Roman"/>
          <w:sz w:val="20"/>
          <w:szCs w:val="20"/>
          <w:lang w:val="en-GB"/>
        </w:rPr>
        <w:t>level</w:t>
      </w:r>
      <w:r w:rsidR="009B1D97" w:rsidRPr="004722FF">
        <w:rPr>
          <w:rFonts w:ascii="Times New Roman" w:hAnsi="Times New Roman" w:cs="Times New Roman"/>
          <w:sz w:val="20"/>
          <w:szCs w:val="20"/>
          <w:lang w:val="en-GB"/>
        </w:rPr>
        <w:t xml:space="preserve"> of clearance (from highest to lowest). (iii) </w:t>
      </w:r>
      <w:r w:rsidR="009B1D97">
        <w:rPr>
          <w:rFonts w:ascii="Times New Roman" w:hAnsi="Times New Roman" w:cs="Times New Roman"/>
          <w:sz w:val="20"/>
          <w:szCs w:val="20"/>
          <w:lang w:val="en-GB"/>
        </w:rPr>
        <w:t>D</w:t>
      </w:r>
      <w:r w:rsidR="009B1D97" w:rsidRPr="004722FF">
        <w:rPr>
          <w:rFonts w:ascii="Times New Roman" w:hAnsi="Times New Roman" w:cs="Times New Roman"/>
          <w:sz w:val="20"/>
          <w:szCs w:val="20"/>
          <w:lang w:val="en-GB"/>
        </w:rPr>
        <w:t xml:space="preserve">ata of trials that reflect the </w:t>
      </w:r>
      <w:r w:rsidR="009B1D97">
        <w:rPr>
          <w:rFonts w:ascii="Times New Roman" w:hAnsi="Times New Roman" w:cs="Times New Roman"/>
          <w:sz w:val="20"/>
          <w:szCs w:val="20"/>
          <w:lang w:val="en-GB"/>
        </w:rPr>
        <w:t>posology applied</w:t>
      </w:r>
      <w:r w:rsidR="009B1D97" w:rsidRPr="004722FF">
        <w:rPr>
          <w:rFonts w:ascii="Times New Roman" w:hAnsi="Times New Roman" w:cs="Times New Roman"/>
          <w:sz w:val="20"/>
          <w:szCs w:val="20"/>
          <w:lang w:val="en-GB"/>
        </w:rPr>
        <w:t xml:space="preserve"> in the technical </w:t>
      </w:r>
      <w:r w:rsidR="009B1D97">
        <w:rPr>
          <w:rFonts w:ascii="Times New Roman" w:hAnsi="Times New Roman" w:cs="Times New Roman"/>
          <w:sz w:val="20"/>
          <w:szCs w:val="20"/>
          <w:lang w:val="en-GB"/>
        </w:rPr>
        <w:t xml:space="preserve">product specification </w:t>
      </w:r>
      <w:r w:rsidR="009B1D97" w:rsidRPr="004722FF">
        <w:rPr>
          <w:rFonts w:ascii="Times New Roman" w:hAnsi="Times New Roman" w:cs="Times New Roman"/>
          <w:sz w:val="20"/>
          <w:szCs w:val="20"/>
          <w:lang w:val="en-GB"/>
        </w:rPr>
        <w:t>have been prioritized</w:t>
      </w:r>
      <w:r w:rsidRPr="004722FF">
        <w:rPr>
          <w:rFonts w:ascii="Times New Roman" w:hAnsi="Times New Roman" w:cs="Times New Roman"/>
          <w:sz w:val="20"/>
          <w:szCs w:val="20"/>
          <w:lang w:val="en-GB"/>
        </w:rPr>
        <w:t xml:space="preserve">. PASI 75 = improvement in </w:t>
      </w:r>
      <w:r w:rsidR="009B1D97">
        <w:rPr>
          <w:rFonts w:ascii="Times New Roman" w:hAnsi="Times New Roman" w:cs="Times New Roman"/>
          <w:sz w:val="20"/>
          <w:szCs w:val="20"/>
          <w:lang w:val="en-GB"/>
        </w:rPr>
        <w:t>the level of clearance</w:t>
      </w:r>
      <w:r w:rsidRPr="004722FF">
        <w:rPr>
          <w:rFonts w:ascii="Times New Roman" w:hAnsi="Times New Roman" w:cs="Times New Roman"/>
          <w:sz w:val="20"/>
          <w:szCs w:val="20"/>
          <w:lang w:val="en-GB"/>
        </w:rPr>
        <w:t xml:space="preserve"> of ≥75% compared to the start of treatment. BKZ: Bimekizumab. PBO: placebo. ADA: Adalimumab. UST: Ustekinumab. SEC: Secukinumab. IXE: Ixekizumab. RIS: Risankizumab.</w:t>
      </w:r>
    </w:p>
    <w:p w14:paraId="329A6907" w14:textId="26DF61A5" w:rsidR="00633C7D" w:rsidRPr="00743B1E" w:rsidRDefault="00633C7D" w:rsidP="006A074F">
      <w:pPr>
        <w:pStyle w:val="TITULOTABLASYFIGURAS"/>
        <w:spacing w:before="360"/>
        <w:ind w:left="709"/>
        <w:rPr>
          <w:rFonts w:ascii="Times New Roman" w:hAnsi="Times New Roman" w:cs="Times New Roman"/>
          <w:b/>
          <w:bCs/>
          <w:smallCaps w:val="0"/>
          <w:color w:val="auto"/>
          <w:sz w:val="22"/>
          <w:szCs w:val="22"/>
          <w:lang w:val="en-GB"/>
        </w:rPr>
      </w:pPr>
      <w:bookmarkStart w:id="102" w:name="_Toc89078651"/>
      <w:r w:rsidRPr="00743B1E">
        <w:rPr>
          <w:rFonts w:ascii="Times New Roman" w:hAnsi="Times New Roman" w:cs="Times New Roman"/>
          <w:b/>
          <w:bCs/>
          <w:smallCaps w:val="0"/>
          <w:color w:val="auto"/>
          <w:sz w:val="22"/>
          <w:szCs w:val="22"/>
          <w:lang w:val="en-GB"/>
        </w:rPr>
        <w:t xml:space="preserve">Table </w:t>
      </w:r>
      <w:r w:rsidR="00DD2517">
        <w:rPr>
          <w:rFonts w:ascii="Times New Roman" w:hAnsi="Times New Roman" w:cs="Times New Roman"/>
          <w:b/>
          <w:bCs/>
          <w:smallCaps w:val="0"/>
          <w:color w:val="auto"/>
          <w:sz w:val="22"/>
          <w:szCs w:val="22"/>
          <w:lang w:val="en-GB"/>
        </w:rPr>
        <w:t>(S1).</w:t>
      </w:r>
      <w:r w:rsidRPr="00743B1E">
        <w:rPr>
          <w:rFonts w:ascii="Times New Roman" w:hAnsi="Times New Roman" w:cs="Times New Roman"/>
          <w:b/>
          <w:bCs/>
          <w:smallCaps w:val="0"/>
          <w:color w:val="auto"/>
          <w:sz w:val="22"/>
          <w:szCs w:val="22"/>
          <w:lang w:val="en-GB"/>
        </w:rPr>
        <w:fldChar w:fldCharType="begin"/>
      </w:r>
      <w:r w:rsidRPr="00743B1E">
        <w:rPr>
          <w:rFonts w:ascii="Times New Roman" w:hAnsi="Times New Roman" w:cs="Times New Roman"/>
          <w:b/>
          <w:bCs/>
          <w:smallCaps w:val="0"/>
          <w:color w:val="auto"/>
          <w:sz w:val="22"/>
          <w:szCs w:val="22"/>
          <w:lang w:val="en-GB"/>
        </w:rPr>
        <w:instrText xml:space="preserve"> SEQ Tabla \* ARABIC </w:instrText>
      </w:r>
      <w:r w:rsidRPr="00743B1E">
        <w:rPr>
          <w:rFonts w:ascii="Times New Roman" w:hAnsi="Times New Roman" w:cs="Times New Roman"/>
          <w:b/>
          <w:bCs/>
          <w:smallCaps w:val="0"/>
          <w:color w:val="auto"/>
          <w:sz w:val="22"/>
          <w:szCs w:val="22"/>
          <w:lang w:val="en-GB"/>
        </w:rPr>
        <w:fldChar w:fldCharType="separate"/>
      </w:r>
      <w:r w:rsidR="00A35209" w:rsidRPr="00743B1E">
        <w:rPr>
          <w:rFonts w:ascii="Times New Roman" w:hAnsi="Times New Roman" w:cs="Times New Roman"/>
          <w:b/>
          <w:bCs/>
          <w:smallCaps w:val="0"/>
          <w:noProof/>
          <w:color w:val="auto"/>
          <w:sz w:val="22"/>
          <w:szCs w:val="22"/>
          <w:lang w:val="en-GB"/>
        </w:rPr>
        <w:t>5</w:t>
      </w:r>
      <w:r w:rsidRPr="00743B1E">
        <w:rPr>
          <w:rFonts w:ascii="Times New Roman" w:hAnsi="Times New Roman" w:cs="Times New Roman"/>
          <w:b/>
          <w:bCs/>
          <w:smallCaps w:val="0"/>
          <w:color w:val="auto"/>
          <w:sz w:val="22"/>
          <w:szCs w:val="22"/>
          <w:lang w:val="en-GB"/>
        </w:rPr>
        <w:fldChar w:fldCharType="end"/>
      </w:r>
      <w:r w:rsidRPr="00743B1E">
        <w:rPr>
          <w:rFonts w:ascii="Times New Roman" w:hAnsi="Times New Roman" w:cs="Times New Roman"/>
          <w:b/>
          <w:bCs/>
          <w:smallCaps w:val="0"/>
          <w:color w:val="auto"/>
          <w:sz w:val="22"/>
          <w:szCs w:val="22"/>
          <w:lang w:val="en-GB"/>
        </w:rPr>
        <w:t xml:space="preserve">: </w:t>
      </w:r>
      <w:r w:rsidR="0032236E">
        <w:rPr>
          <w:rFonts w:ascii="Times New Roman" w:hAnsi="Times New Roman" w:cs="Times New Roman"/>
          <w:b/>
          <w:bCs/>
          <w:smallCaps w:val="0"/>
          <w:color w:val="auto"/>
          <w:sz w:val="22"/>
          <w:szCs w:val="22"/>
          <w:lang w:val="en-GB"/>
        </w:rPr>
        <w:t>Rapidity</w:t>
      </w:r>
      <w:r w:rsidRPr="00743B1E">
        <w:rPr>
          <w:rFonts w:ascii="Times New Roman" w:hAnsi="Times New Roman" w:cs="Times New Roman"/>
          <w:b/>
          <w:bCs/>
          <w:smallCaps w:val="0"/>
          <w:color w:val="auto"/>
          <w:sz w:val="22"/>
          <w:szCs w:val="22"/>
          <w:lang w:val="en-GB"/>
        </w:rPr>
        <w:t xml:space="preserve"> ​​of clearance, response time to achieve specified objectives, in weeks</w:t>
      </w:r>
      <w:bookmarkEnd w:id="102"/>
      <w:r w:rsidRPr="00743B1E">
        <w:rPr>
          <w:rFonts w:ascii="Times New Roman" w:hAnsi="Times New Roman" w:cs="Times New Roman"/>
          <w:b/>
          <w:bCs/>
          <w:smallCaps w:val="0"/>
          <w:color w:val="auto"/>
          <w:sz w:val="22"/>
          <w:szCs w:val="22"/>
          <w:lang w:val="en-GB"/>
        </w:rPr>
        <w:t xml:space="preserve"> </w:t>
      </w:r>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151751" w14:paraId="2FB63936" w14:textId="77777777" w:rsidTr="006F6A5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68BBFEF1" w14:textId="77777777" w:rsidR="002D322E" w:rsidRPr="00151751" w:rsidRDefault="002D322E" w:rsidP="002D322E">
            <w:pPr>
              <w:spacing w:before="0" w:after="0" w:line="240" w:lineRule="auto"/>
              <w:jc w:val="left"/>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F3055BF" w14:textId="77777777" w:rsidR="002D322E" w:rsidRPr="00151751" w:rsidRDefault="002D322E" w:rsidP="002D322E">
            <w:pPr>
              <w:spacing w:before="0" w:after="0" w:line="240" w:lineRule="auto"/>
              <w:jc w:val="center"/>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w:t>
            </w:r>
          </w:p>
        </w:tc>
        <w:tc>
          <w:tcPr>
            <w:tcW w:w="2126" w:type="dxa"/>
            <w:gridSpan w:val="2"/>
            <w:tcBorders>
              <w:bottom w:val="single" w:sz="12" w:space="0" w:color="auto"/>
            </w:tcBorders>
            <w:tcMar>
              <w:top w:w="28" w:type="dxa"/>
              <w:bottom w:w="28" w:type="dxa"/>
            </w:tcMar>
            <w:vAlign w:val="center"/>
          </w:tcPr>
          <w:p w14:paraId="4C562CF8" w14:textId="2C339F63" w:rsidR="002D322E" w:rsidRPr="00151751" w:rsidRDefault="002D322E" w:rsidP="002D322E">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Lebwohl (2021)</w:t>
            </w:r>
            <w:r w:rsidRPr="00151751">
              <w:rPr>
                <w:rFonts w:ascii="Times New Roman" w:hAnsi="Times New Roman" w:cs="Times New Roman"/>
                <w:sz w:val="20"/>
                <w:szCs w:val="20"/>
                <w:lang w:val="en-GB"/>
              </w:rPr>
              <w:fldChar w:fldCharType="begin"/>
            </w:r>
            <w:r w:rsidR="007A0A45" w:rsidRPr="00151751">
              <w:rPr>
                <w:rFonts w:ascii="Times New Roman" w:hAnsi="Times New Roman" w:cs="Times New Roman"/>
                <w:color w:val="auto"/>
                <w:sz w:val="20"/>
                <w:szCs w:val="20"/>
                <w:lang w:val="en-GB"/>
              </w:rPr>
              <w:instrText xml:space="preserve"> ADDIN ZOTERO_ITEM CSL_CITATION {"citationID":"JUAYwdqF","properties":{"formattedCitation":"\\super 44\\nosupersub{}","plainCitation":"44","noteIndex":0},"citationItems":[{"id":57168,"uris":["http://zotero.org/groups/337550/items/RD2A3W8Y"],"uri":["http://zotero.org/groups/337550/items/RD2A3W8Y"],"itemData":{"id":57168,"type":"paper-conference","container-title":"American Academy of Dermatology Virtual Meeting Experience (AAD VMX)","language":"EN","title":"Speed of clinical response and improvement in psoriasis with bimekizumab: Pooled results from the multicenter, randomized, double-blinded phase 3 BE VIVID, BE READY and BE SURE trials","author":[{"family":"Lebwohl","given":"Mark"},{"family":"Hampton","given":"Philip"},{"family":"Morita","given":"Akimichi"},{"family":"Reich","given":"Kristian"},{"family":"Lambert","given":"Jo"},{"family":"Cullen","given":"Eva"},{"family":"Cioffi","given":"Cristopher"},{"family":"Wang","given":"Maggie"},{"family":"Madden","given":"Cynthia"},{"family":"Langley","given":"Richard G."}],"issued":{"date-parts":[["2021"]]}}}],"schema":"https://github.com/citation-style-language/schema/raw/master/csl-citation.json"} </w:instrText>
            </w:r>
            <w:r w:rsidRPr="00151751">
              <w:rPr>
                <w:rFonts w:ascii="Times New Roman" w:hAnsi="Times New Roman" w:cs="Times New Roman"/>
                <w:sz w:val="20"/>
                <w:szCs w:val="20"/>
                <w:lang w:val="en-GB"/>
              </w:rPr>
              <w:fldChar w:fldCharType="separate"/>
            </w:r>
            <w:r w:rsidR="007A0A45" w:rsidRPr="00151751">
              <w:rPr>
                <w:rFonts w:ascii="Times New Roman" w:hAnsi="Times New Roman" w:cs="Times New Roman"/>
                <w:sz w:val="20"/>
                <w:szCs w:val="20"/>
                <w:vertAlign w:val="superscript"/>
              </w:rPr>
              <w:t>44</w:t>
            </w:r>
            <w:r w:rsidRPr="00151751">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210802DB" w14:textId="0AFA6F13" w:rsidR="002D322E" w:rsidRPr="00151751" w:rsidRDefault="002D322E" w:rsidP="002D322E">
            <w:pPr>
              <w:spacing w:before="0" w:after="0" w:line="240" w:lineRule="auto"/>
              <w:jc w:val="center"/>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Lebwohl (2021)</w:t>
            </w:r>
            <w:r w:rsidRPr="00151751">
              <w:rPr>
                <w:rFonts w:ascii="Times New Roman" w:hAnsi="Times New Roman" w:cs="Times New Roman"/>
                <w:sz w:val="20"/>
                <w:szCs w:val="20"/>
                <w:lang w:val="en-GB"/>
              </w:rPr>
              <w:fldChar w:fldCharType="begin"/>
            </w:r>
            <w:r w:rsidR="007A0A45" w:rsidRPr="00151751">
              <w:rPr>
                <w:rFonts w:ascii="Times New Roman" w:hAnsi="Times New Roman" w:cs="Times New Roman"/>
                <w:color w:val="auto"/>
                <w:sz w:val="20"/>
                <w:szCs w:val="20"/>
                <w:lang w:val="en-GB"/>
              </w:rPr>
              <w:instrText xml:space="preserve"> ADDIN ZOTERO_ITEM CSL_CITATION {"citationID":"u112Gnlh","properties":{"formattedCitation":"\\super 44\\nosupersub{}","plainCitation":"44","noteIndex":0},"citationItems":[{"id":57168,"uris":["http://zotero.org/groups/337550/items/RD2A3W8Y"],"uri":["http://zotero.org/groups/337550/items/RD2A3W8Y"],"itemData":{"id":57168,"type":"paper-conference","container-title":"American Academy of Dermatology Virtual Meeting Experience (AAD VMX)","language":"EN","title":"Speed of clinical response and improvement in psoriasis with bimekizumab: Pooled results from the multicenter, randomized, double-blinded phase 3 BE VIVID, BE READY and BE SURE trials","author":[{"family":"Lebwohl","given":"Mark"},{"family":"Hampton","given":"Philip"},{"family":"Morita","given":"Akimichi"},{"family":"Reich","given":"Kristian"},{"family":"Lambert","given":"Jo"},{"family":"Cullen","given":"Eva"},{"family":"Cioffi","given":"Cristopher"},{"family":"Wang","given":"Maggie"},{"family":"Madden","given":"Cynthia"},{"family":"Langley","given":"Richard G."}],"issued":{"date-parts":[["2021"]]}}}],"schema":"https://github.com/citation-style-language/schema/raw/master/csl-citation.json"} </w:instrText>
            </w:r>
            <w:r w:rsidRPr="00151751">
              <w:rPr>
                <w:rFonts w:ascii="Times New Roman" w:hAnsi="Times New Roman" w:cs="Times New Roman"/>
                <w:sz w:val="20"/>
                <w:szCs w:val="20"/>
                <w:lang w:val="en-GB"/>
              </w:rPr>
              <w:fldChar w:fldCharType="separate"/>
            </w:r>
            <w:r w:rsidR="007A0A45" w:rsidRPr="00151751">
              <w:rPr>
                <w:rFonts w:ascii="Times New Roman" w:hAnsi="Times New Roman" w:cs="Times New Roman"/>
                <w:sz w:val="20"/>
                <w:szCs w:val="20"/>
                <w:vertAlign w:val="superscript"/>
              </w:rPr>
              <w:t>44</w:t>
            </w:r>
            <w:r w:rsidRPr="00151751">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4B626074" w14:textId="77777777" w:rsidR="002D322E" w:rsidRPr="00151751" w:rsidRDefault="002D322E" w:rsidP="002D322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181B1444" w14:textId="77777777" w:rsidR="002D322E" w:rsidRPr="00151751" w:rsidRDefault="002D322E" w:rsidP="002D322E">
            <w:pPr>
              <w:spacing w:before="0" w:after="0" w:line="240" w:lineRule="auto"/>
              <w:jc w:val="center"/>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61E52B2D" w14:textId="77777777" w:rsidR="002D322E" w:rsidRPr="00151751" w:rsidRDefault="002D322E" w:rsidP="002D322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51751">
              <w:rPr>
                <w:rFonts w:ascii="Times New Roman" w:hAnsi="Times New Roman" w:cs="Times New Roman"/>
                <w:color w:val="auto"/>
                <w:sz w:val="20"/>
                <w:szCs w:val="20"/>
                <w:lang w:val="en-GB"/>
              </w:rPr>
              <w:t>-</w:t>
            </w:r>
          </w:p>
        </w:tc>
      </w:tr>
      <w:tr w:rsidR="002A1DD3" w:rsidRPr="00151751" w14:paraId="28EF9567" w14:textId="77777777" w:rsidTr="006F6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61A57F3" w14:textId="77777777" w:rsidR="002D322E" w:rsidRPr="00151751" w:rsidRDefault="002D322E" w:rsidP="002D322E">
            <w:pPr>
              <w:spacing w:before="0" w:after="0" w:line="240" w:lineRule="auto"/>
              <w:jc w:val="left"/>
              <w:rPr>
                <w:rFonts w:ascii="Times New Roman" w:hAnsi="Times New Roman" w:cs="Times New Roman"/>
                <w:sz w:val="20"/>
                <w:szCs w:val="20"/>
                <w:lang w:val="en-GB"/>
              </w:rPr>
            </w:pPr>
            <w:r w:rsidRPr="00151751">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1BACE0B1"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tcMar>
              <w:top w:w="28" w:type="dxa"/>
              <w:bottom w:w="28" w:type="dxa"/>
            </w:tcMar>
            <w:vAlign w:val="center"/>
          </w:tcPr>
          <w:p w14:paraId="5234B0DB"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4A719122"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tcMar>
              <w:top w:w="28" w:type="dxa"/>
              <w:bottom w:w="28" w:type="dxa"/>
            </w:tcMar>
            <w:vAlign w:val="center"/>
          </w:tcPr>
          <w:p w14:paraId="01D99B73"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142D32F1"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tcMar>
              <w:top w:w="28" w:type="dxa"/>
              <w:bottom w:w="28" w:type="dxa"/>
            </w:tcMar>
            <w:vAlign w:val="center"/>
          </w:tcPr>
          <w:p w14:paraId="250808D1"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40470C6C"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tcMar>
              <w:top w:w="28" w:type="dxa"/>
              <w:bottom w:w="28" w:type="dxa"/>
            </w:tcMar>
            <w:vAlign w:val="center"/>
          </w:tcPr>
          <w:p w14:paraId="00B4648E"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23823C7B"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tcMar>
              <w:top w:w="28" w:type="dxa"/>
              <w:bottom w:w="28" w:type="dxa"/>
            </w:tcMar>
            <w:vAlign w:val="center"/>
          </w:tcPr>
          <w:p w14:paraId="56570A8F"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tcMar>
              <w:top w:w="28" w:type="dxa"/>
              <w:bottom w:w="28" w:type="dxa"/>
            </w:tcMar>
            <w:vAlign w:val="center"/>
          </w:tcPr>
          <w:p w14:paraId="643CE70D" w14:textId="77777777" w:rsidR="002D322E" w:rsidRPr="00151751" w:rsidRDefault="008136F8" w:rsidP="002D322E">
            <w:pPr>
              <w:spacing w:before="0" w:after="0" w:line="240" w:lineRule="auto"/>
              <w:jc w:val="center"/>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BKZ</w:t>
            </w:r>
          </w:p>
        </w:tc>
        <w:tc>
          <w:tcPr>
            <w:tcW w:w="1064" w:type="dxa"/>
            <w:tcBorders>
              <w:top w:val="single" w:sz="12" w:space="0" w:color="auto"/>
              <w:right w:val="single" w:sz="12" w:space="0" w:color="auto"/>
            </w:tcBorders>
            <w:tcMar>
              <w:top w:w="28" w:type="dxa"/>
              <w:bottom w:w="28" w:type="dxa"/>
            </w:tcMar>
            <w:vAlign w:val="center"/>
          </w:tcPr>
          <w:p w14:paraId="0F78D0D1"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51751">
              <w:rPr>
                <w:rFonts w:ascii="Times New Roman" w:hAnsi="Times New Roman" w:cs="Times New Roman"/>
                <w:b/>
                <w:bCs/>
                <w:sz w:val="20"/>
                <w:szCs w:val="20"/>
                <w:lang w:val="en-GB"/>
              </w:rPr>
              <w:t>RIS</w:t>
            </w:r>
          </w:p>
        </w:tc>
      </w:tr>
      <w:tr w:rsidR="00151751" w:rsidRPr="00151751" w14:paraId="095DBEF0" w14:textId="77777777" w:rsidTr="006F6A5F">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A436218" w14:textId="77777777" w:rsidR="002D322E" w:rsidRPr="00151751" w:rsidRDefault="002D322E" w:rsidP="002D322E">
            <w:pPr>
              <w:spacing w:before="0" w:after="0" w:line="240" w:lineRule="auto"/>
              <w:jc w:val="left"/>
              <w:rPr>
                <w:rFonts w:ascii="Times New Roman" w:hAnsi="Times New Roman" w:cs="Times New Roman"/>
                <w:b w:val="0"/>
                <w:bCs w:val="0"/>
                <w:sz w:val="20"/>
                <w:szCs w:val="20"/>
                <w:lang w:val="en-GB"/>
              </w:rPr>
            </w:pPr>
            <w:r w:rsidRPr="00151751">
              <w:rPr>
                <w:rFonts w:ascii="Times New Roman" w:hAnsi="Times New Roman" w:cs="Times New Roman"/>
                <w:b w:val="0"/>
                <w:bCs w:val="0"/>
                <w:sz w:val="20"/>
                <w:szCs w:val="20"/>
                <w:lang w:val="en-GB"/>
              </w:rPr>
              <w:t>PASI 100</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616E5BE"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7789E9D"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969B8C9"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12.1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7E2E95C"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&gt; 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71F4F75"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12.1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737F798"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&gt; 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92275FC"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A15105F"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52205D1"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546260D"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F2E95C4"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9346044"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r>
      <w:tr w:rsidR="004722FF" w:rsidRPr="00151751" w14:paraId="328947CC" w14:textId="77777777" w:rsidTr="006F6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C72B36F" w14:textId="77777777" w:rsidR="002D322E" w:rsidRPr="00151751" w:rsidRDefault="002D322E" w:rsidP="002D322E">
            <w:pPr>
              <w:spacing w:before="0" w:after="0" w:line="240" w:lineRule="auto"/>
              <w:jc w:val="left"/>
              <w:rPr>
                <w:rFonts w:ascii="Times New Roman" w:hAnsi="Times New Roman" w:cs="Times New Roman"/>
                <w:b w:val="0"/>
                <w:bCs w:val="0"/>
                <w:sz w:val="20"/>
                <w:szCs w:val="20"/>
                <w:lang w:val="en-GB"/>
              </w:rPr>
            </w:pPr>
            <w:r w:rsidRPr="00151751">
              <w:rPr>
                <w:rFonts w:ascii="Times New Roman" w:hAnsi="Times New Roman" w:cs="Times New Roman"/>
                <w:b w:val="0"/>
                <w:bCs w:val="0"/>
                <w:sz w:val="20"/>
                <w:szCs w:val="20"/>
                <w:lang w:val="en-GB"/>
              </w:rPr>
              <w:t>PASI 90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75A96A6"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9521261"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C97F64C"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8.0</w:t>
            </w:r>
          </w:p>
        </w:tc>
        <w:tc>
          <w:tcPr>
            <w:tcW w:w="1063" w:type="dxa"/>
            <w:tcBorders>
              <w:right w:val="single" w:sz="12" w:space="0" w:color="auto"/>
            </w:tcBorders>
            <w:tcMar>
              <w:top w:w="28" w:type="dxa"/>
              <w:bottom w:w="28" w:type="dxa"/>
            </w:tcMar>
            <w:vAlign w:val="center"/>
          </w:tcPr>
          <w:p w14:paraId="0CD07A09"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12.6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4E65621"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8.0</w:t>
            </w:r>
          </w:p>
        </w:tc>
        <w:tc>
          <w:tcPr>
            <w:tcW w:w="1063" w:type="dxa"/>
            <w:tcBorders>
              <w:right w:val="single" w:sz="12" w:space="0" w:color="auto"/>
            </w:tcBorders>
            <w:tcMar>
              <w:top w:w="28" w:type="dxa"/>
              <w:bottom w:w="28" w:type="dxa"/>
            </w:tcMar>
            <w:vAlign w:val="center"/>
          </w:tcPr>
          <w:p w14:paraId="038305EF"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12.6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4876269"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8D74603"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5A5C233"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317E196"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362723"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068835EC"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r>
      <w:tr w:rsidR="00151751" w:rsidRPr="00151751" w14:paraId="6DC17C44" w14:textId="77777777" w:rsidTr="006F6A5F">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7942544" w14:textId="77777777" w:rsidR="002D322E" w:rsidRPr="00151751" w:rsidRDefault="002D322E" w:rsidP="002D322E">
            <w:pPr>
              <w:spacing w:before="0" w:after="0" w:line="240" w:lineRule="auto"/>
              <w:jc w:val="left"/>
              <w:rPr>
                <w:rFonts w:ascii="Times New Roman" w:hAnsi="Times New Roman" w:cs="Times New Roman"/>
                <w:b w:val="0"/>
                <w:bCs w:val="0"/>
                <w:sz w:val="20"/>
                <w:szCs w:val="20"/>
                <w:lang w:val="en-GB"/>
              </w:rPr>
            </w:pPr>
            <w:r w:rsidRPr="00151751">
              <w:rPr>
                <w:rFonts w:ascii="Times New Roman" w:hAnsi="Times New Roman" w:cs="Times New Roman"/>
                <w:b w:val="0"/>
                <w:bCs w:val="0"/>
                <w:sz w:val="20"/>
                <w:szCs w:val="20"/>
                <w:lang w:val="en-GB"/>
              </w:rPr>
              <w:t>IGA 0/1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9667878"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B287A79"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AEF367D"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4.3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60A6500"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12.1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7D19A21"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4.3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F129165"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12.1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660AC60"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5C1D32A"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7CEC881"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2EEB2F5"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A5466C0"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2F6B66F"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r>
      <w:tr w:rsidR="004722FF" w:rsidRPr="00151751" w14:paraId="0B345EBB" w14:textId="77777777" w:rsidTr="006F6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2C92288" w14:textId="77777777" w:rsidR="002D322E" w:rsidRPr="00151751" w:rsidRDefault="002D322E" w:rsidP="002D322E">
            <w:pPr>
              <w:spacing w:before="0" w:after="0" w:line="240" w:lineRule="auto"/>
              <w:jc w:val="left"/>
              <w:rPr>
                <w:rFonts w:ascii="Times New Roman" w:hAnsi="Times New Roman" w:cs="Times New Roman"/>
                <w:b w:val="0"/>
                <w:bCs w:val="0"/>
                <w:sz w:val="20"/>
                <w:szCs w:val="20"/>
                <w:lang w:val="en-GB"/>
              </w:rPr>
            </w:pPr>
            <w:r w:rsidRPr="00151751">
              <w:rPr>
                <w:rFonts w:ascii="Times New Roman" w:hAnsi="Times New Roman" w:cs="Times New Roman"/>
                <w:b w:val="0"/>
                <w:bCs w:val="0"/>
                <w:sz w:val="20"/>
                <w:szCs w:val="20"/>
                <w:lang w:val="en-GB"/>
              </w:rPr>
              <w:t>PASI 75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93E8F8C"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2015ED64"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440CEA7"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4.0</w:t>
            </w:r>
          </w:p>
        </w:tc>
        <w:tc>
          <w:tcPr>
            <w:tcW w:w="1063" w:type="dxa"/>
            <w:tcBorders>
              <w:right w:val="single" w:sz="12" w:space="0" w:color="auto"/>
            </w:tcBorders>
            <w:tcMar>
              <w:top w:w="28" w:type="dxa"/>
              <w:bottom w:w="28" w:type="dxa"/>
            </w:tcMar>
            <w:vAlign w:val="center"/>
          </w:tcPr>
          <w:p w14:paraId="45448E6C"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8.3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2189016"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4.0</w:t>
            </w:r>
          </w:p>
        </w:tc>
        <w:tc>
          <w:tcPr>
            <w:tcW w:w="1063" w:type="dxa"/>
            <w:tcBorders>
              <w:right w:val="single" w:sz="12" w:space="0" w:color="auto"/>
            </w:tcBorders>
            <w:tcMar>
              <w:top w:w="28" w:type="dxa"/>
              <w:bottom w:w="28" w:type="dxa"/>
            </w:tcMar>
            <w:vAlign w:val="center"/>
          </w:tcPr>
          <w:p w14:paraId="335C8771"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8.4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FC4BFCE"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9FF4629"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1336458"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B9D4873"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BF164BA"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56B224A3" w14:textId="77777777" w:rsidR="002D322E" w:rsidRPr="00151751" w:rsidRDefault="002D322E" w:rsidP="002D322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r>
      <w:tr w:rsidR="002A1DD3" w:rsidRPr="00151751" w14:paraId="37906012" w14:textId="77777777" w:rsidTr="006F6A5F">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322D36B" w14:textId="77777777" w:rsidR="002D322E" w:rsidRPr="00151751" w:rsidRDefault="002D322E" w:rsidP="002D322E">
            <w:pPr>
              <w:spacing w:before="0" w:after="0" w:line="240" w:lineRule="auto"/>
              <w:jc w:val="left"/>
              <w:rPr>
                <w:rFonts w:ascii="Times New Roman" w:hAnsi="Times New Roman" w:cs="Times New Roman"/>
                <w:b w:val="0"/>
                <w:bCs w:val="0"/>
                <w:sz w:val="20"/>
                <w:szCs w:val="20"/>
                <w:lang w:val="en-GB"/>
              </w:rPr>
            </w:pPr>
            <w:r w:rsidRPr="00151751">
              <w:rPr>
                <w:rFonts w:ascii="Times New Roman" w:hAnsi="Times New Roman" w:cs="Times New Roman"/>
                <w:b w:val="0"/>
                <w:bCs w:val="0"/>
                <w:sz w:val="20"/>
                <w:szCs w:val="20"/>
                <w:lang w:val="en-GB"/>
              </w:rPr>
              <w:t>DLQI 0/1</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1A15A583"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4B7B4CF5"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4443FF3"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8.1</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59562B29"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12.3</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9C2B496"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8.1</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1D96BF87"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&gt; 16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3B3E5A23"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6214BE1D"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50CE50BA"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3" w:type="dxa"/>
            <w:tcBorders>
              <w:top w:val="single" w:sz="4" w:space="0" w:color="000000" w:themeColor="text1"/>
              <w:bottom w:val="single" w:sz="12" w:space="0" w:color="auto"/>
              <w:right w:val="single" w:sz="12" w:space="0" w:color="auto"/>
            </w:tcBorders>
            <w:tcMar>
              <w:top w:w="28" w:type="dxa"/>
              <w:bottom w:w="28" w:type="dxa"/>
            </w:tcMar>
            <w:vAlign w:val="center"/>
          </w:tcPr>
          <w:p w14:paraId="15FBC285"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12" w:space="0" w:color="auto"/>
            </w:tcBorders>
            <w:tcMar>
              <w:top w:w="28" w:type="dxa"/>
              <w:bottom w:w="28" w:type="dxa"/>
            </w:tcMar>
            <w:vAlign w:val="center"/>
          </w:tcPr>
          <w:p w14:paraId="76621EB6" w14:textId="77777777" w:rsidR="002D322E" w:rsidRPr="00151751" w:rsidRDefault="002D322E" w:rsidP="002D322E">
            <w:pPr>
              <w:spacing w:before="0" w:after="0" w:line="240" w:lineRule="auto"/>
              <w:jc w:val="center"/>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c>
          <w:tcPr>
            <w:tcW w:w="1064" w:type="dxa"/>
            <w:tcBorders>
              <w:top w:val="single" w:sz="4" w:space="0" w:color="000000" w:themeColor="text1"/>
              <w:bottom w:val="single" w:sz="12" w:space="0" w:color="auto"/>
              <w:right w:val="single" w:sz="12" w:space="0" w:color="auto"/>
            </w:tcBorders>
            <w:tcMar>
              <w:top w:w="28" w:type="dxa"/>
              <w:bottom w:w="28" w:type="dxa"/>
            </w:tcMar>
            <w:vAlign w:val="center"/>
          </w:tcPr>
          <w:p w14:paraId="2D412760" w14:textId="77777777" w:rsidR="002D322E" w:rsidRPr="00151751" w:rsidRDefault="002D322E" w:rsidP="002D322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51751">
              <w:rPr>
                <w:rFonts w:ascii="Times New Roman" w:hAnsi="Times New Roman" w:cs="Times New Roman"/>
                <w:sz w:val="20"/>
                <w:szCs w:val="20"/>
                <w:lang w:val="en-GB"/>
              </w:rPr>
              <w:t>-</w:t>
            </w:r>
          </w:p>
        </w:tc>
      </w:tr>
    </w:tbl>
    <w:p w14:paraId="38C27658" w14:textId="190F2E33" w:rsidR="00213E3A" w:rsidRDefault="00633C7D" w:rsidP="006A074F">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Pr="004722FF">
        <w:rPr>
          <w:rFonts w:ascii="Times New Roman" w:hAnsi="Times New Roman" w:cs="Times New Roman"/>
          <w:b/>
          <w:sz w:val="20"/>
          <w:szCs w:val="20"/>
          <w:highlight w:val="lightGray"/>
          <w:lang w:val="en-GB"/>
        </w:rPr>
        <w:t>All data refer to direct comparisons</w:t>
      </w:r>
      <w:r w:rsidRPr="004722FF">
        <w:rPr>
          <w:rFonts w:ascii="Times New Roman" w:hAnsi="Times New Roman" w:cs="Times New Roman"/>
          <w:sz w:val="20"/>
          <w:szCs w:val="20"/>
          <w:lang w:val="en-GB"/>
        </w:rPr>
        <w:t xml:space="preserve">(ii) the data are ordered according to the </w:t>
      </w:r>
      <w:r w:rsidR="00743B1E">
        <w:rPr>
          <w:rFonts w:ascii="Times New Roman" w:hAnsi="Times New Roman" w:cs="Times New Roman"/>
          <w:sz w:val="20"/>
          <w:szCs w:val="20"/>
          <w:lang w:val="en-GB"/>
        </w:rPr>
        <w:t>level of clearance</w:t>
      </w:r>
      <w:r w:rsidRPr="004722FF">
        <w:rPr>
          <w:rFonts w:ascii="Times New Roman" w:hAnsi="Times New Roman" w:cs="Times New Roman"/>
          <w:sz w:val="20"/>
          <w:szCs w:val="20"/>
          <w:lang w:val="en-GB"/>
        </w:rPr>
        <w:t xml:space="preserve"> (from highest to lowest). (iii) </w:t>
      </w:r>
      <w:r w:rsidR="00743B1E">
        <w:rPr>
          <w:rFonts w:ascii="Times New Roman" w:hAnsi="Times New Roman" w:cs="Times New Roman"/>
          <w:sz w:val="20"/>
          <w:szCs w:val="20"/>
          <w:lang w:val="en-GB"/>
        </w:rPr>
        <w:t>D</w:t>
      </w:r>
      <w:r w:rsidR="00743B1E" w:rsidRPr="004722FF">
        <w:rPr>
          <w:rFonts w:ascii="Times New Roman" w:hAnsi="Times New Roman" w:cs="Times New Roman"/>
          <w:sz w:val="20"/>
          <w:szCs w:val="20"/>
          <w:lang w:val="en-GB"/>
        </w:rPr>
        <w:t xml:space="preserve">ata of trials that reflect the </w:t>
      </w:r>
      <w:r w:rsidR="00743B1E">
        <w:rPr>
          <w:rFonts w:ascii="Times New Roman" w:hAnsi="Times New Roman" w:cs="Times New Roman"/>
          <w:sz w:val="20"/>
          <w:szCs w:val="20"/>
          <w:lang w:val="en-GB"/>
        </w:rPr>
        <w:t>posology applied</w:t>
      </w:r>
      <w:r w:rsidR="00743B1E" w:rsidRPr="004722FF">
        <w:rPr>
          <w:rFonts w:ascii="Times New Roman" w:hAnsi="Times New Roman" w:cs="Times New Roman"/>
          <w:sz w:val="20"/>
          <w:szCs w:val="20"/>
          <w:lang w:val="en-GB"/>
        </w:rPr>
        <w:t xml:space="preserve"> in the technical </w:t>
      </w:r>
      <w:r w:rsidR="00743B1E">
        <w:rPr>
          <w:rFonts w:ascii="Times New Roman" w:hAnsi="Times New Roman" w:cs="Times New Roman"/>
          <w:sz w:val="20"/>
          <w:szCs w:val="20"/>
          <w:lang w:val="en-GB"/>
        </w:rPr>
        <w:t xml:space="preserve">product specification </w:t>
      </w:r>
      <w:r w:rsidR="00743B1E" w:rsidRPr="004722FF">
        <w:rPr>
          <w:rFonts w:ascii="Times New Roman" w:hAnsi="Times New Roman" w:cs="Times New Roman"/>
          <w:sz w:val="20"/>
          <w:szCs w:val="20"/>
          <w:lang w:val="en-GB"/>
        </w:rPr>
        <w:t>have been prioritized</w:t>
      </w:r>
      <w:r w:rsidRPr="004722FF">
        <w:rPr>
          <w:rFonts w:ascii="Times New Roman" w:hAnsi="Times New Roman" w:cs="Times New Roman"/>
          <w:sz w:val="20"/>
          <w:szCs w:val="20"/>
          <w:lang w:val="en-GB"/>
        </w:rPr>
        <w:t xml:space="preserve">. PASI 75/90/100 = improvement in </w:t>
      </w:r>
      <w:r w:rsidR="00743B1E">
        <w:rPr>
          <w:rFonts w:ascii="Times New Roman" w:hAnsi="Times New Roman" w:cs="Times New Roman"/>
          <w:sz w:val="20"/>
          <w:szCs w:val="20"/>
          <w:lang w:val="en-GB"/>
        </w:rPr>
        <w:t>the level of clearance</w:t>
      </w:r>
      <w:r w:rsidRPr="004722FF">
        <w:rPr>
          <w:rFonts w:ascii="Times New Roman" w:hAnsi="Times New Roman" w:cs="Times New Roman"/>
          <w:sz w:val="20"/>
          <w:szCs w:val="20"/>
          <w:lang w:val="en-GB"/>
        </w:rPr>
        <w:t xml:space="preserve"> of ≥ 75/90/100% compared to the start of treatment. IGA: Investigators' Global Assessment, where 0 means complete clearance, and 1, almost complete clearance. BKZ: Bimekizumab. PBO: placebo. ADA: Adalimumab. UST: Ustekinumab. SEC: Secukinumab. IXE: Ixekizumab. RIS: Risankizumab.</w:t>
      </w:r>
    </w:p>
    <w:p w14:paraId="766C15DE" w14:textId="2B8FE075" w:rsidR="00DD2517" w:rsidRDefault="00DD2517" w:rsidP="006A074F">
      <w:pPr>
        <w:spacing w:before="120" w:line="240" w:lineRule="auto"/>
        <w:ind w:left="709"/>
        <w:rPr>
          <w:rFonts w:ascii="Times New Roman" w:hAnsi="Times New Roman" w:cs="Times New Roman"/>
          <w:sz w:val="20"/>
          <w:szCs w:val="20"/>
          <w:lang w:val="en-GB"/>
        </w:rPr>
      </w:pPr>
    </w:p>
    <w:p w14:paraId="49A2B741" w14:textId="77777777" w:rsidR="00DD2517" w:rsidRPr="004722FF" w:rsidRDefault="00DD2517" w:rsidP="006A074F">
      <w:pPr>
        <w:spacing w:before="120" w:line="240" w:lineRule="auto"/>
        <w:ind w:left="709"/>
        <w:rPr>
          <w:rFonts w:ascii="Times New Roman" w:hAnsi="Times New Roman" w:cs="Times New Roman"/>
          <w:sz w:val="20"/>
          <w:szCs w:val="20"/>
          <w:lang w:val="en-GB"/>
        </w:rPr>
      </w:pPr>
    </w:p>
    <w:p w14:paraId="1742E5B6" w14:textId="77777777" w:rsidR="00213E3A" w:rsidRPr="004722FF" w:rsidRDefault="00213E3A" w:rsidP="00B406C9">
      <w:pPr>
        <w:spacing w:before="120" w:line="240" w:lineRule="auto"/>
        <w:ind w:left="993"/>
        <w:jc w:val="left"/>
        <w:rPr>
          <w:rFonts w:ascii="Times New Roman" w:hAnsi="Times New Roman" w:cs="Times New Roman"/>
          <w:sz w:val="20"/>
          <w:szCs w:val="20"/>
          <w:lang w:val="en-GB"/>
        </w:rPr>
      </w:pPr>
    </w:p>
    <w:p w14:paraId="7C73457D" w14:textId="77777777" w:rsidR="00C3551E" w:rsidRPr="004722FF" w:rsidRDefault="00C3551E" w:rsidP="00B406C9">
      <w:pPr>
        <w:spacing w:before="120" w:line="240" w:lineRule="auto"/>
        <w:ind w:left="993"/>
        <w:jc w:val="left"/>
        <w:rPr>
          <w:rFonts w:ascii="Times New Roman" w:hAnsi="Times New Roman" w:cs="Times New Roman"/>
          <w:sz w:val="20"/>
          <w:szCs w:val="20"/>
          <w:lang w:val="en-GB"/>
        </w:rPr>
      </w:pPr>
    </w:p>
    <w:p w14:paraId="6D3DCC76" w14:textId="2912855E" w:rsidR="004127E3" w:rsidRDefault="004127E3" w:rsidP="00B406C9">
      <w:pPr>
        <w:spacing w:before="120" w:line="240" w:lineRule="auto"/>
        <w:ind w:left="993"/>
        <w:jc w:val="left"/>
        <w:rPr>
          <w:rFonts w:ascii="Times New Roman" w:hAnsi="Times New Roman" w:cs="Times New Roman"/>
          <w:sz w:val="20"/>
          <w:szCs w:val="20"/>
          <w:lang w:val="en-GB"/>
        </w:rPr>
      </w:pPr>
    </w:p>
    <w:p w14:paraId="4693226B" w14:textId="77777777" w:rsidR="00BB6D22" w:rsidRPr="004722FF" w:rsidRDefault="00BB6D22" w:rsidP="00B406C9">
      <w:pPr>
        <w:spacing w:before="120" w:line="240" w:lineRule="auto"/>
        <w:ind w:left="993"/>
        <w:jc w:val="left"/>
        <w:rPr>
          <w:rFonts w:ascii="Times New Roman" w:hAnsi="Times New Roman" w:cs="Times New Roman"/>
          <w:sz w:val="20"/>
          <w:szCs w:val="20"/>
          <w:lang w:val="en-GB"/>
        </w:rPr>
      </w:pPr>
    </w:p>
    <w:p w14:paraId="76D9B50A" w14:textId="77777777" w:rsidR="00213E3A" w:rsidRPr="004722FF" w:rsidRDefault="00213E3A" w:rsidP="00B406C9">
      <w:pPr>
        <w:spacing w:before="120" w:line="240" w:lineRule="auto"/>
        <w:ind w:left="993"/>
        <w:jc w:val="left"/>
        <w:rPr>
          <w:rFonts w:ascii="Times New Roman" w:hAnsi="Times New Roman" w:cs="Times New Roman"/>
          <w:sz w:val="16"/>
          <w:szCs w:val="16"/>
          <w:lang w:val="en-GB"/>
        </w:rPr>
      </w:pPr>
    </w:p>
    <w:p w14:paraId="1903294F" w14:textId="2B5EA7FF" w:rsidR="001D179C" w:rsidRPr="00BB6D22" w:rsidRDefault="00BB6D22" w:rsidP="00B406C9">
      <w:pPr>
        <w:pStyle w:val="Ttulo2"/>
        <w:numPr>
          <w:ilvl w:val="1"/>
          <w:numId w:val="1"/>
        </w:numPr>
        <w:spacing w:before="120" w:line="240" w:lineRule="auto"/>
        <w:ind w:left="993" w:firstLine="0"/>
        <w:rPr>
          <w:rFonts w:ascii="Times New Roman" w:hAnsi="Times New Roman" w:cs="Times New Roman"/>
          <w:b/>
          <w:bCs/>
          <w:smallCaps w:val="0"/>
          <w:color w:val="auto"/>
          <w:sz w:val="22"/>
          <w:szCs w:val="22"/>
          <w:lang w:val="en-GB"/>
        </w:rPr>
      </w:pPr>
      <w:bookmarkStart w:id="103" w:name="_Toc89351165"/>
      <w:r>
        <w:rPr>
          <w:rFonts w:ascii="Times New Roman" w:hAnsi="Times New Roman" w:cs="Times New Roman"/>
          <w:b/>
          <w:bCs/>
          <w:smallCaps w:val="0"/>
          <w:color w:val="auto"/>
          <w:sz w:val="24"/>
          <w:szCs w:val="24"/>
          <w:lang w:val="en-GB"/>
        </w:rPr>
        <w:lastRenderedPageBreak/>
        <w:t>Persistence of clearance</w:t>
      </w:r>
      <w:bookmarkEnd w:id="103"/>
    </w:p>
    <w:p w14:paraId="29548C19" w14:textId="3D503D73" w:rsidR="00E70DB1" w:rsidRPr="00BB6D22" w:rsidRDefault="00E70DB1" w:rsidP="00E70DB1">
      <w:pPr>
        <w:pStyle w:val="TITULOTABLASYFIGURAS"/>
        <w:spacing w:before="360"/>
        <w:ind w:left="709"/>
        <w:rPr>
          <w:rFonts w:ascii="Times New Roman" w:hAnsi="Times New Roman" w:cs="Times New Roman"/>
          <w:b/>
          <w:bCs/>
          <w:smallCaps w:val="0"/>
          <w:color w:val="auto"/>
          <w:sz w:val="22"/>
          <w:szCs w:val="22"/>
          <w:lang w:val="en-GB"/>
        </w:rPr>
      </w:pPr>
      <w:bookmarkStart w:id="104" w:name="_Toc89078652"/>
      <w:r w:rsidRPr="00BB6D22">
        <w:rPr>
          <w:rFonts w:ascii="Times New Roman" w:hAnsi="Times New Roman" w:cs="Times New Roman"/>
          <w:b/>
          <w:bCs/>
          <w:smallCaps w:val="0"/>
          <w:color w:val="auto"/>
          <w:sz w:val="22"/>
          <w:szCs w:val="22"/>
          <w:lang w:val="en-GB"/>
        </w:rPr>
        <w:t xml:space="preserve">Table </w:t>
      </w:r>
      <w:r w:rsidR="0077148E">
        <w:rPr>
          <w:rFonts w:ascii="Times New Roman" w:hAnsi="Times New Roman" w:cs="Times New Roman"/>
          <w:b/>
          <w:bCs/>
          <w:smallCaps w:val="0"/>
          <w:color w:val="auto"/>
          <w:sz w:val="22"/>
          <w:szCs w:val="22"/>
          <w:lang w:val="en-GB"/>
        </w:rPr>
        <w:t>(S1).</w:t>
      </w:r>
      <w:r w:rsidRPr="00BB6D22">
        <w:rPr>
          <w:rFonts w:ascii="Times New Roman" w:hAnsi="Times New Roman" w:cs="Times New Roman"/>
          <w:b/>
          <w:bCs/>
          <w:smallCaps w:val="0"/>
          <w:color w:val="auto"/>
          <w:sz w:val="22"/>
          <w:szCs w:val="22"/>
          <w:lang w:val="en-GB"/>
        </w:rPr>
        <w:fldChar w:fldCharType="begin"/>
      </w:r>
      <w:r w:rsidRPr="00BB6D22">
        <w:rPr>
          <w:rFonts w:ascii="Times New Roman" w:hAnsi="Times New Roman" w:cs="Times New Roman"/>
          <w:b/>
          <w:bCs/>
          <w:smallCaps w:val="0"/>
          <w:color w:val="auto"/>
          <w:sz w:val="22"/>
          <w:szCs w:val="22"/>
          <w:lang w:val="en-GB"/>
        </w:rPr>
        <w:instrText xml:space="preserve"> SEQ Tabla \* ARABIC </w:instrText>
      </w:r>
      <w:r w:rsidRPr="00BB6D22">
        <w:rPr>
          <w:rFonts w:ascii="Times New Roman" w:hAnsi="Times New Roman" w:cs="Times New Roman"/>
          <w:b/>
          <w:bCs/>
          <w:smallCaps w:val="0"/>
          <w:color w:val="auto"/>
          <w:sz w:val="22"/>
          <w:szCs w:val="22"/>
          <w:lang w:val="en-GB"/>
        </w:rPr>
        <w:fldChar w:fldCharType="separate"/>
      </w:r>
      <w:r w:rsidR="00A35209" w:rsidRPr="00BB6D22">
        <w:rPr>
          <w:rFonts w:ascii="Times New Roman" w:hAnsi="Times New Roman" w:cs="Times New Roman"/>
          <w:b/>
          <w:bCs/>
          <w:smallCaps w:val="0"/>
          <w:noProof/>
          <w:color w:val="auto"/>
          <w:sz w:val="22"/>
          <w:szCs w:val="22"/>
          <w:lang w:val="en-GB"/>
        </w:rPr>
        <w:t>6</w:t>
      </w:r>
      <w:r w:rsidRPr="00BB6D22">
        <w:rPr>
          <w:rFonts w:ascii="Times New Roman" w:hAnsi="Times New Roman" w:cs="Times New Roman"/>
          <w:b/>
          <w:bCs/>
          <w:smallCaps w:val="0"/>
          <w:color w:val="auto"/>
          <w:sz w:val="22"/>
          <w:szCs w:val="22"/>
          <w:lang w:val="en-GB"/>
        </w:rPr>
        <w:fldChar w:fldCharType="end"/>
      </w:r>
      <w:r w:rsidRPr="00BB6D22">
        <w:rPr>
          <w:rFonts w:ascii="Times New Roman" w:hAnsi="Times New Roman" w:cs="Times New Roman"/>
          <w:b/>
          <w:bCs/>
          <w:smallCaps w:val="0"/>
          <w:color w:val="auto"/>
          <w:sz w:val="22"/>
          <w:szCs w:val="22"/>
          <w:lang w:val="en-GB"/>
        </w:rPr>
        <w:t>: Persistence of clearance,</w:t>
      </w:r>
      <w:r w:rsidR="00BB6D22">
        <w:rPr>
          <w:rFonts w:ascii="Times New Roman" w:hAnsi="Times New Roman" w:cs="Times New Roman"/>
          <w:b/>
          <w:bCs/>
          <w:smallCaps w:val="0"/>
          <w:color w:val="auto"/>
          <w:sz w:val="22"/>
          <w:szCs w:val="22"/>
          <w:lang w:val="en-GB"/>
        </w:rPr>
        <w:t xml:space="preserve"> </w:t>
      </w:r>
      <w:r w:rsidRPr="00BB6D22">
        <w:rPr>
          <w:rFonts w:ascii="Times New Roman" w:hAnsi="Times New Roman" w:cs="Times New Roman"/>
          <w:b/>
          <w:bCs/>
          <w:smallCaps w:val="0"/>
          <w:color w:val="auto"/>
          <w:sz w:val="22"/>
          <w:szCs w:val="22"/>
          <w:lang w:val="en-GB"/>
        </w:rPr>
        <w:t>% of patients, weeks 48-60</w:t>
      </w:r>
      <w:bookmarkEnd w:id="104"/>
      <w:r w:rsidRPr="00BB6D22">
        <w:rPr>
          <w:rFonts w:ascii="Times New Roman" w:hAnsi="Times New Roman" w:cs="Times New Roman"/>
          <w:b/>
          <w:bCs/>
          <w:smallCaps w:val="0"/>
          <w:color w:val="auto"/>
          <w:sz w:val="22"/>
          <w:szCs w:val="22"/>
          <w:lang w:val="en-GB"/>
        </w:rPr>
        <w:t xml:space="preserve"> </w:t>
      </w:r>
    </w:p>
    <w:tbl>
      <w:tblPr>
        <w:tblStyle w:val="Tabladelista3"/>
        <w:tblW w:w="15114" w:type="dxa"/>
        <w:tblInd w:w="736" w:type="dxa"/>
        <w:tblLook w:val="00A0" w:firstRow="1" w:lastRow="0" w:firstColumn="1" w:lastColumn="0" w:noHBand="0" w:noVBand="0"/>
      </w:tblPr>
      <w:tblGrid>
        <w:gridCol w:w="2121"/>
        <w:gridCol w:w="1063"/>
        <w:gridCol w:w="1063"/>
        <w:gridCol w:w="1063"/>
        <w:gridCol w:w="1299"/>
        <w:gridCol w:w="1063"/>
        <w:gridCol w:w="1063"/>
        <w:gridCol w:w="1063"/>
        <w:gridCol w:w="1063"/>
        <w:gridCol w:w="1063"/>
        <w:gridCol w:w="1063"/>
        <w:gridCol w:w="1063"/>
        <w:gridCol w:w="1064"/>
      </w:tblGrid>
      <w:tr w:rsidR="004722FF" w:rsidRPr="007B4152" w14:paraId="7FAA25B0" w14:textId="77777777" w:rsidTr="00EE6B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2B8F711A" w14:textId="77777777" w:rsidR="00A23CAC" w:rsidRPr="007A5143" w:rsidRDefault="00A23CAC" w:rsidP="00677C01">
            <w:pPr>
              <w:spacing w:before="0" w:after="0" w:line="240" w:lineRule="auto"/>
              <w:jc w:val="left"/>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38F2BA01" w14:textId="67A65F0F" w:rsidR="00A23CAC" w:rsidRPr="007A5143" w:rsidRDefault="00A23CAC" w:rsidP="00677C01">
            <w:pPr>
              <w:spacing w:before="0" w:after="0" w:line="240" w:lineRule="auto"/>
              <w:jc w:val="center"/>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Gordon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{"citationID":"UYa4qFUa","properties":{"formattedCitation":"\\super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37</w:t>
            </w:r>
            <w:r w:rsidRPr="007A5143">
              <w:rPr>
                <w:rFonts w:ascii="Times New Roman" w:hAnsi="Times New Roman" w:cs="Times New Roman"/>
                <w:sz w:val="20"/>
                <w:szCs w:val="20"/>
                <w:lang w:val="en-GB"/>
              </w:rPr>
              <w:fldChar w:fldCharType="end"/>
            </w:r>
          </w:p>
        </w:tc>
        <w:tc>
          <w:tcPr>
            <w:tcW w:w="2362" w:type="dxa"/>
            <w:gridSpan w:val="2"/>
            <w:tcBorders>
              <w:bottom w:val="single" w:sz="12" w:space="0" w:color="auto"/>
            </w:tcBorders>
            <w:tcMar>
              <w:top w:w="28" w:type="dxa"/>
              <w:bottom w:w="28" w:type="dxa"/>
            </w:tcMar>
            <w:vAlign w:val="center"/>
          </w:tcPr>
          <w:p w14:paraId="52D67DBF" w14:textId="5B06FFA5" w:rsidR="00A23CAC" w:rsidRPr="007A5143" w:rsidRDefault="00A23CAC"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Warren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{"citationID":"ngNq3Qlr","properties":{"formattedCitation":"\\super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38</w:t>
            </w:r>
            <w:r w:rsidRPr="007A5143">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9A2E9DF" w14:textId="12F488D3" w:rsidR="00A23CAC" w:rsidRPr="007A5143" w:rsidRDefault="00A23CAC" w:rsidP="00677C01">
            <w:pPr>
              <w:spacing w:before="0" w:after="0" w:line="240" w:lineRule="auto"/>
              <w:jc w:val="center"/>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Reich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{"citationID":"svJ487Fp","properties":{"formattedCitation":"\\super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39</w:t>
            </w:r>
            <w:r w:rsidRPr="007A5143">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49F2CF8D" w14:textId="16F1A76E" w:rsidR="00A23CAC" w:rsidRPr="007A5143" w:rsidRDefault="00A23CAC"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Reich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{"citationID":"SzPslF8D","properties":{"formattedCitation":"\\super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40</w:t>
            </w:r>
            <w:r w:rsidRPr="007A5143">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3112F44" w14:textId="4BE14241" w:rsidR="00A23CAC" w:rsidRPr="007A5143" w:rsidRDefault="00A23CAC" w:rsidP="00677C01">
            <w:pPr>
              <w:spacing w:before="0" w:after="0" w:line="240" w:lineRule="auto"/>
              <w:jc w:val="center"/>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Gordon (2016</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{"citationID":"aFG538K9","properties":{"formattedCitation":"\\super 42\\nosupersub{}","plainCitation":"42","noteIndex":0},"citationItems":[{"id":22743,"uris":["http://zotero.org/groups/337550/items/C3QCCC2M"],"uri":["http://zotero.org/groups/337550/items/C3QCCC2M"],"itemData":{"id":22743,"type":"article-journal","abstract":"BACKGROUND: Two phase 3 trials (UNCOVER-2 and UNCOVER-3) showed that at 12 weeks of treatment, ixekizumab, a monoclonal antibody against interleukin-17A, was superior to placebo and etanercept in the treatment of moderate-to-severe psoriasis. We report the 60-week data from the UNCOVER-2 and UNCOVER-3 trials, as well as 12-week and 60-week data from a third phase 3 trial, UNCOVER-1.\nMETHODS: We randomly assigned 1296 patients in the UNCOVER-1 trial, 1224 patients in the UNCOVER-2 trial, and 1346 patients in the UNCOVER-3 trial to receive subcutaneous injections of placebo (placebo group), 80 mg of ixekizumab every 2 weeks after a starting dose of 160 mg (2-wk dosing group), or 80 mg of ixekizumab every 4 weeks after a starting dose of 160 mg (4-wk dosing group). Additional cohorts in the UNCOVER-2 and UNCOVER-3 trials were randomly assigned to receive 50 mg of etanercept twice weekly. At week 12 in the UNCOVER-3 trial, the patients entered a long-term extension period during which they received 80 mg of ixekizumab every 4 weeks through week 60; at week 12 in the UNCOVER-1 and UNCOVER-2 trials, the patients who had a response to ixekizumab (defined as a static Physicians Global Assessment [sPGA] score of 0 [clear] or 1 [minimal psoriasis]) were randomly reassigned to receive placebo, 80 mg of ixekizumab every 4 weeks, or 80 mg of ixekizumab every 12 weeks through week 60. Coprimary end points were the percentage of patients who had a score on the sPGA of 0 or 1 and a 75% or greater reduction from baseline in Psoriasis Area and Severity Index (PASI 75) at week 12.\nRESULTS: In the UNCOVER-1 trial, at week 12, the patients had better responses to ixekizumab than to placebo; in the 2-wk dosing group, 81.8% had an sPGA score of 0 or 1 and 89.1% had a PASI 75 response; in the 4-wk dosing group, the respective rates were 76.4% and 82.6%; and in the placebo group, the rates were 3.2% and 3.9% (P&lt;0.001 for all comparisons of ixekizumab with placebo). In the UNCOVER-1 and UNCOVER-2 trials, among the patients who were randomly reassigned at week 12 to receive 80 mg of ixekizumab every 4 weeks, 80 mg of ixekizumab every 12 weeks, or placebo, an sPGA score of 0 or 1 was maintained by 73.8%, 39.0%, and 7.0% of the patients, respectively. Patients in the UNCOVER-3 trial received continuous treatment of ixekizumab from weeks 0 through 60, and at week 60, at least 73% had an sPGA score of 0 or 1 and at least 80% had a PASI 75 response. Adverse events reported during ixekizumab use included neutropenia, candidal infections, and inflammatory bowel disease.\nCONCLUSIONS: In three phase 3 trials involving patients with psoriasis, ixekizumab was effective through 60 weeks of treatment. As with any treatment, the benefits need to be weighed against the risks of adverse events. The efficacy and safety of ixekizumab beyond 60 weeks of treatment are not yet known. (Funded by Eli Lilly; UNCOVER-1, UNCOVER-2, and UNCOVER-3 ClinicalTrials.gov numbers NCT01474512, NCT01597245, and NCT01646177, respectively.).","container-title":"The New England Journal of Medicine","DOI":"10.1056/NEJMoa1512711","ISSN":"1533-4406","issue":"4","journalAbbreviation":"N. Engl. J. Med.","language":"eng","note":"PMID: 27299809","page":"345-356","source":"UpToDate References","title":"Phase 3 Trials of Ixekizumab in Moderate-to-Severe Plaque Psoriasis","volume":"375","author":[{"family":"Gordon","given":"Kenneth B."},{"family":"Blauvelt","given":"Andrew"},{"family":"Papp","given":"Kim A."},{"family":"Langley","given":"Richard G."},{"family":"Luger","given":"Thomas"},{"family":"Ohtsuki","given":"Mamitaro"},{"family":"Reich","given":"Kristian"},{"family":"Amato","given":"David"},{"family":"Ball","given":"Susan G."},{"family":"Braun","given":"Daniel K."},{"family":"Cameron","given":"Gregory S."},{"family":"Erickson","given":"Janelle"},{"family":"Konrad","given":"Robert J."},{"family":"Muram","given":"Talia M."},{"family":"Nickoloff","given":"Brian J."},{"family":"Osuntokun","given":"Olawale O."},{"family":"Secrest","given":"Roberta J."},{"family":"Zhao","given":"Fangyi"},{"family":"Mallbris","given":"Lotus"},{"family":"Leonardi","given":"Craig L."},{"literal":"UNCOVER-1 Study Group"},{"literal":"UNCOVER-2 Study Group"},{"literal":"UNCOVER-3 Study Group"}],"issued":{"date-parts":[["2016"]]}}}],"schema":"https://github.com/citation-style-language/schema/raw/master/csl-citation.json"}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42</w:t>
            </w:r>
            <w:r w:rsidRPr="007A5143">
              <w:rPr>
                <w:rFonts w:ascii="Times New Roman" w:hAnsi="Times New Roman" w:cs="Times New Roman"/>
                <w:sz w:val="20"/>
                <w:szCs w:val="20"/>
                <w:lang w:val="en-GB"/>
              </w:rPr>
              <w:fldChar w:fldCharType="end"/>
            </w:r>
            <w:r w:rsidRPr="007A5143">
              <w:rPr>
                <w:rFonts w:ascii="Times New Roman" w:hAnsi="Times New Roman" w:cs="Times New Roman"/>
                <w:color w:val="auto"/>
                <w:sz w:val="20"/>
                <w:szCs w:val="20"/>
                <w:lang w:val="en-GB"/>
              </w:rPr>
              <w:t>,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{"citationID":"n6DJsLxA","properties":{"formattedCitation":"\\super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37</w:t>
            </w:r>
            <w:r w:rsidRPr="007A5143">
              <w:rPr>
                <w:rFonts w:ascii="Times New Roman" w:hAnsi="Times New Roman" w:cs="Times New Roman"/>
                <w:sz w:val="20"/>
                <w:szCs w:val="20"/>
                <w:lang w:val="en-GB"/>
              </w:rPr>
              <w:fldChar w:fldCharType="end"/>
            </w:r>
            <w:r w:rsidRPr="007A5143">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454EEB6A" w14:textId="7BE571FA" w:rsidR="00A23CAC" w:rsidRPr="007A5143" w:rsidRDefault="00A23CAC"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7A5143">
              <w:rPr>
                <w:rFonts w:ascii="Times New Roman" w:hAnsi="Times New Roman" w:cs="Times New Roman"/>
                <w:color w:val="auto"/>
                <w:sz w:val="20"/>
                <w:szCs w:val="20"/>
                <w:lang w:val="en-GB"/>
              </w:rPr>
              <w:t>Gordon (2018</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{"citationID":"QLvXiMYt","properties":{"formattedCitation":"\\super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A5143">
              <w:rPr>
                <w:rFonts w:ascii="Times New Roman" w:hAnsi="Times New Roman" w:cs="Times New Roman"/>
                <w:sz w:val="20"/>
                <w:szCs w:val="20"/>
                <w:vertAlign w:val="superscript"/>
              </w:rPr>
              <w:t>43</w:t>
            </w:r>
            <w:r w:rsidRPr="007A5143">
              <w:rPr>
                <w:rFonts w:ascii="Times New Roman" w:hAnsi="Times New Roman" w:cs="Times New Roman"/>
                <w:sz w:val="20"/>
                <w:szCs w:val="20"/>
                <w:lang w:val="en-GB"/>
              </w:rPr>
              <w:fldChar w:fldCharType="end"/>
            </w:r>
            <w:r w:rsidRPr="007A5143">
              <w:rPr>
                <w:rFonts w:ascii="Times New Roman" w:hAnsi="Times New Roman" w:cs="Times New Roman"/>
                <w:color w:val="auto"/>
                <w:sz w:val="20"/>
                <w:szCs w:val="20"/>
                <w:lang w:val="en-GB"/>
              </w:rPr>
              <w:t>, 2021</w:t>
            </w:r>
            <w:r w:rsidRPr="007A5143">
              <w:rPr>
                <w:rFonts w:ascii="Times New Roman" w:hAnsi="Times New Roman" w:cs="Times New Roman"/>
                <w:sz w:val="20"/>
                <w:szCs w:val="20"/>
                <w:lang w:val="en-GB"/>
              </w:rPr>
              <w:fldChar w:fldCharType="begin"/>
            </w:r>
            <w:r w:rsidR="007A0A45" w:rsidRPr="007A5143">
              <w:rPr>
                <w:rFonts w:ascii="Times New Roman" w:hAnsi="Times New Roman" w:cs="Times New Roman"/>
                <w:color w:val="auto"/>
                <w:sz w:val="20"/>
                <w:szCs w:val="20"/>
                <w:lang w:val="en-GB"/>
              </w:rPr>
              <w:instrText xml:space="preserve"> ADDIN ZOTERO_ITEM CSL_CITATION {"citationID":"zKecwi6X","properties":{"formattedCitation":"\\super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7A5143">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7A5143">
              <w:rPr>
                <w:rFonts w:ascii="Times New Roman" w:hAnsi="Times New Roman" w:cs="Times New Roman"/>
                <w:sz w:val="20"/>
                <w:szCs w:val="20"/>
                <w:lang w:val="en-GB"/>
              </w:rPr>
              <w:fldChar w:fldCharType="end"/>
            </w:r>
            <w:r w:rsidRPr="007A5143">
              <w:rPr>
                <w:rFonts w:ascii="Times New Roman" w:hAnsi="Times New Roman" w:cs="Times New Roman"/>
                <w:color w:val="auto"/>
                <w:sz w:val="20"/>
                <w:szCs w:val="20"/>
                <w:lang w:val="en-GB"/>
              </w:rPr>
              <w:t>)</w:t>
            </w:r>
          </w:p>
        </w:tc>
      </w:tr>
      <w:tr w:rsidR="005F7BBC" w:rsidRPr="007B4152" w14:paraId="44C8752B"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6291D8F7" w14:textId="77777777" w:rsidR="00A23CAC" w:rsidRPr="007A5143" w:rsidRDefault="00A23CAC" w:rsidP="00677C01">
            <w:pPr>
              <w:spacing w:before="0" w:after="0" w:line="240" w:lineRule="auto"/>
              <w:jc w:val="left"/>
              <w:rPr>
                <w:rFonts w:ascii="Times New Roman" w:hAnsi="Times New Roman" w:cs="Times New Roman"/>
                <w:sz w:val="20"/>
                <w:szCs w:val="20"/>
                <w:lang w:val="en-GB"/>
              </w:rPr>
            </w:pPr>
            <w:r w:rsidRPr="007A5143">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103D56D9"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1C397184"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62C48EA5"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299"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9A14AE7"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2BC3362B"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7B01D693"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1091C622"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436ABC3A"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70C3C78C"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063"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1CB34D5"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0BB6834F" w14:textId="77777777" w:rsidR="00A23CAC" w:rsidRPr="007A5143" w:rsidRDefault="008136F8" w:rsidP="00677C01">
            <w:pPr>
              <w:spacing w:before="0" w:after="0" w:line="240" w:lineRule="auto"/>
              <w:jc w:val="center"/>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BKZ</w:t>
            </w:r>
          </w:p>
        </w:tc>
        <w:tc>
          <w:tcPr>
            <w:tcW w:w="1064"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73D81C74" w14:textId="77777777" w:rsidR="00A23CAC" w:rsidRPr="007A5143" w:rsidRDefault="00A23C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7A5143">
              <w:rPr>
                <w:rFonts w:ascii="Times New Roman" w:hAnsi="Times New Roman" w:cs="Times New Roman"/>
                <w:b/>
                <w:bCs/>
                <w:sz w:val="20"/>
                <w:szCs w:val="20"/>
                <w:lang w:val="en-GB"/>
              </w:rPr>
              <w:t>RIS</w:t>
            </w:r>
          </w:p>
        </w:tc>
      </w:tr>
      <w:tr w:rsidR="00EE6B14" w:rsidRPr="007B4152" w14:paraId="26513DAD"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943C32B" w14:textId="6B308D42"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100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7A32C9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9F1E914"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08790C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BC9634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7F27DDA"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CD2D828"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FBB46B4" w14:textId="77777777" w:rsidR="00A23CAC" w:rsidRPr="007A5143" w:rsidRDefault="00DB652C"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66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E944EDE" w14:textId="77777777" w:rsidR="00A23CAC" w:rsidRPr="007A5143" w:rsidRDefault="00DB652C"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AA26E92"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4789B4D"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1EA9EA7"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0D56A06"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39EA8078" w14:textId="77777777" w:rsidTr="00EE6B1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5B7D2FE" w14:textId="40A80521"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100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26162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82C41EF"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4EA6C61"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404C9723"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54EE1A5" w14:textId="77777777" w:rsidR="00A23CAC" w:rsidRPr="007A5143" w:rsidRDefault="00EC34FA"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65</w:t>
            </w:r>
          </w:p>
        </w:tc>
        <w:tc>
          <w:tcPr>
            <w:tcW w:w="1063" w:type="dxa"/>
            <w:tcBorders>
              <w:right w:val="single" w:sz="12" w:space="0" w:color="auto"/>
            </w:tcBorders>
            <w:tcMar>
              <w:top w:w="28" w:type="dxa"/>
              <w:bottom w:w="28" w:type="dxa"/>
            </w:tcMar>
            <w:vAlign w:val="center"/>
          </w:tcPr>
          <w:p w14:paraId="4E335F2B" w14:textId="77777777" w:rsidR="00A23CAC" w:rsidRPr="007A5143" w:rsidRDefault="00EC34FA" w:rsidP="00EC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38</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3D6C180"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0CA0CEB"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25E3670"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35B40D4"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D2D7A9"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29A855A6"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55-57</w:t>
            </w:r>
          </w:p>
        </w:tc>
      </w:tr>
      <w:tr w:rsidR="00EE6B14" w:rsidRPr="007B4152" w14:paraId="1C11E862"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44F5A26" w14:textId="08D9890D"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100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3426CDA" w14:textId="77777777" w:rsidR="00A23CAC" w:rsidRPr="007A5143" w:rsidRDefault="00C83A18"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656A336" w14:textId="270566CD" w:rsidR="00A23CAC" w:rsidRPr="007A5143" w:rsidRDefault="00BB6D22"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11</w:t>
            </w:r>
            <w:r w:rsidR="00C83A18"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C03B6B" w14:textId="77777777" w:rsidR="00A23CAC" w:rsidRPr="007A5143" w:rsidRDefault="00C167EA"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70</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DB42174" w14:textId="77777777" w:rsidR="00A23CAC" w:rsidRPr="007A5143" w:rsidRDefault="00C167EA"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30 → 67 **</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2745813"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463B130"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F914193"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28D74A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7C0F2C0" w14:textId="77777777" w:rsidR="00A23CAC" w:rsidRPr="007A5143" w:rsidRDefault="00B80D3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83</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02D7F8D"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C8308DB" w14:textId="77777777" w:rsidR="00A23CAC" w:rsidRPr="007A5143" w:rsidRDefault="00B80D3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83</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9F7A216"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45996DD2"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60CA887" w14:textId="1C6B64D5"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100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60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EAA345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2A6934B"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B6D8C1A"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04A46B7C"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2BC23B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6B277F2"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7B06AA9"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5F8B708"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192550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5D4739C" w14:textId="77777777" w:rsidR="00A23CAC" w:rsidRPr="007A5143" w:rsidRDefault="00B80D3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2641CDC"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65B4010E"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398972F4"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A16F52C" w14:textId="5F080031" w:rsidR="00B30EEF" w:rsidRPr="007A5143" w:rsidRDefault="00B30EEF" w:rsidP="00677C01">
            <w:pPr>
              <w:spacing w:before="0" w:after="0" w:line="240" w:lineRule="auto"/>
              <w:jc w:val="left"/>
              <w:rPr>
                <w:rFonts w:ascii="Times New Roman" w:hAnsi="Times New Roman" w:cs="Times New Roman"/>
                <w:sz w:val="20"/>
                <w:szCs w:val="20"/>
                <w:lang w:val="en-GB"/>
              </w:rPr>
            </w:pPr>
            <w:r w:rsidRPr="007A5143">
              <w:rPr>
                <w:rFonts w:ascii="Times New Roman" w:hAnsi="Times New Roman" w:cs="Times New Roman"/>
                <w:b w:val="0"/>
                <w:bCs w:val="0"/>
                <w:sz w:val="20"/>
                <w:szCs w:val="20"/>
                <w:lang w:val="en-GB"/>
              </w:rPr>
              <w:t xml:space="preserve">IGA 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DC8515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8E4F423"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276966B"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A754716"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034E40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81C632A"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1529D0"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AF1C516"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822C37E"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8B2A533"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87842A3"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8A1280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4722FF" w:rsidRPr="007B4152" w14:paraId="7E1C93C9"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90BCF62" w14:textId="50FC3636"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IGA 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51FCD27"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00E0FE2"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842C37"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37A10F06"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8CA393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102ADC1"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ED0A1BA"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4D92387"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934CC68"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9928DDE"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659608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0DD9F870"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66BBB6D4"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95E8194" w14:textId="76B88A5C"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90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99DD279"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6A03F4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CA86008"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278F990"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60AB718"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41EECE3"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17279C9" w14:textId="77777777" w:rsidR="00A23CAC" w:rsidRPr="007A5143" w:rsidRDefault="00DB652C"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FB6EC23" w14:textId="77777777" w:rsidR="00A23CAC" w:rsidRPr="007A5143" w:rsidRDefault="00DB652C"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74</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78DC592"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4E13720"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F0C8C3C"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F6CA9D2"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4722FF" w:rsidRPr="007B4152" w14:paraId="64C53656"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A61BF2D" w14:textId="20A0D5F9"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90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F00B39"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DEB566E"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85FBA29"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0B75AF02"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CC799CC" w14:textId="77777777" w:rsidR="00A23CAC" w:rsidRPr="007A5143" w:rsidRDefault="00EC34FA"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82</w:t>
            </w:r>
          </w:p>
        </w:tc>
        <w:tc>
          <w:tcPr>
            <w:tcW w:w="1063" w:type="dxa"/>
            <w:tcBorders>
              <w:right w:val="single" w:sz="12" w:space="0" w:color="auto"/>
            </w:tcBorders>
            <w:tcMar>
              <w:top w:w="28" w:type="dxa"/>
              <w:bottom w:w="28" w:type="dxa"/>
            </w:tcMar>
            <w:vAlign w:val="center"/>
          </w:tcPr>
          <w:p w14:paraId="5063F82E" w14:textId="77777777" w:rsidR="00A23CAC" w:rsidRPr="007A5143" w:rsidRDefault="00EC34FA"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34EB1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72B4D75"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34770A0"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6B86BE9"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C10B5EA"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281FBDE8"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72-85</w:t>
            </w:r>
          </w:p>
        </w:tc>
      </w:tr>
      <w:tr w:rsidR="00EE6B14" w:rsidRPr="007B4152" w14:paraId="624A9468"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CC25EE6" w14:textId="553D7052"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90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7BF9FB4" w14:textId="77777777" w:rsidR="00A23CAC" w:rsidRPr="007A5143" w:rsidRDefault="00C83A18"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D5EA9DD" w14:textId="77777777" w:rsidR="00A23CAC" w:rsidRPr="007A5143" w:rsidRDefault="00C83A18"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16 *</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3A74539" w14:textId="77777777" w:rsidR="00A23CAC" w:rsidRPr="007A5143" w:rsidRDefault="00C83A18"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83</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3176F8D" w14:textId="77777777" w:rsidR="00A23CAC" w:rsidRPr="007A5143" w:rsidRDefault="00815CE2"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52 → 82 **</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51F57E1"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E7B1C8B"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402D71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C034C79"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599AF19" w14:textId="77777777" w:rsidR="00A23CAC" w:rsidRPr="007A5143" w:rsidRDefault="009424F0"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91</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3DF36B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542BBC9" w14:textId="77777777" w:rsidR="00A23CAC" w:rsidRPr="007A5143" w:rsidRDefault="00B80D3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91</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C2AD56E"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4722FF" w:rsidRPr="007B4152" w14:paraId="2C89A776"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22C4381" w14:textId="310AE2D7"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90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60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7269104"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D962888"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49DE0B2"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37C1C6BC"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FF1EB5F"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EDF6385"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AF9AE2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79AB08F"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474462C"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BB4F939" w14:textId="77777777" w:rsidR="00A23CAC" w:rsidRPr="007A5143" w:rsidRDefault="009424F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73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C9E77C"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04C2497B"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286A008B"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7EA210D" w14:textId="09AD1EE9"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IGA 0/1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C02B8A1"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F71C835"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B1AA3A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804DDA9"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DB88BB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BD5A85A"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EA8649B" w14:textId="77777777" w:rsidR="00A23CAC" w:rsidRPr="007A5143" w:rsidRDefault="00DB652C"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86</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D2854F7" w14:textId="77777777" w:rsidR="00A23CAC" w:rsidRPr="007A5143" w:rsidRDefault="00DB652C"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77</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F506C96"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B627CDA"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C5C802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3AE150A"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4722FF" w:rsidRPr="007B4152" w14:paraId="4C933BE1"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5A39B28" w14:textId="51878B16" w:rsidR="00B30EEF"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IGA 0/1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0840C05" w14:textId="77777777" w:rsidR="00B30EEF"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4CE0864" w14:textId="77777777" w:rsidR="00B30EEF"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F249F72" w14:textId="77777777" w:rsidR="00B30EEF"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right w:val="single" w:sz="12" w:space="0" w:color="auto"/>
            </w:tcBorders>
            <w:tcMar>
              <w:top w:w="28" w:type="dxa"/>
              <w:bottom w:w="28" w:type="dxa"/>
            </w:tcMar>
            <w:vAlign w:val="center"/>
          </w:tcPr>
          <w:p w14:paraId="7B05BE50" w14:textId="77777777" w:rsidR="00B30EEF"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630477" w14:textId="77777777" w:rsidR="00B30EEF" w:rsidRPr="007A5143" w:rsidRDefault="00EC34FA"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78</w:t>
            </w:r>
          </w:p>
        </w:tc>
        <w:tc>
          <w:tcPr>
            <w:tcW w:w="1063" w:type="dxa"/>
            <w:tcBorders>
              <w:right w:val="single" w:sz="12" w:space="0" w:color="auto"/>
            </w:tcBorders>
            <w:tcMar>
              <w:top w:w="28" w:type="dxa"/>
              <w:bottom w:w="28" w:type="dxa"/>
            </w:tcMar>
            <w:vAlign w:val="center"/>
          </w:tcPr>
          <w:p w14:paraId="3FAF1762" w14:textId="77777777" w:rsidR="00B30EEF" w:rsidRPr="007A5143" w:rsidRDefault="00EC34FA"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61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B20CF63" w14:textId="77777777" w:rsidR="00B30EEF"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4C0D90F" w14:textId="77777777" w:rsidR="00B30EEF"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5541B52" w14:textId="77777777" w:rsidR="00B30EEF"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26A8F0D5" w14:textId="77777777" w:rsidR="00B30EEF"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A2BDF44" w14:textId="77777777" w:rsidR="00B30EEF"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4020FCE9" w14:textId="77777777" w:rsidR="00B30EEF"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0E980CC4"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76CFA48" w14:textId="57EFBEE8" w:rsidR="003129F6" w:rsidRPr="007A5143" w:rsidRDefault="003129F6"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PGA 0/1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52</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ACA8A4D"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7288644"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8B38D76"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B46A887"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0BC39E1"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00549BA"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5EA2802"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30D9A7B"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BEC6501"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6EBCF2C"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F77B5E7" w14:textId="77777777" w:rsidR="003129F6"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E8A66D7" w14:textId="77777777" w:rsidR="003129F6"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83-91</w:t>
            </w:r>
          </w:p>
        </w:tc>
      </w:tr>
      <w:tr w:rsidR="004722FF" w:rsidRPr="007B4152" w14:paraId="2B5852B4"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A2E79B1" w14:textId="237BA40C" w:rsidR="00A23CAC" w:rsidRPr="007A5143" w:rsidRDefault="00B30EEF"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IGA 0/1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3FF67DF" w14:textId="77777777" w:rsidR="00A23CAC" w:rsidRPr="007A5143" w:rsidRDefault="00C83A18"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90</w:t>
            </w:r>
          </w:p>
        </w:tc>
        <w:tc>
          <w:tcPr>
            <w:tcW w:w="1063" w:type="dxa"/>
            <w:tcBorders>
              <w:right w:val="single" w:sz="12" w:space="0" w:color="auto"/>
            </w:tcBorders>
            <w:tcMar>
              <w:top w:w="28" w:type="dxa"/>
              <w:bottom w:w="28" w:type="dxa"/>
            </w:tcMar>
            <w:vAlign w:val="center"/>
          </w:tcPr>
          <w:p w14:paraId="5840B77E" w14:textId="77777777" w:rsidR="00A23CAC" w:rsidRPr="007A5143" w:rsidRDefault="00C83A18"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24 *</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5CC42AD" w14:textId="77777777" w:rsidR="00A23CAC" w:rsidRPr="007A5143" w:rsidRDefault="003F7E69"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83</w:t>
            </w:r>
          </w:p>
        </w:tc>
        <w:tc>
          <w:tcPr>
            <w:tcW w:w="1299" w:type="dxa"/>
            <w:tcBorders>
              <w:right w:val="single" w:sz="12" w:space="0" w:color="auto"/>
            </w:tcBorders>
            <w:tcMar>
              <w:top w:w="28" w:type="dxa"/>
              <w:bottom w:w="28" w:type="dxa"/>
            </w:tcMar>
            <w:vAlign w:val="center"/>
          </w:tcPr>
          <w:p w14:paraId="4826C1E3" w14:textId="77777777" w:rsidR="00A23CAC" w:rsidRPr="007A5143" w:rsidRDefault="003F7E69"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58 → 81 **</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1E8EF8B"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03A6550"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B4D8248"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78BE449"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CC1C672" w14:textId="77777777" w:rsidR="00A23CAC" w:rsidRPr="007A5143" w:rsidRDefault="009424F0"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90</w:t>
            </w:r>
          </w:p>
        </w:tc>
        <w:tc>
          <w:tcPr>
            <w:tcW w:w="1063" w:type="dxa"/>
            <w:tcBorders>
              <w:right w:val="single" w:sz="12" w:space="0" w:color="auto"/>
            </w:tcBorders>
            <w:tcMar>
              <w:top w:w="28" w:type="dxa"/>
              <w:bottom w:w="28" w:type="dxa"/>
            </w:tcMar>
            <w:vAlign w:val="center"/>
          </w:tcPr>
          <w:p w14:paraId="40E6DC0E"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394DA5A" w14:textId="77777777" w:rsidR="00A23CAC" w:rsidRPr="007A5143" w:rsidRDefault="00B80D3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90</w:t>
            </w:r>
          </w:p>
        </w:tc>
        <w:tc>
          <w:tcPr>
            <w:tcW w:w="1064" w:type="dxa"/>
            <w:tcBorders>
              <w:right w:val="single" w:sz="12" w:space="0" w:color="auto"/>
            </w:tcBorders>
            <w:tcMar>
              <w:top w:w="28" w:type="dxa"/>
              <w:bottom w:w="28" w:type="dxa"/>
            </w:tcMar>
            <w:vAlign w:val="center"/>
          </w:tcPr>
          <w:p w14:paraId="3089A3A9"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EE6B14" w:rsidRPr="007B4152" w14:paraId="46755EB1" w14:textId="77777777" w:rsidTr="00EE6B14">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66981BA" w14:textId="59512B10" w:rsidR="00A23CAC" w:rsidRPr="007A5143" w:rsidRDefault="009424F0"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IGA 0/1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60</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8A2C191"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6E8C16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A504B35"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562125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E663E2B"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36BB1B1"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58CA45F"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F8ABEE1"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8C9ACEE"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BFC1595" w14:textId="77777777" w:rsidR="00A23CAC" w:rsidRPr="007A5143" w:rsidRDefault="009424F0"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75</w:t>
            </w:r>
          </w:p>
        </w:tc>
        <w:tc>
          <w:tcPr>
            <w:cnfStyle w:val="000010000000" w:firstRow="0" w:lastRow="0" w:firstColumn="0" w:lastColumn="0" w:oddVBand="1" w:evenVBand="0" w:oddHBand="0" w:evenHBand="0" w:firstRowFirstColumn="0" w:firstRowLastColumn="0" w:lastRowFirstColumn="0" w:lastRowLastColumn="0"/>
            <w:tcW w:w="1063"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0D4B6EB"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B7A1B47" w14:textId="77777777" w:rsidR="00A23CAC" w:rsidRPr="007A5143" w:rsidRDefault="003129F6"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r w:rsidR="002A1DD3" w:rsidRPr="007B4152" w14:paraId="6702C8E4" w14:textId="77777777" w:rsidTr="00EE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FBE755C" w14:textId="19EDE253" w:rsidR="00A23CAC" w:rsidRPr="007A5143" w:rsidRDefault="009C49E9" w:rsidP="00677C01">
            <w:pPr>
              <w:spacing w:before="0" w:after="0" w:line="240" w:lineRule="auto"/>
              <w:jc w:val="left"/>
              <w:rPr>
                <w:rFonts w:ascii="Times New Roman" w:hAnsi="Times New Roman" w:cs="Times New Roman"/>
                <w:b w:val="0"/>
                <w:bCs w:val="0"/>
                <w:sz w:val="20"/>
                <w:szCs w:val="20"/>
                <w:lang w:val="en-GB"/>
              </w:rPr>
            </w:pPr>
            <w:r w:rsidRPr="007A5143">
              <w:rPr>
                <w:rFonts w:ascii="Times New Roman" w:hAnsi="Times New Roman" w:cs="Times New Roman"/>
                <w:b w:val="0"/>
                <w:bCs w:val="0"/>
                <w:sz w:val="20"/>
                <w:szCs w:val="20"/>
                <w:lang w:val="en-GB"/>
              </w:rPr>
              <w:t xml:space="preserve">PASI 75 </w:t>
            </w:r>
            <w:r w:rsidR="00F57B33" w:rsidRPr="007A5143">
              <w:rPr>
                <w:rFonts w:ascii="Times New Roman" w:hAnsi="Times New Roman" w:cs="Times New Roman"/>
                <w:b w:val="0"/>
                <w:bCs w:val="0"/>
                <w:sz w:val="20"/>
                <w:szCs w:val="20"/>
                <w:lang w:val="en-GB"/>
              </w:rPr>
              <w:t>Week</w:t>
            </w:r>
            <w:r w:rsidR="00BB6D22" w:rsidRPr="007A5143">
              <w:rPr>
                <w:rFonts w:ascii="Times New Roman" w:hAnsi="Times New Roman" w:cs="Times New Roman"/>
                <w:b w:val="0"/>
                <w:bCs w:val="0"/>
                <w:sz w:val="20"/>
                <w:szCs w:val="20"/>
                <w:lang w:val="en-GB"/>
              </w:rPr>
              <w:t xml:space="preserve"> </w:t>
            </w:r>
            <w:r w:rsidRPr="007A5143">
              <w:rPr>
                <w:rFonts w:ascii="Times New Roman" w:hAnsi="Times New Roman" w:cs="Times New Roman"/>
                <w:b w:val="0"/>
                <w:bCs w:val="0"/>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8A901B8"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36B3CBA2"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A97CCE3"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299" w:type="dxa"/>
            <w:tcBorders>
              <w:bottom w:val="single" w:sz="12" w:space="0" w:color="auto"/>
              <w:right w:val="single" w:sz="12" w:space="0" w:color="auto"/>
            </w:tcBorders>
            <w:tcMar>
              <w:top w:w="28" w:type="dxa"/>
              <w:bottom w:w="28" w:type="dxa"/>
            </w:tcMar>
            <w:vAlign w:val="center"/>
          </w:tcPr>
          <w:p w14:paraId="1C9BDB70"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23E094B"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40F73F2A"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83EFB95" w14:textId="77777777" w:rsidR="00A23CAC" w:rsidRPr="007A5143" w:rsidRDefault="00DB652C"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91</w:t>
            </w:r>
          </w:p>
        </w:tc>
        <w:tc>
          <w:tcPr>
            <w:tcW w:w="1063" w:type="dxa"/>
            <w:tcBorders>
              <w:bottom w:val="single" w:sz="12" w:space="0" w:color="auto"/>
              <w:right w:val="single" w:sz="12" w:space="0" w:color="auto"/>
            </w:tcBorders>
            <w:tcMar>
              <w:top w:w="28" w:type="dxa"/>
              <w:bottom w:w="28" w:type="dxa"/>
            </w:tcMar>
            <w:vAlign w:val="center"/>
          </w:tcPr>
          <w:p w14:paraId="53466E5A" w14:textId="77777777" w:rsidR="00A23CAC" w:rsidRPr="007A5143" w:rsidRDefault="00DB652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85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500449C3"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4F8E9A3A"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CBF7B7D" w14:textId="77777777" w:rsidR="00A23CAC" w:rsidRPr="007A5143" w:rsidRDefault="003129F6" w:rsidP="00677C01">
            <w:pPr>
              <w:spacing w:before="0" w:after="0" w:line="240" w:lineRule="auto"/>
              <w:jc w:val="center"/>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c>
          <w:tcPr>
            <w:tcW w:w="1064" w:type="dxa"/>
            <w:tcBorders>
              <w:bottom w:val="single" w:sz="12" w:space="0" w:color="auto"/>
              <w:right w:val="single" w:sz="12" w:space="0" w:color="auto"/>
            </w:tcBorders>
            <w:tcMar>
              <w:top w:w="28" w:type="dxa"/>
              <w:bottom w:w="28" w:type="dxa"/>
            </w:tcMar>
            <w:vAlign w:val="center"/>
          </w:tcPr>
          <w:p w14:paraId="48F12AC6" w14:textId="77777777" w:rsidR="00A23CAC" w:rsidRPr="007A5143" w:rsidRDefault="003129F6"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7A5143">
              <w:rPr>
                <w:rFonts w:ascii="Times New Roman" w:hAnsi="Times New Roman" w:cs="Times New Roman"/>
                <w:sz w:val="20"/>
                <w:szCs w:val="20"/>
                <w:lang w:val="en-GB"/>
              </w:rPr>
              <w:t>-</w:t>
            </w:r>
          </w:p>
        </w:tc>
      </w:tr>
    </w:tbl>
    <w:p w14:paraId="70E1C04C" w14:textId="4000E48A" w:rsidR="00F14E76" w:rsidRDefault="00424113" w:rsidP="00424113">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Pr="004722FF">
        <w:rPr>
          <w:rFonts w:ascii="Times New Roman" w:hAnsi="Times New Roman" w:cs="Times New Roman"/>
          <w:b/>
          <w:sz w:val="20"/>
          <w:szCs w:val="20"/>
          <w:highlight w:val="lightGray"/>
          <w:lang w:val="en-GB"/>
        </w:rPr>
        <w:t>All data refer to head-to-head comparisons, except for the comparison between bimekizumab and ixekizumab, and between bimekizumab and risankizumab, which uses trials vs. placebo.</w:t>
      </w:r>
      <w:r w:rsidRPr="004722FF">
        <w:rPr>
          <w:rFonts w:ascii="Times New Roman" w:hAnsi="Times New Roman" w:cs="Times New Roman"/>
          <w:b/>
          <w:sz w:val="20"/>
          <w:szCs w:val="20"/>
          <w:lang w:val="en-GB"/>
        </w:rPr>
        <w:t xml:space="preserve"> (ii)</w:t>
      </w:r>
      <w:r w:rsidR="0059417D">
        <w:rPr>
          <w:rFonts w:ascii="Times New Roman" w:hAnsi="Times New Roman" w:cs="Times New Roman"/>
          <w:b/>
          <w:sz w:val="20"/>
          <w:szCs w:val="20"/>
          <w:lang w:val="en-GB"/>
        </w:rPr>
        <w:t xml:space="preserve"> </w:t>
      </w:r>
      <w:r w:rsidRPr="004722FF">
        <w:rPr>
          <w:rFonts w:ascii="Times New Roman" w:hAnsi="Times New Roman" w:cs="Times New Roman"/>
          <w:sz w:val="20"/>
          <w:szCs w:val="20"/>
          <w:lang w:val="en-GB"/>
        </w:rPr>
        <w:t xml:space="preserve">the data are ordered according to the </w:t>
      </w:r>
      <w:r w:rsidR="0059417D">
        <w:rPr>
          <w:rFonts w:ascii="Times New Roman" w:hAnsi="Times New Roman" w:cs="Times New Roman"/>
          <w:sz w:val="20"/>
          <w:szCs w:val="20"/>
          <w:lang w:val="en-GB"/>
        </w:rPr>
        <w:t>level of clearance</w:t>
      </w:r>
      <w:r w:rsidRPr="004722FF">
        <w:rPr>
          <w:rFonts w:ascii="Times New Roman" w:hAnsi="Times New Roman" w:cs="Times New Roman"/>
          <w:sz w:val="20"/>
          <w:szCs w:val="20"/>
          <w:lang w:val="en-GB"/>
        </w:rPr>
        <w:t xml:space="preserve"> (from highest to lowest). (iii) </w:t>
      </w:r>
      <w:r w:rsidR="0059417D">
        <w:rPr>
          <w:rFonts w:ascii="Times New Roman" w:hAnsi="Times New Roman" w:cs="Times New Roman"/>
          <w:sz w:val="20"/>
          <w:szCs w:val="20"/>
          <w:lang w:val="en-GB"/>
        </w:rPr>
        <w:t>D</w:t>
      </w:r>
      <w:r w:rsidR="0059417D" w:rsidRPr="004722FF">
        <w:rPr>
          <w:rFonts w:ascii="Times New Roman" w:hAnsi="Times New Roman" w:cs="Times New Roman"/>
          <w:sz w:val="20"/>
          <w:szCs w:val="20"/>
          <w:lang w:val="en-GB"/>
        </w:rPr>
        <w:t xml:space="preserve">ata of trials that reflect the </w:t>
      </w:r>
      <w:r w:rsidR="0059417D">
        <w:rPr>
          <w:rFonts w:ascii="Times New Roman" w:hAnsi="Times New Roman" w:cs="Times New Roman"/>
          <w:sz w:val="20"/>
          <w:szCs w:val="20"/>
          <w:lang w:val="en-GB"/>
        </w:rPr>
        <w:t>posology applied</w:t>
      </w:r>
      <w:r w:rsidR="0059417D" w:rsidRPr="004722FF">
        <w:rPr>
          <w:rFonts w:ascii="Times New Roman" w:hAnsi="Times New Roman" w:cs="Times New Roman"/>
          <w:sz w:val="20"/>
          <w:szCs w:val="20"/>
          <w:lang w:val="en-GB"/>
        </w:rPr>
        <w:t xml:space="preserve"> in the technical </w:t>
      </w:r>
      <w:r w:rsidR="0059417D">
        <w:rPr>
          <w:rFonts w:ascii="Times New Roman" w:hAnsi="Times New Roman" w:cs="Times New Roman"/>
          <w:sz w:val="20"/>
          <w:szCs w:val="20"/>
          <w:lang w:val="en-GB"/>
        </w:rPr>
        <w:t xml:space="preserve">product specification </w:t>
      </w:r>
      <w:r w:rsidR="0059417D" w:rsidRPr="004722FF">
        <w:rPr>
          <w:rFonts w:ascii="Times New Roman" w:hAnsi="Times New Roman" w:cs="Times New Roman"/>
          <w:sz w:val="20"/>
          <w:szCs w:val="20"/>
          <w:lang w:val="en-GB"/>
        </w:rPr>
        <w:t>have been prioritized</w:t>
      </w:r>
      <w:r w:rsidRPr="004722FF">
        <w:rPr>
          <w:rFonts w:ascii="Times New Roman" w:hAnsi="Times New Roman" w:cs="Times New Roman"/>
          <w:sz w:val="20"/>
          <w:szCs w:val="20"/>
          <w:lang w:val="en-GB"/>
        </w:rPr>
        <w:t xml:space="preserve"> (in the case of bimekizumab, data from the maintenance schedule have been used every 8 weeks, according to the </w:t>
      </w:r>
      <w:r w:rsidR="0059417D">
        <w:rPr>
          <w:rFonts w:ascii="Times New Roman" w:hAnsi="Times New Roman" w:cs="Times New Roman"/>
          <w:sz w:val="20"/>
          <w:szCs w:val="20"/>
          <w:lang w:val="en-GB"/>
        </w:rPr>
        <w:t>marketing authorisation by EMA</w:t>
      </w:r>
      <w:r w:rsidRPr="004722FF">
        <w:rPr>
          <w:rFonts w:ascii="Times New Roman" w:hAnsi="Times New Roman" w:cs="Times New Roman"/>
          <w:sz w:val="20"/>
          <w:szCs w:val="20"/>
          <w:lang w:val="en-GB"/>
        </w:rPr>
        <w:t>. (*) Patients who were treated with bimekizumab until week 16, and who were reassigned to the placebo group at week 16, to receive bimekizumab. (**) The two data represent the</w:t>
      </w:r>
      <w:r w:rsidR="0059417D">
        <w:rPr>
          <w:rFonts w:ascii="Times New Roman" w:hAnsi="Times New Roman" w:cs="Times New Roman"/>
          <w:sz w:val="20"/>
          <w:szCs w:val="20"/>
          <w:lang w:val="en-GB"/>
        </w:rPr>
        <w:t xml:space="preserve"> </w:t>
      </w:r>
      <w:r w:rsidRPr="004722FF">
        <w:rPr>
          <w:rFonts w:ascii="Times New Roman" w:hAnsi="Times New Roman" w:cs="Times New Roman"/>
          <w:sz w:val="20"/>
          <w:szCs w:val="20"/>
          <w:lang w:val="en-GB"/>
        </w:rPr>
        <w:t xml:space="preserve">% of patients who had achieved this goal at week 24 (adalimumab </w:t>
      </w:r>
      <w:r w:rsidR="0059417D">
        <w:rPr>
          <w:rFonts w:ascii="Times New Roman" w:hAnsi="Times New Roman" w:cs="Times New Roman"/>
          <w:sz w:val="20"/>
          <w:szCs w:val="20"/>
          <w:lang w:val="en-GB"/>
        </w:rPr>
        <w:t>W</w:t>
      </w:r>
      <w:r w:rsidRPr="004722FF">
        <w:rPr>
          <w:rFonts w:ascii="Times New Roman" w:hAnsi="Times New Roman" w:cs="Times New Roman"/>
          <w:sz w:val="20"/>
          <w:szCs w:val="20"/>
          <w:lang w:val="en-GB"/>
        </w:rPr>
        <w:t xml:space="preserve">0-24), and the% of patients who achieved it at week 56, after reassignment at week 24 (bimekizumab </w:t>
      </w:r>
      <w:r w:rsidR="0059417D">
        <w:rPr>
          <w:rFonts w:ascii="Times New Roman" w:hAnsi="Times New Roman" w:cs="Times New Roman"/>
          <w:sz w:val="20"/>
          <w:szCs w:val="20"/>
          <w:lang w:val="en-GB"/>
        </w:rPr>
        <w:t>W</w:t>
      </w:r>
      <w:r w:rsidRPr="004722FF">
        <w:rPr>
          <w:rFonts w:ascii="Times New Roman" w:hAnsi="Times New Roman" w:cs="Times New Roman"/>
          <w:sz w:val="20"/>
          <w:szCs w:val="20"/>
          <w:lang w:val="en-GB"/>
        </w:rPr>
        <w:t xml:space="preserve">24-56). </w:t>
      </w:r>
      <w:r w:rsidR="0059417D">
        <w:rPr>
          <w:rFonts w:ascii="Times New Roman" w:hAnsi="Times New Roman" w:cs="Times New Roman"/>
          <w:sz w:val="20"/>
          <w:szCs w:val="20"/>
          <w:lang w:val="en-GB"/>
        </w:rPr>
        <w:t>W</w:t>
      </w:r>
      <w:r w:rsidRPr="004722FF">
        <w:rPr>
          <w:rFonts w:ascii="Times New Roman" w:hAnsi="Times New Roman" w:cs="Times New Roman"/>
          <w:sz w:val="20"/>
          <w:szCs w:val="20"/>
          <w:lang w:val="en-GB"/>
        </w:rPr>
        <w:t xml:space="preserve">: week. PASI 75/90/100 = improvement in </w:t>
      </w:r>
      <w:r w:rsidR="0059417D">
        <w:rPr>
          <w:rFonts w:ascii="Times New Roman" w:hAnsi="Times New Roman" w:cs="Times New Roman"/>
          <w:sz w:val="20"/>
          <w:szCs w:val="20"/>
          <w:lang w:val="en-GB"/>
        </w:rPr>
        <w:t>the level of clearance</w:t>
      </w:r>
      <w:r w:rsidRPr="004722FF">
        <w:rPr>
          <w:rFonts w:ascii="Times New Roman" w:hAnsi="Times New Roman" w:cs="Times New Roman"/>
          <w:sz w:val="20"/>
          <w:szCs w:val="20"/>
          <w:lang w:val="en-GB"/>
        </w:rPr>
        <w:t xml:space="preserve"> of ≥ 75/90/100% compared to the start of treatment. IGA: Investigators' Global Assessment, where 0 means complete clearance, and 1, almost complete clearance. PGA: </w:t>
      </w:r>
      <w:r w:rsidR="0059417D">
        <w:rPr>
          <w:rFonts w:ascii="Times New Roman" w:hAnsi="Times New Roman" w:cs="Times New Roman"/>
          <w:sz w:val="20"/>
          <w:szCs w:val="20"/>
          <w:lang w:val="en-GB"/>
        </w:rPr>
        <w:t>Physicians</w:t>
      </w:r>
      <w:r w:rsidR="0059417D" w:rsidRPr="004722FF">
        <w:rPr>
          <w:rFonts w:ascii="Times New Roman" w:hAnsi="Times New Roman" w:cs="Times New Roman"/>
          <w:sz w:val="20"/>
          <w:szCs w:val="20"/>
          <w:lang w:val="en-GB"/>
        </w:rPr>
        <w:t>'</w:t>
      </w:r>
      <w:r w:rsidR="0059417D">
        <w:rPr>
          <w:rFonts w:ascii="Times New Roman" w:hAnsi="Times New Roman" w:cs="Times New Roman"/>
          <w:sz w:val="20"/>
          <w:szCs w:val="20"/>
          <w:lang w:val="en-GB"/>
        </w:rPr>
        <w:t xml:space="preserve"> Global Assessment</w:t>
      </w:r>
      <w:r w:rsidRPr="004722FF">
        <w:rPr>
          <w:rFonts w:ascii="Times New Roman" w:hAnsi="Times New Roman" w:cs="Times New Roman"/>
          <w:sz w:val="20"/>
          <w:szCs w:val="20"/>
          <w:lang w:val="en-GB"/>
        </w:rPr>
        <w:t>, where 0 means complete clearance and 1, almost complete clearance. BKZ: Bimekizumab. PBO: placebo. ADA: Adalimumab. UST: Ustekinumab. SEC: Secukinumab. IXE: Ixekizumab. RIS: Risankizumab.</w:t>
      </w:r>
    </w:p>
    <w:p w14:paraId="7D4C50E1" w14:textId="73C7C444" w:rsidR="0059417D" w:rsidRDefault="0059417D" w:rsidP="00424113">
      <w:pPr>
        <w:spacing w:before="120" w:line="240" w:lineRule="auto"/>
        <w:ind w:left="709"/>
        <w:rPr>
          <w:rFonts w:ascii="Times New Roman" w:hAnsi="Times New Roman" w:cs="Times New Roman"/>
          <w:sz w:val="20"/>
          <w:szCs w:val="20"/>
          <w:lang w:val="en-GB"/>
        </w:rPr>
      </w:pPr>
    </w:p>
    <w:p w14:paraId="51C160B5" w14:textId="469652AB" w:rsidR="0059417D" w:rsidRDefault="0059417D" w:rsidP="00424113">
      <w:pPr>
        <w:spacing w:before="120" w:line="240" w:lineRule="auto"/>
        <w:ind w:left="709"/>
        <w:rPr>
          <w:rFonts w:ascii="Times New Roman" w:hAnsi="Times New Roman" w:cs="Times New Roman"/>
          <w:sz w:val="20"/>
          <w:szCs w:val="20"/>
          <w:lang w:val="en-GB"/>
        </w:rPr>
      </w:pPr>
    </w:p>
    <w:p w14:paraId="0FEE52A6" w14:textId="5D1C2725" w:rsidR="0059417D" w:rsidRDefault="0059417D" w:rsidP="00424113">
      <w:pPr>
        <w:spacing w:before="120" w:line="240" w:lineRule="auto"/>
        <w:ind w:left="709"/>
        <w:rPr>
          <w:rFonts w:ascii="Times New Roman" w:hAnsi="Times New Roman" w:cs="Times New Roman"/>
          <w:sz w:val="20"/>
          <w:szCs w:val="20"/>
          <w:lang w:val="en-GB"/>
        </w:rPr>
      </w:pPr>
    </w:p>
    <w:p w14:paraId="1C16A8DC" w14:textId="77777777" w:rsidR="0059417D" w:rsidRPr="004722FF" w:rsidRDefault="0059417D" w:rsidP="00424113">
      <w:pPr>
        <w:spacing w:before="120" w:line="240" w:lineRule="auto"/>
        <w:ind w:left="709"/>
        <w:rPr>
          <w:rFonts w:ascii="Times New Roman" w:hAnsi="Times New Roman" w:cs="Times New Roman"/>
          <w:sz w:val="20"/>
          <w:szCs w:val="20"/>
          <w:lang w:val="en-GB"/>
        </w:rPr>
      </w:pPr>
    </w:p>
    <w:p w14:paraId="1F9B0BE9" w14:textId="30806379" w:rsidR="006B392A" w:rsidRPr="00151751" w:rsidRDefault="00151751" w:rsidP="00B406C9">
      <w:pPr>
        <w:pStyle w:val="Ttulo2"/>
        <w:numPr>
          <w:ilvl w:val="1"/>
          <w:numId w:val="1"/>
        </w:numPr>
        <w:spacing w:before="120" w:line="240" w:lineRule="auto"/>
        <w:ind w:left="993" w:firstLine="0"/>
        <w:rPr>
          <w:rFonts w:ascii="Times New Roman" w:hAnsi="Times New Roman" w:cs="Times New Roman"/>
          <w:b/>
          <w:bCs/>
          <w:smallCaps w:val="0"/>
          <w:color w:val="auto"/>
          <w:sz w:val="24"/>
          <w:szCs w:val="24"/>
          <w:lang w:val="en-GB"/>
        </w:rPr>
      </w:pPr>
      <w:bookmarkStart w:id="105" w:name="_Toc71017189"/>
      <w:bookmarkStart w:id="106" w:name="_Toc71021288"/>
      <w:bookmarkStart w:id="107" w:name="_Toc89351166"/>
      <w:bookmarkEnd w:id="105"/>
      <w:bookmarkEnd w:id="106"/>
      <w:r>
        <w:rPr>
          <w:rFonts w:ascii="Times New Roman" w:hAnsi="Times New Roman" w:cs="Times New Roman"/>
          <w:b/>
          <w:bCs/>
          <w:smallCaps w:val="0"/>
          <w:color w:val="auto"/>
          <w:sz w:val="24"/>
          <w:szCs w:val="24"/>
          <w:lang w:val="en-GB"/>
        </w:rPr>
        <w:lastRenderedPageBreak/>
        <w:t>Safety / tolerability</w:t>
      </w:r>
      <w:bookmarkEnd w:id="107"/>
    </w:p>
    <w:p w14:paraId="1A24BD7E" w14:textId="60703AAE" w:rsidR="009D0493" w:rsidRPr="00151751" w:rsidRDefault="009D0493" w:rsidP="00E251A3">
      <w:pPr>
        <w:pStyle w:val="TITULOTABLASYFIGURAS"/>
        <w:ind w:left="709"/>
        <w:rPr>
          <w:rFonts w:ascii="Times New Roman" w:hAnsi="Times New Roman" w:cs="Times New Roman"/>
          <w:b/>
          <w:bCs/>
          <w:smallCaps w:val="0"/>
          <w:color w:val="auto"/>
          <w:sz w:val="22"/>
          <w:szCs w:val="56"/>
          <w:lang w:val="en-GB"/>
        </w:rPr>
      </w:pPr>
      <w:bookmarkStart w:id="108" w:name="_Toc89078653"/>
      <w:r w:rsidRPr="00151751">
        <w:rPr>
          <w:rFonts w:ascii="Times New Roman" w:hAnsi="Times New Roman" w:cs="Times New Roman"/>
          <w:b/>
          <w:bCs/>
          <w:smallCaps w:val="0"/>
          <w:color w:val="auto"/>
          <w:sz w:val="22"/>
          <w:szCs w:val="56"/>
          <w:lang w:val="en-GB"/>
        </w:rPr>
        <w:t xml:space="preserve">Table </w:t>
      </w:r>
      <w:r w:rsidR="0035242C">
        <w:rPr>
          <w:rFonts w:ascii="Times New Roman" w:hAnsi="Times New Roman" w:cs="Times New Roman"/>
          <w:b/>
          <w:bCs/>
          <w:smallCaps w:val="0"/>
          <w:color w:val="auto"/>
          <w:sz w:val="22"/>
          <w:szCs w:val="56"/>
          <w:lang w:val="en-GB"/>
        </w:rPr>
        <w:t>(S1).</w:t>
      </w:r>
      <w:r w:rsidRPr="00151751">
        <w:rPr>
          <w:rFonts w:ascii="Times New Roman" w:hAnsi="Times New Roman" w:cs="Times New Roman"/>
          <w:b/>
          <w:bCs/>
          <w:smallCaps w:val="0"/>
          <w:color w:val="auto"/>
          <w:sz w:val="22"/>
          <w:szCs w:val="56"/>
          <w:lang w:val="en-GB"/>
        </w:rPr>
        <w:fldChar w:fldCharType="begin"/>
      </w:r>
      <w:r w:rsidRPr="00151751">
        <w:rPr>
          <w:rFonts w:ascii="Times New Roman" w:hAnsi="Times New Roman" w:cs="Times New Roman"/>
          <w:b/>
          <w:bCs/>
          <w:smallCaps w:val="0"/>
          <w:color w:val="auto"/>
          <w:sz w:val="22"/>
          <w:szCs w:val="56"/>
          <w:lang w:val="en-GB"/>
        </w:rPr>
        <w:instrText xml:space="preserve"> SEQ Tabla \* ARABIC </w:instrText>
      </w:r>
      <w:r w:rsidRPr="00151751">
        <w:rPr>
          <w:rFonts w:ascii="Times New Roman" w:hAnsi="Times New Roman" w:cs="Times New Roman"/>
          <w:b/>
          <w:bCs/>
          <w:smallCaps w:val="0"/>
          <w:color w:val="auto"/>
          <w:sz w:val="22"/>
          <w:szCs w:val="56"/>
          <w:lang w:val="en-GB"/>
        </w:rPr>
        <w:fldChar w:fldCharType="separate"/>
      </w:r>
      <w:r w:rsidR="00A35209" w:rsidRPr="00151751">
        <w:rPr>
          <w:rFonts w:ascii="Times New Roman" w:hAnsi="Times New Roman" w:cs="Times New Roman"/>
          <w:b/>
          <w:bCs/>
          <w:smallCaps w:val="0"/>
          <w:noProof/>
          <w:color w:val="auto"/>
          <w:sz w:val="22"/>
          <w:szCs w:val="56"/>
          <w:lang w:val="en-GB"/>
        </w:rPr>
        <w:t>7</w:t>
      </w:r>
      <w:r w:rsidRPr="00151751">
        <w:rPr>
          <w:rFonts w:ascii="Times New Roman" w:hAnsi="Times New Roman" w:cs="Times New Roman"/>
          <w:b/>
          <w:bCs/>
          <w:smallCaps w:val="0"/>
          <w:color w:val="auto"/>
          <w:sz w:val="22"/>
          <w:szCs w:val="56"/>
          <w:lang w:val="en-GB"/>
        </w:rPr>
        <w:fldChar w:fldCharType="end"/>
      </w:r>
      <w:r w:rsidRPr="00151751">
        <w:rPr>
          <w:rFonts w:ascii="Times New Roman" w:hAnsi="Times New Roman" w:cs="Times New Roman"/>
          <w:b/>
          <w:bCs/>
          <w:smallCaps w:val="0"/>
          <w:color w:val="auto"/>
          <w:sz w:val="22"/>
          <w:szCs w:val="56"/>
          <w:lang w:val="en-GB"/>
        </w:rPr>
        <w:t xml:space="preserve">: Safety </w:t>
      </w:r>
      <w:r w:rsidR="00151751">
        <w:rPr>
          <w:rFonts w:ascii="Times New Roman" w:hAnsi="Times New Roman" w:cs="Times New Roman"/>
          <w:b/>
          <w:bCs/>
          <w:smallCaps w:val="0"/>
          <w:color w:val="auto"/>
          <w:sz w:val="22"/>
          <w:szCs w:val="56"/>
          <w:lang w:val="en-GB"/>
        </w:rPr>
        <w:t>/</w:t>
      </w:r>
      <w:r w:rsidRPr="00151751">
        <w:rPr>
          <w:rFonts w:ascii="Times New Roman" w:hAnsi="Times New Roman" w:cs="Times New Roman"/>
          <w:b/>
          <w:bCs/>
          <w:smallCaps w:val="0"/>
          <w:color w:val="auto"/>
          <w:sz w:val="22"/>
          <w:szCs w:val="56"/>
          <w:lang w:val="en-GB"/>
        </w:rPr>
        <w:t xml:space="preserve"> tolerability,</w:t>
      </w:r>
      <w:r w:rsidR="00151751">
        <w:rPr>
          <w:rFonts w:ascii="Times New Roman" w:hAnsi="Times New Roman" w:cs="Times New Roman"/>
          <w:b/>
          <w:bCs/>
          <w:smallCaps w:val="0"/>
          <w:color w:val="auto"/>
          <w:sz w:val="22"/>
          <w:szCs w:val="56"/>
          <w:lang w:val="en-GB"/>
        </w:rPr>
        <w:t xml:space="preserve"> </w:t>
      </w:r>
      <w:r w:rsidRPr="00151751">
        <w:rPr>
          <w:rFonts w:ascii="Times New Roman" w:hAnsi="Times New Roman" w:cs="Times New Roman"/>
          <w:b/>
          <w:bCs/>
          <w:smallCaps w:val="0"/>
          <w:color w:val="auto"/>
          <w:sz w:val="22"/>
          <w:szCs w:val="56"/>
          <w:lang w:val="en-GB"/>
        </w:rPr>
        <w:t>% of patients, short term*</w:t>
      </w:r>
      <w:bookmarkEnd w:id="108"/>
      <w:r w:rsidRPr="00151751">
        <w:rPr>
          <w:rFonts w:ascii="Times New Roman" w:hAnsi="Times New Roman" w:cs="Times New Roman"/>
          <w:b/>
          <w:bCs/>
          <w:smallCaps w:val="0"/>
          <w:color w:val="auto"/>
          <w:sz w:val="22"/>
          <w:szCs w:val="56"/>
          <w:lang w:val="en-GB"/>
        </w:rPr>
        <w:t xml:space="preserve"> </w:t>
      </w:r>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7B4152" w14:paraId="32C13FAE" w14:textId="77777777" w:rsidTr="0014481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0E864811" w14:textId="77777777" w:rsidR="009D0493" w:rsidRPr="00144818" w:rsidRDefault="009D0493" w:rsidP="00677C01">
            <w:pPr>
              <w:spacing w:before="0" w:after="0" w:line="240" w:lineRule="auto"/>
              <w:jc w:val="left"/>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50877DFB" w14:textId="54D12743" w:rsidR="009D0493" w:rsidRPr="00144818" w:rsidRDefault="009D0493" w:rsidP="00677C01">
            <w:pPr>
              <w:spacing w:before="0" w:after="0" w:line="240" w:lineRule="auto"/>
              <w:jc w:val="center"/>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Gordon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{"citationID":"bk3cFcif","properties":{"formattedCitation":"\\super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37</w:t>
            </w:r>
            <w:r w:rsidRPr="00144818">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78F8DCCC" w14:textId="394A4918" w:rsidR="009D0493" w:rsidRPr="00144818" w:rsidRDefault="009D049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Warren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{"citationID":"0cUXO8dn","properties":{"formattedCitation":"\\super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38</w:t>
            </w:r>
            <w:r w:rsidRPr="00144818">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7E3B7D69" w14:textId="1D8BF0F1" w:rsidR="009D0493" w:rsidRPr="00144818" w:rsidRDefault="009D0493" w:rsidP="00677C01">
            <w:pPr>
              <w:spacing w:before="0" w:after="0" w:line="240" w:lineRule="auto"/>
              <w:jc w:val="center"/>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Reich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{"citationID":"plCmX4Wn","properties":{"formattedCitation":"\\super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39</w:t>
            </w:r>
            <w:r w:rsidRPr="00144818">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4B47165C" w14:textId="15CC3E65" w:rsidR="009D0493" w:rsidRPr="00144818" w:rsidRDefault="009D049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Reich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{"citationID":"L1N8EAtX","properties":{"formattedCitation":"\\super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40</w:t>
            </w:r>
            <w:r w:rsidRPr="00144818">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0131B2F3" w14:textId="6777DE57" w:rsidR="009D0493" w:rsidRPr="00144818" w:rsidRDefault="009D0493" w:rsidP="00677C01">
            <w:pPr>
              <w:spacing w:before="0" w:after="0" w:line="240" w:lineRule="auto"/>
              <w:jc w:val="center"/>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Gordon (2016</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{"citationID":"04TXd77s","properties":{"formattedCitation":"\\super 42\\nosupersub{}","plainCitation":"42","noteIndex":0},"citationItems":[{"id":22743,"uris":["http://zotero.org/groups/337550/items/C3QCCC2M"],"uri":["http://zotero.org/groups/337550/items/C3QCCC2M"],"itemData":{"id":22743,"type":"article-journal","abstract":"BACKGROUND: Two phase 3 trials (UNCOVER-2 and UNCOVER-3) showed that at 12 weeks of treatment, ixekizumab, a monoclonal antibody against interleukin-17A, was superior to placebo and etanercept in the treatment of moderate-to-severe psoriasis. We report the 60-week data from the UNCOVER-2 and UNCOVER-3 trials, as well as 12-week and 60-week data from a third phase 3 trial, UNCOVER-1.\nMETHODS: We randomly assigned 1296 patients in the UNCOVER-1 trial, 1224 patients in the UNCOVER-2 trial, and 1346 patients in the UNCOVER-3 trial to receive subcutaneous injections of placebo (placebo group), 80 mg of ixekizumab every 2 weeks after a starting dose of 160 mg (2-wk dosing group), or 80 mg of ixekizumab every 4 weeks after a starting dose of 160 mg (4-wk dosing group). Additional cohorts in the UNCOVER-2 and UNCOVER-3 trials were randomly assigned to receive 50 mg of etanercept twice weekly. At week 12 in the UNCOVER-3 trial, the patients entered a long-term extension period during which they received 80 mg of ixekizumab every 4 weeks through week 60; at week 12 in the UNCOVER-1 and UNCOVER-2 trials, the patients who had a response to ixekizumab (defined as a static Physicians Global Assessment [sPGA] score of 0 [clear] or 1 [minimal psoriasis]) were randomly reassigned to receive placebo, 80 mg of ixekizumab every 4 weeks, or 80 mg of ixekizumab every 12 weeks through week 60. Coprimary end points were the percentage of patients who had a score on the sPGA of 0 or 1 and a 75% or greater reduction from baseline in Psoriasis Area and Severity Index (PASI 75) at week 12.\nRESULTS: In the UNCOVER-1 trial, at week 12, the patients had better responses to ixekizumab than to placebo; in the 2-wk dosing group, 81.8% had an sPGA score of 0 or 1 and 89.1% had a PASI 75 response; in the 4-wk dosing group, the respective rates were 76.4% and 82.6%; and in the placebo group, the rates were 3.2% and 3.9% (P&lt;0.001 for all comparisons of ixekizumab with placebo). In the UNCOVER-1 and UNCOVER-2 trials, among the patients who were randomly reassigned at week 12 to receive 80 mg of ixekizumab every 4 weeks, 80 mg of ixekizumab every 12 weeks, or placebo, an sPGA score of 0 or 1 was maintained by 73.8%, 39.0%, and 7.0% of the patients, respectively. Patients in the UNCOVER-3 trial received continuous treatment of ixekizumab from weeks 0 through 60, and at week 60, at least 73% had an sPGA score of 0 or 1 and at least 80% had a PASI 75 response. Adverse events reported during ixekizumab use included neutropenia, candidal infections, and inflammatory bowel disease.\nCONCLUSIONS: In three phase 3 trials involving patients with psoriasis, ixekizumab was effective through 60 weeks of treatment. As with any treatment, the benefits need to be weighed against the risks of adverse events. The efficacy and safety of ixekizumab beyond 60 weeks of treatment are not yet known. (Funded by Eli Lilly; UNCOVER-1, UNCOVER-2, and UNCOVER-3 ClinicalTrials.gov numbers NCT01474512, NCT01597245, and NCT01646177, respectively.).","container-title":"The New England Journal of Medicine","DOI":"10.1056/NEJMoa1512711","ISSN":"1533-4406","issue":"4","journalAbbreviation":"N. Engl. J. Med.","language":"eng","note":"PMID: 27299809","page":"345-356","source":"UpToDate References","title":"Phase 3 Trials of Ixekizumab in Moderate-to-Severe Plaque Psoriasis","volume":"375","author":[{"family":"Gordon","given":"Kenneth B."},{"family":"Blauvelt","given":"Andrew"},{"family":"Papp","given":"Kim A."},{"family":"Langley","given":"Richard G."},{"family":"Luger","given":"Thomas"},{"family":"Ohtsuki","given":"Mamitaro"},{"family":"Reich","given":"Kristian"},{"family":"Amato","given":"David"},{"family":"Ball","given":"Susan G."},{"family":"Braun","given":"Daniel K."},{"family":"Cameron","given":"Gregory S."},{"family":"Erickson","given":"Janelle"},{"family":"Konrad","given":"Robert J."},{"family":"Muram","given":"Talia M."},{"family":"Nickoloff","given":"Brian J."},{"family":"Osuntokun","given":"Olawale O."},{"family":"Secrest","given":"Roberta J."},{"family":"Zhao","given":"Fangyi"},{"family":"Mallbris","given":"Lotus"},{"family":"Leonardi","given":"Craig L."},{"literal":"UNCOVER-1 Study Group"},{"literal":"UNCOVER-2 Study Group"},{"literal":"UNCOVER-3 Study Group"}],"issued":{"date-parts":[["2016"]]}}}],"schema":"https://github.com/citation-style-language/schema/raw/master/csl-citation.json"}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42</w:t>
            </w:r>
            <w:r w:rsidRPr="00144818">
              <w:rPr>
                <w:rFonts w:ascii="Times New Roman" w:hAnsi="Times New Roman" w:cs="Times New Roman"/>
                <w:sz w:val="20"/>
                <w:szCs w:val="20"/>
                <w:lang w:val="en-GB"/>
              </w:rPr>
              <w:fldChar w:fldCharType="end"/>
            </w:r>
            <w:r w:rsidRPr="00144818">
              <w:rPr>
                <w:rFonts w:ascii="Times New Roman" w:hAnsi="Times New Roman" w:cs="Times New Roman"/>
                <w:color w:val="auto"/>
                <w:sz w:val="20"/>
                <w:szCs w:val="20"/>
                <w:lang w:val="en-GB"/>
              </w:rPr>
              <w:t>,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{"citationID":"XXM9BBl1","properties":{"formattedCitation":"\\super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37</w:t>
            </w:r>
            <w:r w:rsidRPr="00144818">
              <w:rPr>
                <w:rFonts w:ascii="Times New Roman" w:hAnsi="Times New Roman" w:cs="Times New Roman"/>
                <w:sz w:val="20"/>
                <w:szCs w:val="20"/>
                <w:lang w:val="en-GB"/>
              </w:rPr>
              <w:fldChar w:fldCharType="end"/>
            </w:r>
            <w:r w:rsidRPr="00144818">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6AAABA7D" w14:textId="45326E51" w:rsidR="009D0493" w:rsidRPr="00144818" w:rsidRDefault="009D049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44818">
              <w:rPr>
                <w:rFonts w:ascii="Times New Roman" w:hAnsi="Times New Roman" w:cs="Times New Roman"/>
                <w:color w:val="auto"/>
                <w:sz w:val="20"/>
                <w:szCs w:val="20"/>
                <w:lang w:val="en-GB"/>
              </w:rPr>
              <w:t>Gordon (2018</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{"citationID":"Df7a1eey","properties":{"formattedCitation":"\\super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144818">
              <w:rPr>
                <w:rFonts w:ascii="Times New Roman" w:hAnsi="Times New Roman" w:cs="Times New Roman"/>
                <w:sz w:val="20"/>
                <w:szCs w:val="20"/>
                <w:vertAlign w:val="superscript"/>
              </w:rPr>
              <w:t>43</w:t>
            </w:r>
            <w:r w:rsidRPr="00144818">
              <w:rPr>
                <w:rFonts w:ascii="Times New Roman" w:hAnsi="Times New Roman" w:cs="Times New Roman"/>
                <w:sz w:val="20"/>
                <w:szCs w:val="20"/>
                <w:lang w:val="en-GB"/>
              </w:rPr>
              <w:fldChar w:fldCharType="end"/>
            </w:r>
            <w:r w:rsidRPr="00144818">
              <w:rPr>
                <w:rFonts w:ascii="Times New Roman" w:hAnsi="Times New Roman" w:cs="Times New Roman"/>
                <w:color w:val="auto"/>
                <w:sz w:val="20"/>
                <w:szCs w:val="20"/>
                <w:lang w:val="en-GB"/>
              </w:rPr>
              <w:t>, 2021</w:t>
            </w:r>
            <w:r w:rsidRPr="00144818">
              <w:rPr>
                <w:rFonts w:ascii="Times New Roman" w:hAnsi="Times New Roman" w:cs="Times New Roman"/>
                <w:sz w:val="20"/>
                <w:szCs w:val="20"/>
                <w:lang w:val="en-GB"/>
              </w:rPr>
              <w:fldChar w:fldCharType="begin"/>
            </w:r>
            <w:r w:rsidR="007A0A45" w:rsidRPr="00144818">
              <w:rPr>
                <w:rFonts w:ascii="Times New Roman" w:hAnsi="Times New Roman" w:cs="Times New Roman"/>
                <w:color w:val="auto"/>
                <w:sz w:val="20"/>
                <w:szCs w:val="20"/>
                <w:lang w:val="en-GB"/>
              </w:rPr>
              <w:instrText xml:space="preserve"> ADDIN ZOTERO_ITEM CSL_CITATION {"citationID":"21G9sdK6","properties":{"formattedCitation":"\\super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144818">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144818">
              <w:rPr>
                <w:rFonts w:ascii="Times New Roman" w:hAnsi="Times New Roman" w:cs="Times New Roman"/>
                <w:sz w:val="20"/>
                <w:szCs w:val="20"/>
                <w:lang w:val="en-GB"/>
              </w:rPr>
              <w:fldChar w:fldCharType="end"/>
            </w:r>
            <w:r w:rsidRPr="00144818">
              <w:rPr>
                <w:rFonts w:ascii="Times New Roman" w:hAnsi="Times New Roman" w:cs="Times New Roman"/>
                <w:color w:val="auto"/>
                <w:sz w:val="20"/>
                <w:szCs w:val="20"/>
                <w:lang w:val="en-GB"/>
              </w:rPr>
              <w:t>)</w:t>
            </w:r>
          </w:p>
        </w:tc>
      </w:tr>
      <w:tr w:rsidR="00144818" w:rsidRPr="007B4152" w14:paraId="1A8D6F14"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3AB4B53A" w14:textId="1D384914" w:rsidR="009D0493" w:rsidRPr="00144818" w:rsidRDefault="007715C9" w:rsidP="00677C01">
            <w:pPr>
              <w:spacing w:before="0" w:after="0" w:line="240" w:lineRule="auto"/>
              <w:jc w:val="left"/>
              <w:rPr>
                <w:rFonts w:ascii="Times New Roman" w:hAnsi="Times New Roman" w:cs="Times New Roman"/>
                <w:sz w:val="20"/>
                <w:szCs w:val="20"/>
                <w:lang w:val="en-GB"/>
              </w:rPr>
            </w:pPr>
            <w:r>
              <w:rPr>
                <w:rFonts w:ascii="Times New Roman" w:hAnsi="Times New Roman" w:cs="Times New Roman"/>
                <w:sz w:val="20"/>
                <w:szCs w:val="20"/>
                <w:lang w:val="en-GB"/>
              </w:rPr>
              <w:t>Period (in weeks)</w:t>
            </w:r>
            <w:r w:rsidR="009D0493" w:rsidRPr="00144818">
              <w:rPr>
                <w:rFonts w:ascii="Times New Roman" w:hAnsi="Times New Roman" w:cs="Times New Roman"/>
                <w:sz w:val="20"/>
                <w:szCs w:val="20"/>
                <w:lang w:val="en-GB"/>
              </w:rPr>
              <w:t xml:space="preserve"> </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419942B2" w14:textId="2C6A33A7" w:rsidR="009D0493" w:rsidRPr="00144818" w:rsidRDefault="009D0493"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(0-16)</w:t>
            </w:r>
          </w:p>
        </w:tc>
        <w:tc>
          <w:tcPr>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2FA06B3A" w14:textId="1022327B" w:rsidR="009D0493" w:rsidRPr="00144818" w:rsidRDefault="00151751"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w:t>
            </w:r>
            <w:r w:rsidR="009D0493" w:rsidRPr="00144818">
              <w:rPr>
                <w:rFonts w:ascii="Times New Roman" w:hAnsi="Times New Roman" w:cs="Times New Roman"/>
                <w:b/>
                <w:bCs/>
                <w:sz w:val="20"/>
                <w:szCs w:val="20"/>
                <w:lang w:val="en-GB"/>
              </w:rPr>
              <w:t>0-24)</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383E4B44" w14:textId="19CEB2A1" w:rsidR="009D0493" w:rsidRPr="00144818" w:rsidRDefault="009D0493"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(0-16)</w:t>
            </w:r>
          </w:p>
        </w:tc>
        <w:tc>
          <w:tcPr>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48DA3636" w14:textId="1A479684" w:rsidR="009D0493" w:rsidRPr="00144818" w:rsidRDefault="00151751"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765E8C88" w14:textId="3FE3AE17" w:rsidR="009D0493" w:rsidRPr="00144818" w:rsidRDefault="009D0493"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w:t>
            </w:r>
            <w:r w:rsidR="007715C9">
              <w:rPr>
                <w:rFonts w:ascii="Times New Roman" w:hAnsi="Times New Roman" w:cs="Times New Roman"/>
                <w:b/>
                <w:bCs/>
                <w:sz w:val="20"/>
                <w:szCs w:val="20"/>
                <w:lang w:val="en-GB"/>
              </w:rPr>
              <w:t>0-</w:t>
            </w:r>
            <w:r w:rsidRPr="00144818">
              <w:rPr>
                <w:rFonts w:ascii="Times New Roman" w:hAnsi="Times New Roman" w:cs="Times New Roman"/>
                <w:b/>
                <w:bCs/>
                <w:sz w:val="20"/>
                <w:szCs w:val="20"/>
                <w:lang w:val="en-GB"/>
              </w:rPr>
              <w:t xml:space="preserve">16 / </w:t>
            </w:r>
            <w:r w:rsidR="007715C9">
              <w:rPr>
                <w:rFonts w:ascii="Times New Roman" w:hAnsi="Times New Roman" w:cs="Times New Roman"/>
                <w:b/>
                <w:bCs/>
                <w:sz w:val="20"/>
                <w:szCs w:val="20"/>
                <w:lang w:val="en-GB"/>
              </w:rPr>
              <w:t>0-</w:t>
            </w:r>
            <w:r w:rsidRPr="00144818">
              <w:rPr>
                <w:rFonts w:ascii="Times New Roman" w:hAnsi="Times New Roman" w:cs="Times New Roman"/>
                <w:b/>
                <w:bCs/>
                <w:sz w:val="20"/>
                <w:szCs w:val="20"/>
                <w:lang w:val="en-GB"/>
              </w:rPr>
              <w:t>12)</w:t>
            </w:r>
          </w:p>
        </w:tc>
        <w:tc>
          <w:tcPr>
            <w:tcW w:w="2127"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24423239" w14:textId="46DF4900" w:rsidR="009D0493" w:rsidRPr="00144818" w:rsidRDefault="009D049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(0-16)</w:t>
            </w:r>
          </w:p>
        </w:tc>
      </w:tr>
      <w:tr w:rsidR="005F7BBC" w:rsidRPr="007B4152" w14:paraId="34F28EF8"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3EEB18D9" w14:textId="7CA6F9B2" w:rsidR="009D0493" w:rsidRPr="00144818" w:rsidRDefault="00144818" w:rsidP="00677C01">
            <w:pPr>
              <w:spacing w:before="0" w:after="0" w:line="240" w:lineRule="auto"/>
              <w:jc w:val="left"/>
              <w:rPr>
                <w:rFonts w:ascii="Times New Roman" w:hAnsi="Times New Roman" w:cs="Times New Roman"/>
                <w:sz w:val="20"/>
                <w:szCs w:val="20"/>
                <w:lang w:val="en-GB"/>
              </w:rPr>
            </w:pPr>
            <w:r>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5C251AB7"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167ECF2D"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9DEAC05"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0E79F7EA"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7828730B"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42D25F30"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B9A8763"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1248975E"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5E39FAF"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0871A856"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B53A1B8" w14:textId="77777777" w:rsidR="009D0493" w:rsidRPr="00144818" w:rsidRDefault="008136F8" w:rsidP="00677C01">
            <w:pPr>
              <w:spacing w:before="0" w:after="0" w:line="240" w:lineRule="auto"/>
              <w:jc w:val="center"/>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BKZ</w:t>
            </w:r>
          </w:p>
        </w:tc>
        <w:tc>
          <w:tcPr>
            <w:tcW w:w="1064" w:type="dxa"/>
            <w:tcBorders>
              <w:right w:val="single" w:sz="12" w:space="0" w:color="auto"/>
            </w:tcBorders>
            <w:shd w:val="clear" w:color="auto" w:fill="BFBFBF" w:themeFill="background1" w:themeFillShade="BF"/>
            <w:tcMar>
              <w:top w:w="28" w:type="dxa"/>
              <w:bottom w:w="28" w:type="dxa"/>
            </w:tcMar>
            <w:vAlign w:val="center"/>
          </w:tcPr>
          <w:p w14:paraId="226FC558" w14:textId="77777777" w:rsidR="009D0493" w:rsidRPr="00144818" w:rsidRDefault="009D049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144818">
              <w:rPr>
                <w:rFonts w:ascii="Times New Roman" w:hAnsi="Times New Roman" w:cs="Times New Roman"/>
                <w:b/>
                <w:bCs/>
                <w:sz w:val="20"/>
                <w:szCs w:val="20"/>
                <w:lang w:val="en-GB"/>
              </w:rPr>
              <w:t>RIS</w:t>
            </w:r>
          </w:p>
        </w:tc>
      </w:tr>
      <w:tr w:rsidR="004722FF" w:rsidRPr="007B4152" w14:paraId="16BE1DC7"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8639D4E" w14:textId="2A7695A8"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b w:val="0"/>
                <w:bCs w:val="0"/>
                <w:sz w:val="20"/>
                <w:szCs w:val="20"/>
                <w:lang w:val="en-GB"/>
              </w:rPr>
              <w:t xml:space="preserve">Serious </w:t>
            </w:r>
            <w:r w:rsidR="00144818">
              <w:rPr>
                <w:rFonts w:ascii="Times New Roman" w:hAnsi="Times New Roman" w:cs="Times New Roman"/>
                <w:b w:val="0"/>
                <w:bCs w:val="0"/>
                <w:sz w:val="20"/>
                <w:szCs w:val="20"/>
                <w:lang w:val="en-GB"/>
              </w:rPr>
              <w:t>AE</w:t>
            </w:r>
            <w:r w:rsidR="00F001D0">
              <w:rPr>
                <w:rFonts w:ascii="Times New Roman" w:hAnsi="Times New Roman" w:cs="Times New Roman"/>
                <w:b w:val="0"/>
                <w:bCs w:val="0"/>
                <w:sz w:val="20"/>
                <w:szCs w:val="20"/>
                <w:lang w:val="en-GB"/>
              </w:rPr>
              <w:t xml:space="preserve"> </w:t>
            </w:r>
            <w:r w:rsidRPr="00144818">
              <w:rPr>
                <w:rFonts w:ascii="Times New Roman" w:hAnsi="Times New Roman" w:cs="Times New Roman"/>
                <w:sz w:val="20"/>
                <w:szCs w:val="20"/>
                <w:lang w:val="en-GB"/>
              </w:rPr>
              <w:t>ϮϮ</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09691A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2B5F799C"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8C90E66"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243A0AED"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1C1FA3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69A885C0"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1200BA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56B53D7"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17C40F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56D50B36"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61BFB65"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4" w:type="dxa"/>
            <w:tcBorders>
              <w:right w:val="single" w:sz="12" w:space="0" w:color="auto"/>
            </w:tcBorders>
            <w:tcMar>
              <w:top w:w="28" w:type="dxa"/>
              <w:bottom w:w="28" w:type="dxa"/>
            </w:tcMar>
            <w:vAlign w:val="center"/>
          </w:tcPr>
          <w:p w14:paraId="3A88374B"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r>
      <w:tr w:rsidR="004722FF" w:rsidRPr="007B4152" w14:paraId="16763D1E"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689137E" w14:textId="7B33719B"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b w:val="0"/>
                <w:bCs w:val="0"/>
                <w:sz w:val="20"/>
                <w:szCs w:val="20"/>
                <w:lang w:val="en-GB"/>
              </w:rPr>
              <w:t xml:space="preserve">Severe </w:t>
            </w:r>
            <w:r w:rsidR="00144818">
              <w:rPr>
                <w:rFonts w:ascii="Times New Roman" w:hAnsi="Times New Roman" w:cs="Times New Roman"/>
                <w:b w:val="0"/>
                <w:bCs w:val="0"/>
                <w:sz w:val="20"/>
                <w:szCs w:val="20"/>
                <w:lang w:val="en-GB"/>
              </w:rPr>
              <w:t>AE</w:t>
            </w:r>
            <w:r w:rsidRPr="00144818">
              <w:rPr>
                <w:rFonts w:ascii="Times New Roman" w:hAnsi="Times New Roman" w:cs="Times New Roman"/>
                <w:sz w:val="20"/>
                <w:szCs w:val="20"/>
                <w:lang w:val="en-GB"/>
              </w:rPr>
              <w:t xml:space="preserve"> Ϯ</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3BD851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38A7A5A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28B2A3A"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7FDFA0C6"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127C47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2DA9D34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71B9C9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29533D79"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96A2505"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781B1764"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25D4ACB"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4" w:type="dxa"/>
            <w:tcBorders>
              <w:right w:val="single" w:sz="12" w:space="0" w:color="auto"/>
            </w:tcBorders>
            <w:tcMar>
              <w:top w:w="28" w:type="dxa"/>
              <w:bottom w:w="28" w:type="dxa"/>
            </w:tcMar>
            <w:vAlign w:val="center"/>
          </w:tcPr>
          <w:p w14:paraId="100B2424"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r>
      <w:tr w:rsidR="004722FF" w:rsidRPr="007B4152" w14:paraId="73316BC4"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11358AD" w14:textId="77777777"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b w:val="0"/>
                <w:bCs w:val="0"/>
                <w:sz w:val="20"/>
                <w:szCs w:val="20"/>
                <w:lang w:val="en-GB"/>
              </w:rPr>
              <w:t>Discontinuations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3DC833"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5336472F"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455BD4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4</w:t>
            </w:r>
          </w:p>
        </w:tc>
        <w:tc>
          <w:tcPr>
            <w:tcW w:w="1063" w:type="dxa"/>
            <w:tcBorders>
              <w:right w:val="single" w:sz="12" w:space="0" w:color="auto"/>
            </w:tcBorders>
            <w:tcMar>
              <w:top w:w="28" w:type="dxa"/>
              <w:bottom w:w="28" w:type="dxa"/>
            </w:tcMar>
            <w:vAlign w:val="center"/>
          </w:tcPr>
          <w:p w14:paraId="484A1EA9"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E870E23"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7E363F42"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225D26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0062E10"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821D17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146D8ECE"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A0C2FC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4" w:type="dxa"/>
            <w:tcBorders>
              <w:right w:val="single" w:sz="12" w:space="0" w:color="auto"/>
            </w:tcBorders>
            <w:tcMar>
              <w:top w:w="28" w:type="dxa"/>
              <w:bottom w:w="28" w:type="dxa"/>
            </w:tcMar>
            <w:vAlign w:val="center"/>
          </w:tcPr>
          <w:p w14:paraId="509159DE"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r>
      <w:tr w:rsidR="004722FF" w:rsidRPr="007B4152" w14:paraId="004AE186"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A004167" w14:textId="77777777"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b w:val="0"/>
                <w:bCs w:val="0"/>
                <w:sz w:val="20"/>
                <w:szCs w:val="20"/>
                <w:lang w:val="en-GB"/>
              </w:rPr>
              <w:t>Deaths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6D9E85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70B3C006"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ADAA5A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711110A4"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6B846C9"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56805360"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40B7939"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736300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4DDA92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16B0105F"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B70CB0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3128AB93"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r>
      <w:tr w:rsidR="004722FF" w:rsidRPr="007B4152" w14:paraId="47800DC9"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3BA9138" w14:textId="3AE8C414" w:rsidR="00A35209" w:rsidRPr="00144818" w:rsidRDefault="00144818" w:rsidP="00A35209">
            <w:pPr>
              <w:spacing w:before="0" w:after="0" w:line="240" w:lineRule="auto"/>
              <w:jc w:val="left"/>
              <w:rPr>
                <w:rFonts w:ascii="Times New Roman" w:hAnsi="Times New Roman" w:cs="Times New Roman"/>
                <w:sz w:val="20"/>
                <w:szCs w:val="20"/>
                <w:lang w:val="en-GB"/>
              </w:rPr>
            </w:pPr>
            <w:r>
              <w:rPr>
                <w:rFonts w:ascii="Times New Roman" w:hAnsi="Times New Roman" w:cs="Times New Roman"/>
                <w:b w:val="0"/>
                <w:bCs w:val="0"/>
                <w:sz w:val="20"/>
                <w:szCs w:val="20"/>
                <w:lang w:val="en-GB"/>
              </w:rPr>
              <w:t>AE</w:t>
            </w:r>
            <w:r w:rsidR="00A35209" w:rsidRPr="00144818">
              <w:rPr>
                <w:rFonts w:ascii="Times New Roman" w:hAnsi="Times New Roman" w:cs="Times New Roman"/>
                <w:b w:val="0"/>
                <w:bCs w:val="0"/>
                <w:sz w:val="20"/>
                <w:szCs w:val="20"/>
                <w:lang w:val="en-GB"/>
              </w:rPr>
              <w:t xml:space="preserve"> cause</w:t>
            </w:r>
            <w:r>
              <w:rPr>
                <w:rFonts w:ascii="Times New Roman" w:hAnsi="Times New Roman" w:cs="Times New Roman"/>
                <w:b w:val="0"/>
                <w:bCs w:val="0"/>
                <w:sz w:val="20"/>
                <w:szCs w:val="20"/>
                <w:lang w:val="en-GB"/>
              </w:rPr>
              <w:t>d</w:t>
            </w:r>
            <w:r w:rsidR="00A35209" w:rsidRPr="00144818">
              <w:rPr>
                <w:rFonts w:ascii="Times New Roman" w:hAnsi="Times New Roman" w:cs="Times New Roman"/>
                <w:b w:val="0"/>
                <w:bCs w:val="0"/>
                <w:sz w:val="20"/>
                <w:szCs w:val="20"/>
                <w:lang w:val="en-GB"/>
              </w:rPr>
              <w:t xml:space="preserve"> </w:t>
            </w:r>
            <w:r>
              <w:rPr>
                <w:rFonts w:ascii="Times New Roman" w:hAnsi="Times New Roman" w:cs="Times New Roman"/>
                <w:b w:val="0"/>
                <w:bCs w:val="0"/>
                <w:sz w:val="20"/>
                <w:szCs w:val="20"/>
                <w:lang w:val="en-GB"/>
              </w:rPr>
              <w:t xml:space="preserve">by the </w:t>
            </w:r>
            <w:r w:rsidR="00A35209" w:rsidRPr="00144818">
              <w:rPr>
                <w:rFonts w:ascii="Times New Roman" w:hAnsi="Times New Roman" w:cs="Times New Roman"/>
                <w:b w:val="0"/>
                <w:bCs w:val="0"/>
                <w:sz w:val="20"/>
                <w:szCs w:val="20"/>
                <w:lang w:val="en-GB"/>
              </w:rPr>
              <w:t>drug</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761EC6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42B64810"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5F76D3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29</w:t>
            </w:r>
          </w:p>
        </w:tc>
        <w:tc>
          <w:tcPr>
            <w:tcW w:w="1063" w:type="dxa"/>
            <w:tcBorders>
              <w:right w:val="single" w:sz="12" w:space="0" w:color="auto"/>
            </w:tcBorders>
            <w:tcMar>
              <w:top w:w="28" w:type="dxa"/>
              <w:bottom w:w="28" w:type="dxa"/>
            </w:tcMar>
            <w:vAlign w:val="center"/>
          </w:tcPr>
          <w:p w14:paraId="6024F9C5"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58ED5E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3B0E8DE"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4E2605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B96E5B0"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F662F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540336A"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B01497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1B6D3467"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r w:rsidR="004722FF" w:rsidRPr="007B4152" w14:paraId="5B0B4792"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69DC4F8" w14:textId="0616166D"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b w:val="0"/>
                <w:bCs w:val="0"/>
                <w:sz w:val="20"/>
                <w:szCs w:val="20"/>
                <w:lang w:val="en-GB"/>
              </w:rPr>
              <w:t xml:space="preserve">Any </w:t>
            </w:r>
            <w:r w:rsidR="00144818">
              <w:rPr>
                <w:rFonts w:ascii="Times New Roman" w:hAnsi="Times New Roman" w:cs="Times New Roman"/>
                <w:b w:val="0"/>
                <w:bCs w:val="0"/>
                <w:sz w:val="20"/>
                <w:szCs w:val="20"/>
                <w:lang w:val="en-GB"/>
              </w:rPr>
              <w:t>AE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D9A159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61</w:t>
            </w:r>
          </w:p>
        </w:tc>
        <w:tc>
          <w:tcPr>
            <w:tcW w:w="1063" w:type="dxa"/>
            <w:tcBorders>
              <w:right w:val="single" w:sz="12" w:space="0" w:color="auto"/>
            </w:tcBorders>
            <w:tcMar>
              <w:top w:w="28" w:type="dxa"/>
              <w:bottom w:w="28" w:type="dxa"/>
            </w:tcMar>
            <w:vAlign w:val="center"/>
          </w:tcPr>
          <w:p w14:paraId="5B3C18B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41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B8D789B"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72</w:t>
            </w:r>
          </w:p>
        </w:tc>
        <w:tc>
          <w:tcPr>
            <w:tcW w:w="1063" w:type="dxa"/>
            <w:tcBorders>
              <w:right w:val="single" w:sz="12" w:space="0" w:color="auto"/>
            </w:tcBorders>
            <w:tcMar>
              <w:top w:w="28" w:type="dxa"/>
              <w:bottom w:w="28" w:type="dxa"/>
            </w:tcMar>
            <w:vAlign w:val="center"/>
          </w:tcPr>
          <w:p w14:paraId="6D588E66"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70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95BD2D1"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56</w:t>
            </w:r>
          </w:p>
        </w:tc>
        <w:tc>
          <w:tcPr>
            <w:tcW w:w="1063" w:type="dxa"/>
            <w:tcBorders>
              <w:right w:val="single" w:sz="12" w:space="0" w:color="auto"/>
            </w:tcBorders>
            <w:tcMar>
              <w:top w:w="28" w:type="dxa"/>
              <w:bottom w:w="28" w:type="dxa"/>
            </w:tcMar>
            <w:vAlign w:val="center"/>
          </w:tcPr>
          <w:p w14:paraId="52B38E31"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51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D62C7CA"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1976FFD"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9B0346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61</w:t>
            </w:r>
          </w:p>
        </w:tc>
        <w:tc>
          <w:tcPr>
            <w:tcW w:w="1063" w:type="dxa"/>
            <w:tcBorders>
              <w:right w:val="single" w:sz="12" w:space="0" w:color="auto"/>
            </w:tcBorders>
            <w:tcMar>
              <w:top w:w="28" w:type="dxa"/>
              <w:bottom w:w="28" w:type="dxa"/>
            </w:tcMar>
            <w:vAlign w:val="center"/>
          </w:tcPr>
          <w:p w14:paraId="47D7E235"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59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00DF65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61</w:t>
            </w:r>
          </w:p>
        </w:tc>
        <w:tc>
          <w:tcPr>
            <w:tcW w:w="1064" w:type="dxa"/>
            <w:tcBorders>
              <w:right w:val="single" w:sz="12" w:space="0" w:color="auto"/>
            </w:tcBorders>
            <w:tcMar>
              <w:top w:w="28" w:type="dxa"/>
              <w:bottom w:w="28" w:type="dxa"/>
            </w:tcMar>
            <w:vAlign w:val="center"/>
          </w:tcPr>
          <w:p w14:paraId="72AFBDA5"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46-50</w:t>
            </w:r>
          </w:p>
        </w:tc>
      </w:tr>
      <w:tr w:rsidR="005F7BBC" w:rsidRPr="007B4152" w14:paraId="28CB291F" w14:textId="77777777" w:rsidTr="00F00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5AC583C7" w14:textId="0587EE8D" w:rsidR="00A35209" w:rsidRPr="00144818" w:rsidRDefault="00A35209" w:rsidP="00A35209">
            <w:pPr>
              <w:spacing w:before="0" w:after="0" w:line="240" w:lineRule="auto"/>
              <w:jc w:val="left"/>
              <w:rPr>
                <w:rFonts w:ascii="Times New Roman" w:hAnsi="Times New Roman" w:cs="Times New Roman"/>
                <w:sz w:val="20"/>
                <w:szCs w:val="20"/>
                <w:lang w:val="en-GB"/>
              </w:rPr>
            </w:pPr>
            <w:r w:rsidRPr="00144818">
              <w:rPr>
                <w:rFonts w:ascii="Times New Roman" w:hAnsi="Times New Roman" w:cs="Times New Roman"/>
                <w:sz w:val="20"/>
                <w:szCs w:val="20"/>
                <w:lang w:val="en-GB"/>
              </w:rPr>
              <w:t xml:space="preserve">Most common </w:t>
            </w:r>
            <w:r w:rsidR="00144818">
              <w:rPr>
                <w:rFonts w:ascii="Times New Roman" w:hAnsi="Times New Roman" w:cs="Times New Roman"/>
                <w:sz w:val="20"/>
                <w:szCs w:val="20"/>
                <w:lang w:val="en-GB"/>
              </w:rPr>
              <w:t>AE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665D5E0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26ED3299"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74BADB5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3F7C940F"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2948D10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6986C6C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728417E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5095FCCB"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250FC599"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691C4DDB"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7DE3AB23"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p>
        </w:tc>
        <w:tc>
          <w:tcPr>
            <w:tcW w:w="1064" w:type="dxa"/>
            <w:tcBorders>
              <w:right w:val="single" w:sz="12" w:space="0" w:color="auto"/>
            </w:tcBorders>
            <w:shd w:val="clear" w:color="auto" w:fill="BFBFBF" w:themeFill="background1" w:themeFillShade="BF"/>
            <w:tcMar>
              <w:top w:w="28" w:type="dxa"/>
              <w:bottom w:w="28" w:type="dxa"/>
            </w:tcMar>
            <w:vAlign w:val="center"/>
          </w:tcPr>
          <w:p w14:paraId="22296317"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4722FF" w:rsidRPr="007B4152" w14:paraId="7ED11895"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4F553D8"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Nasopharyngitis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9E472F"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7</w:t>
            </w:r>
          </w:p>
        </w:tc>
        <w:tc>
          <w:tcPr>
            <w:tcW w:w="1063" w:type="dxa"/>
            <w:tcBorders>
              <w:right w:val="single" w:sz="12" w:space="0" w:color="auto"/>
            </w:tcBorders>
            <w:tcMar>
              <w:top w:w="28" w:type="dxa"/>
              <w:bottom w:w="28" w:type="dxa"/>
            </w:tcMar>
            <w:vAlign w:val="center"/>
          </w:tcPr>
          <w:p w14:paraId="2D1D9504"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2EA841B"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9DAEED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F0A0261"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7E0A0D44"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2ABD539"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51FDEB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2B03213"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7</w:t>
            </w:r>
          </w:p>
        </w:tc>
        <w:tc>
          <w:tcPr>
            <w:tcW w:w="1063" w:type="dxa"/>
            <w:tcBorders>
              <w:right w:val="single" w:sz="12" w:space="0" w:color="auto"/>
            </w:tcBorders>
            <w:tcMar>
              <w:top w:w="28" w:type="dxa"/>
              <w:bottom w:w="28" w:type="dxa"/>
            </w:tcMar>
            <w:vAlign w:val="center"/>
          </w:tcPr>
          <w:p w14:paraId="1C7DFF36"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8B47B35"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7</w:t>
            </w:r>
          </w:p>
        </w:tc>
        <w:tc>
          <w:tcPr>
            <w:tcW w:w="1064" w:type="dxa"/>
            <w:tcBorders>
              <w:right w:val="single" w:sz="12" w:space="0" w:color="auto"/>
            </w:tcBorders>
            <w:tcMar>
              <w:top w:w="28" w:type="dxa"/>
              <w:bottom w:w="28" w:type="dxa"/>
            </w:tcMar>
            <w:vAlign w:val="center"/>
          </w:tcPr>
          <w:p w14:paraId="2EE769C3"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r w:rsidR="004722FF" w:rsidRPr="007B4152" w14:paraId="32EB891E"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6A8F58E"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Oral candidiasis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AE111F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w:t>
            </w:r>
          </w:p>
        </w:tc>
        <w:tc>
          <w:tcPr>
            <w:tcW w:w="1063" w:type="dxa"/>
            <w:tcBorders>
              <w:right w:val="single" w:sz="12" w:space="0" w:color="auto"/>
            </w:tcBorders>
            <w:tcMar>
              <w:top w:w="28" w:type="dxa"/>
              <w:bottom w:w="28" w:type="dxa"/>
            </w:tcMar>
            <w:vAlign w:val="center"/>
          </w:tcPr>
          <w:p w14:paraId="777A1DB8"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D30D83"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12</w:t>
            </w:r>
          </w:p>
        </w:tc>
        <w:tc>
          <w:tcPr>
            <w:tcW w:w="1063" w:type="dxa"/>
            <w:tcBorders>
              <w:right w:val="single" w:sz="12" w:space="0" w:color="auto"/>
            </w:tcBorders>
            <w:tcMar>
              <w:top w:w="28" w:type="dxa"/>
              <w:bottom w:w="28" w:type="dxa"/>
            </w:tcMar>
            <w:vAlign w:val="center"/>
          </w:tcPr>
          <w:p w14:paraId="15BA233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0E50F61"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0E8BCA64"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3E0231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8AFDFA2"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E232A5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w:t>
            </w:r>
          </w:p>
        </w:tc>
        <w:tc>
          <w:tcPr>
            <w:tcW w:w="1063" w:type="dxa"/>
            <w:tcBorders>
              <w:right w:val="single" w:sz="12" w:space="0" w:color="auto"/>
            </w:tcBorders>
            <w:tcMar>
              <w:top w:w="28" w:type="dxa"/>
              <w:bottom w:w="28" w:type="dxa"/>
            </w:tcMar>
            <w:vAlign w:val="center"/>
          </w:tcPr>
          <w:p w14:paraId="661CE376"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D4F101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6</w:t>
            </w:r>
          </w:p>
        </w:tc>
        <w:tc>
          <w:tcPr>
            <w:tcW w:w="1064" w:type="dxa"/>
            <w:tcBorders>
              <w:right w:val="single" w:sz="12" w:space="0" w:color="auto"/>
            </w:tcBorders>
            <w:tcMar>
              <w:top w:w="28" w:type="dxa"/>
              <w:bottom w:w="28" w:type="dxa"/>
            </w:tcMar>
            <w:vAlign w:val="center"/>
          </w:tcPr>
          <w:p w14:paraId="5D2A181A"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r w:rsidR="004722FF" w:rsidRPr="007B4152" w14:paraId="2B9407C4"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0F81E6A" w14:textId="1A00B0B5" w:rsidR="00A35209" w:rsidRPr="00144818" w:rsidRDefault="00144818"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URT</w:t>
            </w:r>
            <w:r w:rsidR="00A35209" w:rsidRPr="00144818">
              <w:rPr>
                <w:rFonts w:ascii="Times New Roman" w:hAnsi="Times New Roman" w:cs="Times New Roman"/>
                <w:b w:val="0"/>
                <w:bCs w:val="0"/>
                <w:sz w:val="20"/>
                <w:szCs w:val="20"/>
                <w:lang w:val="en-GB"/>
              </w:rPr>
              <w:t xml:space="preserve"> infection</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9B38C2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4</w:t>
            </w:r>
          </w:p>
        </w:tc>
        <w:tc>
          <w:tcPr>
            <w:tcW w:w="1063" w:type="dxa"/>
            <w:tcBorders>
              <w:right w:val="single" w:sz="12" w:space="0" w:color="auto"/>
            </w:tcBorders>
            <w:tcMar>
              <w:top w:w="28" w:type="dxa"/>
              <w:bottom w:w="28" w:type="dxa"/>
            </w:tcMar>
            <w:vAlign w:val="center"/>
          </w:tcPr>
          <w:p w14:paraId="18152849"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8</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EB74A1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28</w:t>
            </w:r>
          </w:p>
        </w:tc>
        <w:tc>
          <w:tcPr>
            <w:tcW w:w="1063" w:type="dxa"/>
            <w:tcBorders>
              <w:right w:val="single" w:sz="12" w:space="0" w:color="auto"/>
            </w:tcBorders>
            <w:tcMar>
              <w:top w:w="28" w:type="dxa"/>
              <w:bottom w:w="28" w:type="dxa"/>
            </w:tcMar>
            <w:vAlign w:val="center"/>
          </w:tcPr>
          <w:p w14:paraId="58A33352"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7F4A32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3" w:type="dxa"/>
            <w:tcBorders>
              <w:right w:val="single" w:sz="12" w:space="0" w:color="auto"/>
            </w:tcBorders>
            <w:tcMar>
              <w:top w:w="28" w:type="dxa"/>
              <w:bottom w:w="28" w:type="dxa"/>
            </w:tcMar>
            <w:vAlign w:val="center"/>
          </w:tcPr>
          <w:p w14:paraId="4F23411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685053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8260479"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586423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4</w:t>
            </w:r>
          </w:p>
        </w:tc>
        <w:tc>
          <w:tcPr>
            <w:tcW w:w="1063" w:type="dxa"/>
            <w:tcBorders>
              <w:right w:val="single" w:sz="12" w:space="0" w:color="auto"/>
            </w:tcBorders>
            <w:tcMar>
              <w:top w:w="28" w:type="dxa"/>
              <w:bottom w:w="28" w:type="dxa"/>
            </w:tcMar>
            <w:vAlign w:val="center"/>
          </w:tcPr>
          <w:p w14:paraId="7AA8056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AE47286"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4</w:t>
            </w:r>
          </w:p>
        </w:tc>
        <w:tc>
          <w:tcPr>
            <w:tcW w:w="1064" w:type="dxa"/>
            <w:tcBorders>
              <w:right w:val="single" w:sz="12" w:space="0" w:color="auto"/>
            </w:tcBorders>
            <w:tcMar>
              <w:top w:w="28" w:type="dxa"/>
              <w:bottom w:w="28" w:type="dxa"/>
            </w:tcMar>
            <w:vAlign w:val="center"/>
          </w:tcPr>
          <w:p w14:paraId="490A4F61"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r w:rsidR="005F7BBC" w:rsidRPr="007B4152" w14:paraId="661AAAC3" w14:textId="77777777" w:rsidTr="00B20D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230B1AEF" w14:textId="30C43FD2" w:rsidR="00144818" w:rsidRPr="00144818" w:rsidRDefault="005F1CAA"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sz w:val="20"/>
                <w:szCs w:val="20"/>
                <w:lang w:val="en-GB"/>
              </w:rPr>
              <w:t>AE</w:t>
            </w:r>
            <w:r w:rsidR="00144818" w:rsidRPr="00144818">
              <w:rPr>
                <w:rFonts w:ascii="Times New Roman" w:hAnsi="Times New Roman" w:cs="Times New Roman"/>
                <w:sz w:val="20"/>
                <w:szCs w:val="20"/>
                <w:lang w:val="en-GB"/>
              </w:rPr>
              <w:t xml:space="preserve"> of special interest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68FAC7A3" w14:textId="6EBB5079" w:rsidR="00144818" w:rsidRPr="00144818" w:rsidRDefault="00144818" w:rsidP="00A35209">
            <w:pPr>
              <w:spacing w:before="0" w:after="0" w:line="240" w:lineRule="auto"/>
              <w:jc w:val="left"/>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77C9A575"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DDD7344" w14:textId="77777777" w:rsidR="00144818" w:rsidRPr="00144818" w:rsidRDefault="0014481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039BB1A0"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6FA0A44" w14:textId="77777777" w:rsidR="00144818" w:rsidRPr="00144818" w:rsidRDefault="0014481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41687C97"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608074EF" w14:textId="77777777" w:rsidR="00144818" w:rsidRPr="00144818" w:rsidRDefault="0014481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3B12EAFD"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5FCDB08B" w14:textId="77777777" w:rsidR="00144818" w:rsidRPr="00144818" w:rsidRDefault="0014481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70FAAD05"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5BCC8191" w14:textId="77777777" w:rsidR="00144818" w:rsidRPr="00144818" w:rsidRDefault="00144818" w:rsidP="00A35209">
            <w:pPr>
              <w:spacing w:before="0" w:after="0" w:line="240" w:lineRule="auto"/>
              <w:jc w:val="center"/>
              <w:rPr>
                <w:rFonts w:ascii="Times New Roman" w:hAnsi="Times New Roman" w:cs="Times New Roman"/>
                <w:sz w:val="20"/>
                <w:szCs w:val="20"/>
                <w:lang w:val="en-GB"/>
              </w:rPr>
            </w:pPr>
          </w:p>
        </w:tc>
        <w:tc>
          <w:tcPr>
            <w:tcW w:w="1064" w:type="dxa"/>
            <w:tcBorders>
              <w:right w:val="single" w:sz="12" w:space="0" w:color="auto"/>
            </w:tcBorders>
            <w:shd w:val="clear" w:color="auto" w:fill="BFBFBF" w:themeFill="background1" w:themeFillShade="BF"/>
            <w:tcMar>
              <w:top w:w="28" w:type="dxa"/>
              <w:bottom w:w="28" w:type="dxa"/>
            </w:tcMar>
            <w:vAlign w:val="center"/>
          </w:tcPr>
          <w:p w14:paraId="4F936F1E" w14:textId="77777777" w:rsidR="00144818" w:rsidRPr="00144818" w:rsidRDefault="0014481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4722FF" w:rsidRPr="007B4152" w14:paraId="2640133B"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815E504"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Serious infections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AFF8CB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68C52BA7"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F289F46"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04733911"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36105B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C25DED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3E33E1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1FD0E91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C8B0C2C"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6D5EAE47"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450BFC5"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4" w:type="dxa"/>
            <w:tcBorders>
              <w:right w:val="single" w:sz="12" w:space="0" w:color="auto"/>
            </w:tcBorders>
            <w:tcMar>
              <w:top w:w="28" w:type="dxa"/>
              <w:bottom w:w="28" w:type="dxa"/>
            </w:tcMar>
            <w:vAlign w:val="center"/>
          </w:tcPr>
          <w:p w14:paraId="08D9CAA7"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r>
      <w:tr w:rsidR="004722FF" w:rsidRPr="007B4152" w14:paraId="0F709122"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32E7882"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IBD</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8D1BDF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1170683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05A260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3D708DB1"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1F881EA"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559CB3D7"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7AC240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21EF3A7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1A204D9"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FA0E61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AA760D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5239D36B"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r w:rsidR="004722FF" w:rsidRPr="007B4152" w14:paraId="3B4317DC"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C7C6FFC"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Neoplasms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CE0FDF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5E7B203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4903FE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3" w:type="dxa"/>
            <w:tcBorders>
              <w:right w:val="single" w:sz="12" w:space="0" w:color="auto"/>
            </w:tcBorders>
            <w:tcMar>
              <w:top w:w="28" w:type="dxa"/>
              <w:bottom w:w="28" w:type="dxa"/>
            </w:tcMar>
            <w:vAlign w:val="center"/>
          </w:tcPr>
          <w:p w14:paraId="1CEFDA1C"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88F143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406D2EC"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4D6A53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98DF883"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683B46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05AC7BBC"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5138422"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4" w:type="dxa"/>
            <w:tcBorders>
              <w:right w:val="single" w:sz="12" w:space="0" w:color="auto"/>
            </w:tcBorders>
            <w:tcMar>
              <w:top w:w="28" w:type="dxa"/>
              <w:bottom w:w="28" w:type="dxa"/>
            </w:tcMar>
            <w:vAlign w:val="center"/>
          </w:tcPr>
          <w:p w14:paraId="18C0E5F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r>
      <w:tr w:rsidR="004722FF" w:rsidRPr="007B4152" w14:paraId="7836F485"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7F738AD" w14:textId="77777777" w:rsidR="00A35209" w:rsidRPr="00144818" w:rsidRDefault="00A35209" w:rsidP="00A35209">
            <w:pPr>
              <w:spacing w:before="0" w:after="0" w:line="240" w:lineRule="auto"/>
              <w:jc w:val="left"/>
              <w:rPr>
                <w:rFonts w:ascii="Times New Roman" w:hAnsi="Times New Roman" w:cs="Times New Roman"/>
                <w:b w:val="0"/>
                <w:bCs w:val="0"/>
                <w:sz w:val="20"/>
                <w:szCs w:val="20"/>
                <w:lang w:val="en-GB"/>
              </w:rPr>
            </w:pPr>
            <w:r w:rsidRPr="00144818">
              <w:rPr>
                <w:rFonts w:ascii="Times New Roman" w:hAnsi="Times New Roman" w:cs="Times New Roman"/>
                <w:b w:val="0"/>
                <w:bCs w:val="0"/>
                <w:sz w:val="20"/>
                <w:szCs w:val="20"/>
                <w:lang w:val="en-GB"/>
              </w:rPr>
              <w:t>Skin cancer**</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24611F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552B6D98"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E1843A6"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03E8299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C8FA006"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2CFB0C27"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60E0551"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2EEC366"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CCB0B21"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0476BA1F"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9CEF587"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4" w:type="dxa"/>
            <w:tcBorders>
              <w:right w:val="single" w:sz="12" w:space="0" w:color="auto"/>
            </w:tcBorders>
            <w:tcMar>
              <w:top w:w="28" w:type="dxa"/>
              <w:bottom w:w="28" w:type="dxa"/>
            </w:tcMar>
            <w:vAlign w:val="center"/>
          </w:tcPr>
          <w:p w14:paraId="73AE13B5"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r>
      <w:tr w:rsidR="004722FF" w:rsidRPr="007B4152" w14:paraId="11BFB28A" w14:textId="77777777" w:rsidTr="00144818">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F4F9690" w14:textId="79347FEA" w:rsidR="00A35209" w:rsidRPr="00144818" w:rsidRDefault="00144818"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MACE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B50031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2792FE58"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D3434E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6DE984C"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4858AA8"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122509DA"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1F7BA3A"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7B0083C"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7388C0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1F601AFF"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4F85C30"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06F57615" w14:textId="77777777" w:rsidR="00A35209" w:rsidRPr="0014481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r>
      <w:tr w:rsidR="002A1DD3" w:rsidRPr="007B4152" w14:paraId="209D69AE" w14:textId="77777777" w:rsidTr="00144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2310060" w14:textId="6E5FEF18" w:rsidR="00A35209" w:rsidRPr="00144818" w:rsidRDefault="00144818" w:rsidP="00A35209">
            <w:pPr>
              <w:spacing w:before="0" w:after="0" w:line="240" w:lineRule="auto"/>
              <w:jc w:val="left"/>
              <w:rPr>
                <w:rFonts w:ascii="Times New Roman" w:hAnsi="Times New Roman" w:cs="Times New Roman"/>
                <w:sz w:val="20"/>
                <w:szCs w:val="20"/>
                <w:lang w:val="en-GB"/>
              </w:rPr>
            </w:pPr>
            <w:r>
              <w:rPr>
                <w:rFonts w:ascii="Times New Roman" w:hAnsi="Times New Roman" w:cs="Times New Roman"/>
                <w:b w:val="0"/>
                <w:bCs w:val="0"/>
                <w:sz w:val="20"/>
                <w:szCs w:val="20"/>
                <w:lang w:val="en-GB"/>
              </w:rPr>
              <w:t>LE</w:t>
            </w:r>
            <w:r w:rsidR="00A35209" w:rsidRPr="00144818">
              <w:rPr>
                <w:rFonts w:ascii="Times New Roman" w:hAnsi="Times New Roman" w:cs="Times New Roman"/>
                <w:b w:val="0"/>
                <w:bCs w:val="0"/>
                <w:sz w:val="20"/>
                <w:szCs w:val="20"/>
                <w:lang w:val="en-GB"/>
              </w:rPr>
              <w:t xml:space="preserve"> elevation</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CE804BE"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3" w:type="dxa"/>
            <w:tcBorders>
              <w:bottom w:val="single" w:sz="12" w:space="0" w:color="auto"/>
              <w:right w:val="single" w:sz="12" w:space="0" w:color="auto"/>
            </w:tcBorders>
            <w:tcMar>
              <w:top w:w="28" w:type="dxa"/>
              <w:bottom w:w="28" w:type="dxa"/>
            </w:tcMar>
            <w:vAlign w:val="center"/>
          </w:tcPr>
          <w:p w14:paraId="5C0ACAC2"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25116E3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3" w:type="dxa"/>
            <w:tcBorders>
              <w:bottom w:val="single" w:sz="12" w:space="0" w:color="auto"/>
              <w:right w:val="single" w:sz="12" w:space="0" w:color="auto"/>
            </w:tcBorders>
            <w:tcMar>
              <w:top w:w="28" w:type="dxa"/>
              <w:bottom w:w="28" w:type="dxa"/>
            </w:tcMar>
            <w:vAlign w:val="center"/>
          </w:tcPr>
          <w:p w14:paraId="28BED402"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3BD80CE5"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1</w:t>
            </w:r>
          </w:p>
        </w:tc>
        <w:tc>
          <w:tcPr>
            <w:tcW w:w="1063" w:type="dxa"/>
            <w:tcBorders>
              <w:bottom w:val="single" w:sz="12" w:space="0" w:color="auto"/>
              <w:right w:val="single" w:sz="12" w:space="0" w:color="auto"/>
            </w:tcBorders>
            <w:tcMar>
              <w:top w:w="28" w:type="dxa"/>
              <w:bottom w:w="28" w:type="dxa"/>
            </w:tcMar>
            <w:vAlign w:val="center"/>
          </w:tcPr>
          <w:p w14:paraId="6A73818F"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C3E390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tcW w:w="1063" w:type="dxa"/>
            <w:tcBorders>
              <w:bottom w:val="single" w:sz="12" w:space="0" w:color="auto"/>
              <w:right w:val="single" w:sz="12" w:space="0" w:color="auto"/>
            </w:tcBorders>
            <w:tcMar>
              <w:top w:w="28" w:type="dxa"/>
              <w:bottom w:w="28" w:type="dxa"/>
            </w:tcMar>
            <w:vAlign w:val="center"/>
          </w:tcPr>
          <w:p w14:paraId="2A1E4823"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6C23FF4"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3" w:type="dxa"/>
            <w:tcBorders>
              <w:bottom w:val="single" w:sz="12" w:space="0" w:color="auto"/>
              <w:right w:val="single" w:sz="12" w:space="0" w:color="auto"/>
            </w:tcBorders>
            <w:tcMar>
              <w:top w:w="28" w:type="dxa"/>
              <w:bottom w:w="28" w:type="dxa"/>
            </w:tcMar>
            <w:vAlign w:val="center"/>
          </w:tcPr>
          <w:p w14:paraId="451C5A4B"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BC0C33D" w14:textId="77777777" w:rsidR="00A35209" w:rsidRPr="00144818" w:rsidRDefault="00A35209" w:rsidP="00A35209">
            <w:pPr>
              <w:spacing w:before="0" w:after="0" w:line="240" w:lineRule="auto"/>
              <w:jc w:val="center"/>
              <w:rPr>
                <w:rFonts w:ascii="Times New Roman" w:hAnsi="Times New Roman" w:cs="Times New Roman"/>
                <w:sz w:val="20"/>
                <w:szCs w:val="20"/>
                <w:lang w:val="en-GB"/>
              </w:rPr>
            </w:pPr>
            <w:r w:rsidRPr="00144818">
              <w:rPr>
                <w:rFonts w:ascii="Times New Roman" w:hAnsi="Times New Roman" w:cs="Times New Roman"/>
                <w:sz w:val="20"/>
                <w:szCs w:val="20"/>
                <w:lang w:val="en-GB"/>
              </w:rPr>
              <w:t>3</w:t>
            </w:r>
          </w:p>
        </w:tc>
        <w:tc>
          <w:tcPr>
            <w:tcW w:w="1064" w:type="dxa"/>
            <w:tcBorders>
              <w:bottom w:val="single" w:sz="12" w:space="0" w:color="auto"/>
              <w:right w:val="single" w:sz="12" w:space="0" w:color="auto"/>
            </w:tcBorders>
            <w:tcMar>
              <w:top w:w="28" w:type="dxa"/>
              <w:bottom w:w="28" w:type="dxa"/>
            </w:tcMar>
            <w:vAlign w:val="center"/>
          </w:tcPr>
          <w:p w14:paraId="5D0EECC0" w14:textId="77777777" w:rsidR="00A35209" w:rsidRPr="0014481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144818">
              <w:rPr>
                <w:rFonts w:ascii="Times New Roman" w:hAnsi="Times New Roman" w:cs="Times New Roman"/>
                <w:sz w:val="20"/>
                <w:szCs w:val="20"/>
                <w:lang w:val="en-GB"/>
              </w:rPr>
              <w:t>-</w:t>
            </w:r>
          </w:p>
        </w:tc>
      </w:tr>
    </w:tbl>
    <w:p w14:paraId="51EBE937" w14:textId="64E6BE18" w:rsidR="009D0493" w:rsidRDefault="009D0493" w:rsidP="00F14E76">
      <w:pPr>
        <w:spacing w:before="120" w:line="240" w:lineRule="auto"/>
        <w:ind w:left="709"/>
        <w:rPr>
          <w:rFonts w:ascii="Times New Roman" w:hAnsi="Times New Roman" w:cs="Times New Roman"/>
          <w:sz w:val="20"/>
          <w:szCs w:val="20"/>
          <w:lang w:val="en-GB"/>
        </w:rPr>
      </w:pPr>
      <w:r w:rsidRPr="00BC3B9D">
        <w:rPr>
          <w:rFonts w:ascii="Times New Roman" w:hAnsi="Times New Roman" w:cs="Times New Roman"/>
          <w:sz w:val="20"/>
          <w:szCs w:val="20"/>
          <w:lang w:val="en-GB"/>
        </w:rPr>
        <w:t>Notes: * ordered according to severity of AE (i)</w:t>
      </w:r>
      <w:r w:rsidR="00144818" w:rsidRPr="00BC3B9D">
        <w:rPr>
          <w:rFonts w:ascii="Times New Roman" w:hAnsi="Times New Roman" w:cs="Times New Roman"/>
          <w:sz w:val="20"/>
          <w:szCs w:val="20"/>
          <w:lang w:val="en-GB"/>
        </w:rPr>
        <w:t xml:space="preserve"> </w:t>
      </w:r>
      <w:r w:rsidRPr="00BC3B9D">
        <w:rPr>
          <w:rFonts w:ascii="Times New Roman" w:hAnsi="Times New Roman" w:cs="Times New Roman"/>
          <w:b/>
          <w:sz w:val="20"/>
          <w:szCs w:val="20"/>
          <w:highlight w:val="lightGray"/>
          <w:lang w:val="en-GB"/>
        </w:rPr>
        <w:t xml:space="preserve">All data refer to direct comparisons, except the comparison with IXE and RIS, which uses trials vs. </w:t>
      </w:r>
      <w:r w:rsidR="00144818" w:rsidRPr="00BC3B9D">
        <w:rPr>
          <w:rFonts w:ascii="Times New Roman" w:hAnsi="Times New Roman" w:cs="Times New Roman"/>
          <w:b/>
          <w:sz w:val="20"/>
          <w:szCs w:val="20"/>
          <w:highlight w:val="lightGray"/>
          <w:lang w:val="en-GB"/>
        </w:rPr>
        <w:t>placebo.</w:t>
      </w:r>
      <w:r w:rsidR="00144818" w:rsidRPr="00BC3B9D">
        <w:rPr>
          <w:rFonts w:ascii="Times New Roman" w:hAnsi="Times New Roman" w:cs="Times New Roman"/>
          <w:sz w:val="20"/>
          <w:szCs w:val="20"/>
          <w:lang w:val="en-GB"/>
        </w:rPr>
        <w:t xml:space="preserve"> (</w:t>
      </w:r>
      <w:r w:rsidRPr="00BC3B9D">
        <w:rPr>
          <w:rFonts w:ascii="Times New Roman" w:hAnsi="Times New Roman" w:cs="Times New Roman"/>
          <w:sz w:val="20"/>
          <w:szCs w:val="20"/>
          <w:lang w:val="en-GB"/>
        </w:rPr>
        <w:t xml:space="preserve">ii) </w:t>
      </w:r>
      <w:r w:rsidR="00144818" w:rsidRPr="00BC3B9D">
        <w:rPr>
          <w:rFonts w:ascii="Times New Roman" w:hAnsi="Times New Roman" w:cs="Times New Roman"/>
          <w:sz w:val="20"/>
          <w:szCs w:val="20"/>
          <w:lang w:val="en-GB"/>
        </w:rPr>
        <w:t>Data of trials that reflect the posology applied in the technical product specification have been prioritized</w:t>
      </w:r>
      <w:r w:rsidRPr="00BC3B9D">
        <w:rPr>
          <w:rFonts w:ascii="Times New Roman" w:hAnsi="Times New Roman" w:cs="Times New Roman"/>
          <w:sz w:val="20"/>
          <w:szCs w:val="20"/>
          <w:lang w:val="en-GB"/>
        </w:rPr>
        <w:t xml:space="preserve">. (iii) We have not included, in common AE, the episodes of hypertension and </w:t>
      </w:r>
      <w:r w:rsidR="00144818" w:rsidRPr="00BC3B9D">
        <w:rPr>
          <w:rFonts w:ascii="Times New Roman" w:hAnsi="Times New Roman" w:cs="Times New Roman"/>
          <w:sz w:val="20"/>
          <w:szCs w:val="20"/>
          <w:lang w:val="en-GB"/>
        </w:rPr>
        <w:t>diarrhoea</w:t>
      </w:r>
      <w:r w:rsidRPr="00BC3B9D">
        <w:rPr>
          <w:rFonts w:ascii="Times New Roman" w:hAnsi="Times New Roman" w:cs="Times New Roman"/>
          <w:sz w:val="20"/>
          <w:szCs w:val="20"/>
          <w:lang w:val="en-GB"/>
        </w:rPr>
        <w:t xml:space="preserve">, since they were only reported in the comparison of bimekizumab vs. adalimumab (6 vs. 8 and 3 vs. 2, respectively. (iv) there were no episodes of active tuberculosis, latent tuberculosis, suicidal ideation and </w:t>
      </w:r>
      <w:r w:rsidR="007715C9" w:rsidRPr="00BC3B9D">
        <w:rPr>
          <w:rFonts w:ascii="Times New Roman" w:hAnsi="Times New Roman" w:cs="Times New Roman"/>
          <w:sz w:val="20"/>
          <w:szCs w:val="20"/>
          <w:lang w:val="en-GB"/>
        </w:rPr>
        <w:t>behaviour</w:t>
      </w:r>
      <w:r w:rsidRPr="00BC3B9D">
        <w:rPr>
          <w:rFonts w:ascii="Times New Roman" w:hAnsi="Times New Roman" w:cs="Times New Roman"/>
          <w:sz w:val="20"/>
          <w:szCs w:val="20"/>
          <w:lang w:val="en-GB"/>
        </w:rPr>
        <w:t xml:space="preserve">, and hypersensitivity reactions, which is why they are not included in this table. (v) The data period is indicated in the line </w:t>
      </w:r>
      <w:r w:rsidR="007715C9" w:rsidRPr="00BC3B9D">
        <w:rPr>
          <w:rFonts w:ascii="Times New Roman" w:hAnsi="Times New Roman" w:cs="Times New Roman"/>
          <w:sz w:val="20"/>
          <w:szCs w:val="20"/>
          <w:lang w:val="en-GB"/>
        </w:rPr>
        <w:t>top line of the table</w:t>
      </w:r>
      <w:r w:rsidRPr="00BC3B9D">
        <w:rPr>
          <w:rFonts w:ascii="Times New Roman" w:hAnsi="Times New Roman" w:cs="Times New Roman"/>
          <w:sz w:val="20"/>
          <w:szCs w:val="20"/>
          <w:lang w:val="en-GB"/>
        </w:rPr>
        <w:t>. In the BKZ vs. IXE comparison, the number of weeks for BKZ is 0-16, and for IXE, 0-12. (Vi) No data has been reported short-term in the BKZ vs. SEC comparison.</w:t>
      </w:r>
      <w:r w:rsidR="007715C9" w:rsidRPr="00BC3B9D">
        <w:rPr>
          <w:rFonts w:ascii="Times New Roman" w:hAnsi="Times New Roman" w:cs="Times New Roman"/>
          <w:sz w:val="20"/>
          <w:szCs w:val="20"/>
          <w:lang w:val="en-GB"/>
        </w:rPr>
        <w:t xml:space="preserve"> </w:t>
      </w:r>
      <w:r w:rsidR="00F06661" w:rsidRPr="00BC3B9D">
        <w:rPr>
          <w:rFonts w:ascii="Times New Roman" w:hAnsi="Times New Roman" w:cs="Times New Roman"/>
          <w:b/>
          <w:bCs/>
          <w:sz w:val="20"/>
          <w:szCs w:val="20"/>
          <w:lang w:val="en-GB"/>
        </w:rPr>
        <w:t>ϮϮ</w:t>
      </w:r>
      <w:r w:rsidR="00F06661" w:rsidRPr="00BC3B9D">
        <w:rPr>
          <w:rFonts w:ascii="Times New Roman" w:hAnsi="Times New Roman" w:cs="Times New Roman"/>
          <w:sz w:val="20"/>
          <w:szCs w:val="20"/>
          <w:lang w:val="en-GB"/>
        </w:rPr>
        <w:t xml:space="preserve"> serious adverse events: threat to the life or functioning of the patient</w:t>
      </w:r>
      <w:r w:rsidR="00BC3B9D" w:rsidRPr="00BC3B9D">
        <w:rPr>
          <w:rFonts w:ascii="Times New Roman" w:hAnsi="Times New Roman" w:cs="Times New Roman"/>
          <w:sz w:val="20"/>
          <w:szCs w:val="20"/>
          <w:lang w:val="es-ES_tradnl"/>
        </w:rPr>
        <w:fldChar w:fldCharType="begin"/>
      </w:r>
      <w:r w:rsidR="00BC3B9D" w:rsidRPr="007B4152">
        <w:rPr>
          <w:rFonts w:ascii="Times New Roman" w:hAnsi="Times New Roman" w:cs="Times New Roman"/>
          <w:sz w:val="20"/>
          <w:szCs w:val="20"/>
          <w:lang w:val="en-US"/>
        </w:rPr>
        <w:instrText xml:space="preserve"> ADDIN ZOTERO_ITEM CSL_CITATION {"citationID":"JZJYY45D","properties":{"formattedCitation":"\\super 45\\nosupersub{}","plainCitation":"45","noteIndex":0},"citationItems":[{"id":56932,"uris":["http://zotero.org/groups/337550/items/575T9HB8"],"uri":["http://zotero.org/groups/337550/items/575T9HB8"],"itemData":{"id":56932,"type":"article","language":"EN","title":"Clinical Safety Data Management: Definitions and Standards for expedited Reporting","URL":"https://www.ema.europa.eu/en/documents/scientific-guideline/international-conference-harmonisation-technical-requirements-registration-pharmaceuticals-human-use_en-15.pdf","author":[{"family":"European Medicines Agency (EMA)","given":""}],"issued":{"date-parts":[["1995"]]}}}],"schema":"https://github.com/citation-style-language/schema/raw/master/csl-citation.json"} </w:instrText>
      </w:r>
      <w:r w:rsidR="00BC3B9D" w:rsidRPr="00BC3B9D">
        <w:rPr>
          <w:rFonts w:ascii="Times New Roman" w:hAnsi="Times New Roman" w:cs="Times New Roman"/>
          <w:sz w:val="20"/>
          <w:szCs w:val="20"/>
          <w:lang w:val="es-ES_tradnl"/>
        </w:rPr>
        <w:fldChar w:fldCharType="separate"/>
      </w:r>
      <w:r w:rsidR="00BC3B9D" w:rsidRPr="007B4152">
        <w:rPr>
          <w:rFonts w:ascii="Times New Roman" w:hAnsi="Times New Roman" w:cs="Times New Roman"/>
          <w:sz w:val="20"/>
          <w:szCs w:val="24"/>
          <w:vertAlign w:val="superscript"/>
          <w:lang w:val="en-US"/>
        </w:rPr>
        <w:t>45</w:t>
      </w:r>
      <w:r w:rsidR="00BC3B9D" w:rsidRPr="00BC3B9D">
        <w:rPr>
          <w:rFonts w:ascii="Times New Roman" w:hAnsi="Times New Roman" w:cs="Times New Roman"/>
          <w:sz w:val="20"/>
          <w:szCs w:val="20"/>
          <w:lang w:val="es-ES_tradnl"/>
        </w:rPr>
        <w:fldChar w:fldCharType="end"/>
      </w:r>
      <w:r w:rsidR="00F06661" w:rsidRPr="00BC3B9D">
        <w:rPr>
          <w:rFonts w:ascii="Times New Roman" w:hAnsi="Times New Roman" w:cs="Times New Roman"/>
          <w:sz w:val="20"/>
          <w:szCs w:val="20"/>
          <w:lang w:val="en-GB"/>
        </w:rPr>
        <w:t>. Ϯ severe adverse event: describes the intensity (severity) of a specific event</w:t>
      </w:r>
      <w:r w:rsidR="00F06661" w:rsidRPr="00BC3B9D">
        <w:rPr>
          <w:rFonts w:ascii="Times New Roman" w:hAnsi="Times New Roman" w:cs="Times New Roman"/>
          <w:sz w:val="20"/>
          <w:szCs w:val="20"/>
          <w:lang w:val="en-GB"/>
        </w:rPr>
        <w:fldChar w:fldCharType="begin"/>
      </w:r>
      <w:r w:rsidR="007A0A45" w:rsidRPr="00BC3B9D">
        <w:rPr>
          <w:rFonts w:ascii="Times New Roman" w:hAnsi="Times New Roman" w:cs="Times New Roman"/>
          <w:sz w:val="20"/>
          <w:szCs w:val="20"/>
          <w:lang w:val="en-GB"/>
        </w:rPr>
        <w:instrText xml:space="preserve"> ADDIN ZOTERO_ITEM CSL_CITATION {"citationID":"SC5ZlFnU","properties":{"formattedCitation":"\\super 45\\nosupersub{}","plainCitation":"45","noteIndex":0},"citationItems":[{"id":56932,"uris":["http://zotero.org/groups/337550/items/575T9HB8"],"uri":["http://zotero.org/groups/337550/items/575T9HB8"],"itemData":{"id":56932,"type":"article","language":"EN","title":"Clinical Safety Data Management: Definitions and Standards for expedited Reporting","URL":"https://www.ema.europa.eu/en/documents/scientific-guideline/international-conference-harmonisation-technical-requirements-registration-pharmaceuticals-human-use_en-15.pdf","author":[{"family":"European Medicines Agency (EMA)","given":""}],"issued":{"date-parts":[["1995"]]}}}],"schema":"https://github.com/citation-style-language/schema/raw/master/csl-citation.json"} </w:instrText>
      </w:r>
      <w:r w:rsidR="00F06661" w:rsidRPr="00BC3B9D">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45</w:t>
      </w:r>
      <w:r w:rsidR="00F06661" w:rsidRPr="00BC3B9D">
        <w:rPr>
          <w:rFonts w:ascii="Times New Roman" w:hAnsi="Times New Roman" w:cs="Times New Roman"/>
          <w:sz w:val="20"/>
          <w:szCs w:val="20"/>
          <w:lang w:val="en-GB"/>
        </w:rPr>
        <w:fldChar w:fldCharType="end"/>
      </w:r>
      <w:r w:rsidR="00F06661" w:rsidRPr="00BC3B9D">
        <w:rPr>
          <w:rFonts w:ascii="Times New Roman" w:hAnsi="Times New Roman" w:cs="Times New Roman"/>
          <w:sz w:val="20"/>
          <w:szCs w:val="20"/>
          <w:lang w:val="en-GB"/>
        </w:rPr>
        <w:t xml:space="preserve">. </w:t>
      </w:r>
      <w:r w:rsidR="00BC3B9D">
        <w:rPr>
          <w:rFonts w:ascii="Times New Roman" w:hAnsi="Times New Roman" w:cs="Times New Roman"/>
          <w:sz w:val="20"/>
          <w:szCs w:val="20"/>
          <w:lang w:val="en-GB"/>
        </w:rPr>
        <w:t>AE</w:t>
      </w:r>
      <w:r w:rsidR="00F06661" w:rsidRPr="00BC3B9D">
        <w:rPr>
          <w:rFonts w:ascii="Times New Roman" w:hAnsi="Times New Roman" w:cs="Times New Roman"/>
          <w:sz w:val="20"/>
          <w:szCs w:val="20"/>
          <w:lang w:val="en-GB"/>
        </w:rPr>
        <w:t xml:space="preserve">: Adverse events. </w:t>
      </w:r>
      <w:r w:rsidR="00144818" w:rsidRPr="00BC3B9D">
        <w:rPr>
          <w:rFonts w:ascii="Times New Roman" w:hAnsi="Times New Roman" w:cs="Times New Roman"/>
          <w:sz w:val="20"/>
          <w:szCs w:val="20"/>
          <w:lang w:val="en-GB"/>
        </w:rPr>
        <w:t>URT</w:t>
      </w:r>
      <w:r w:rsidR="00F06661" w:rsidRPr="00BC3B9D">
        <w:rPr>
          <w:rFonts w:ascii="Times New Roman" w:hAnsi="Times New Roman" w:cs="Times New Roman"/>
          <w:sz w:val="20"/>
          <w:szCs w:val="20"/>
          <w:lang w:val="en-GB"/>
        </w:rPr>
        <w:t>: upper respiratory tract. IBD: inflammatory bowel disease. (**) no</w:t>
      </w:r>
      <w:r w:rsidR="00BC3B9D">
        <w:rPr>
          <w:rFonts w:ascii="Times New Roman" w:hAnsi="Times New Roman" w:cs="Times New Roman"/>
          <w:sz w:val="20"/>
          <w:szCs w:val="20"/>
          <w:lang w:val="en-GB"/>
        </w:rPr>
        <w:t>n</w:t>
      </w:r>
      <w:r w:rsidR="00F06661" w:rsidRPr="00BC3B9D">
        <w:rPr>
          <w:rFonts w:ascii="Times New Roman" w:hAnsi="Times New Roman" w:cs="Times New Roman"/>
          <w:sz w:val="20"/>
          <w:szCs w:val="20"/>
          <w:lang w:val="en-GB"/>
        </w:rPr>
        <w:t xml:space="preserve"> melanoma. </w:t>
      </w:r>
      <w:r w:rsidR="00144818" w:rsidRPr="00BC3B9D">
        <w:rPr>
          <w:rFonts w:ascii="Times New Roman" w:hAnsi="Times New Roman" w:cs="Times New Roman"/>
          <w:sz w:val="20"/>
          <w:szCs w:val="20"/>
          <w:lang w:val="en-GB"/>
        </w:rPr>
        <w:t>MACE</w:t>
      </w:r>
      <w:r w:rsidR="00F06661" w:rsidRPr="00BC3B9D">
        <w:rPr>
          <w:rFonts w:ascii="Times New Roman" w:hAnsi="Times New Roman" w:cs="Times New Roman"/>
          <w:sz w:val="20"/>
          <w:szCs w:val="20"/>
          <w:lang w:val="en-GB"/>
        </w:rPr>
        <w:t xml:space="preserve">: Major </w:t>
      </w:r>
      <w:r w:rsidR="00144818" w:rsidRPr="00BC3B9D">
        <w:rPr>
          <w:rFonts w:ascii="Times New Roman" w:hAnsi="Times New Roman" w:cs="Times New Roman"/>
          <w:sz w:val="20"/>
          <w:szCs w:val="20"/>
          <w:lang w:val="en-GB"/>
        </w:rPr>
        <w:t>adverse cardiac events</w:t>
      </w:r>
      <w:r w:rsidR="00F06661" w:rsidRPr="00BC3B9D">
        <w:rPr>
          <w:rFonts w:ascii="Times New Roman" w:hAnsi="Times New Roman" w:cs="Times New Roman"/>
          <w:sz w:val="20"/>
          <w:szCs w:val="20"/>
          <w:lang w:val="en-GB"/>
        </w:rPr>
        <w:t xml:space="preserve">. </w:t>
      </w:r>
      <w:r w:rsidR="00144818" w:rsidRPr="00BC3B9D">
        <w:rPr>
          <w:rFonts w:ascii="Times New Roman" w:hAnsi="Times New Roman" w:cs="Times New Roman"/>
          <w:sz w:val="20"/>
          <w:szCs w:val="20"/>
          <w:lang w:val="en-GB"/>
        </w:rPr>
        <w:t>LE</w:t>
      </w:r>
      <w:r w:rsidR="00F06661" w:rsidRPr="00BC3B9D">
        <w:rPr>
          <w:rFonts w:ascii="Times New Roman" w:hAnsi="Times New Roman" w:cs="Times New Roman"/>
          <w:sz w:val="20"/>
          <w:szCs w:val="20"/>
          <w:lang w:val="en-GB"/>
        </w:rPr>
        <w:t>: liver enzymes.</w:t>
      </w:r>
      <w:r w:rsidR="00BC3B9D">
        <w:rPr>
          <w:rFonts w:ascii="Times New Roman" w:hAnsi="Times New Roman" w:cs="Times New Roman"/>
          <w:sz w:val="20"/>
          <w:szCs w:val="20"/>
          <w:lang w:val="en-GB"/>
        </w:rPr>
        <w:t xml:space="preserve"> </w:t>
      </w:r>
      <w:r w:rsidR="008136F8" w:rsidRPr="00BC3B9D">
        <w:rPr>
          <w:rFonts w:ascii="Times New Roman" w:hAnsi="Times New Roman" w:cs="Times New Roman"/>
          <w:sz w:val="20"/>
          <w:szCs w:val="20"/>
          <w:lang w:val="en-GB"/>
        </w:rPr>
        <w:t>BKZ</w:t>
      </w:r>
      <w:r w:rsidRPr="00BC3B9D">
        <w:rPr>
          <w:rFonts w:ascii="Times New Roman" w:hAnsi="Times New Roman" w:cs="Times New Roman"/>
          <w:sz w:val="20"/>
          <w:szCs w:val="20"/>
          <w:lang w:val="en-GB"/>
        </w:rPr>
        <w:t>: Bimekizumab. PBO: placebo. ADA: Adalimumab. UST: Ustekinumab. SEC: Secukinumab. IXE: Ixekizumab. RIS: Risankizumab.</w:t>
      </w:r>
    </w:p>
    <w:p w14:paraId="031798DB" w14:textId="3B4FBFE2" w:rsidR="0035242C" w:rsidRDefault="0035242C" w:rsidP="00F14E76">
      <w:pPr>
        <w:spacing w:before="120" w:line="240" w:lineRule="auto"/>
        <w:ind w:left="709"/>
        <w:rPr>
          <w:rFonts w:ascii="Times New Roman" w:hAnsi="Times New Roman" w:cs="Times New Roman"/>
          <w:sz w:val="20"/>
          <w:szCs w:val="20"/>
          <w:lang w:val="en-GB"/>
        </w:rPr>
      </w:pPr>
    </w:p>
    <w:p w14:paraId="7D810F07" w14:textId="77777777" w:rsidR="0035242C" w:rsidRPr="00BC3B9D" w:rsidRDefault="0035242C" w:rsidP="00F14E76">
      <w:pPr>
        <w:spacing w:before="120" w:line="240" w:lineRule="auto"/>
        <w:ind w:left="709"/>
        <w:rPr>
          <w:rFonts w:ascii="Times New Roman" w:hAnsi="Times New Roman" w:cs="Times New Roman"/>
          <w:sz w:val="20"/>
          <w:szCs w:val="20"/>
          <w:lang w:val="en-GB"/>
        </w:rPr>
      </w:pPr>
    </w:p>
    <w:p w14:paraId="625EB4E0" w14:textId="77777777" w:rsidR="004127E3" w:rsidRPr="004722FF" w:rsidRDefault="004127E3" w:rsidP="00F14E76">
      <w:pPr>
        <w:spacing w:before="120" w:line="240" w:lineRule="auto"/>
        <w:ind w:left="709"/>
        <w:rPr>
          <w:rFonts w:ascii="Times New Roman" w:hAnsi="Times New Roman" w:cs="Times New Roman"/>
          <w:sz w:val="20"/>
          <w:szCs w:val="20"/>
          <w:lang w:val="en-GB"/>
        </w:rPr>
      </w:pPr>
    </w:p>
    <w:p w14:paraId="664DE3AB" w14:textId="1D5965EC" w:rsidR="00C3551E" w:rsidRPr="000D6858" w:rsidRDefault="00C3551E" w:rsidP="00A35209">
      <w:pPr>
        <w:pStyle w:val="TITULOTABLASYFIGURAS"/>
        <w:spacing w:before="0"/>
        <w:ind w:left="709"/>
        <w:rPr>
          <w:rFonts w:ascii="Times New Roman" w:hAnsi="Times New Roman" w:cs="Times New Roman"/>
          <w:b/>
          <w:bCs/>
          <w:smallCaps w:val="0"/>
          <w:color w:val="auto"/>
          <w:sz w:val="22"/>
          <w:szCs w:val="56"/>
          <w:lang w:val="en-GB"/>
        </w:rPr>
      </w:pPr>
      <w:bookmarkStart w:id="109" w:name="_Toc89078654"/>
      <w:r w:rsidRPr="000D6858">
        <w:rPr>
          <w:rFonts w:ascii="Times New Roman" w:hAnsi="Times New Roman" w:cs="Times New Roman"/>
          <w:b/>
          <w:bCs/>
          <w:smallCaps w:val="0"/>
          <w:color w:val="auto"/>
          <w:sz w:val="22"/>
          <w:szCs w:val="56"/>
          <w:lang w:val="en-GB"/>
        </w:rPr>
        <w:lastRenderedPageBreak/>
        <w:t xml:space="preserve">Table </w:t>
      </w:r>
      <w:r w:rsidR="000D6858" w:rsidRPr="000D6858">
        <w:rPr>
          <w:rFonts w:ascii="Times New Roman" w:hAnsi="Times New Roman" w:cs="Times New Roman"/>
          <w:b/>
          <w:bCs/>
          <w:smallCaps w:val="0"/>
          <w:color w:val="auto"/>
          <w:sz w:val="22"/>
          <w:szCs w:val="56"/>
          <w:lang w:val="en-GB"/>
        </w:rPr>
        <w:t>(S1).</w:t>
      </w:r>
      <w:r w:rsidRPr="000D6858">
        <w:rPr>
          <w:rFonts w:ascii="Times New Roman" w:hAnsi="Times New Roman" w:cs="Times New Roman"/>
          <w:b/>
          <w:bCs/>
          <w:smallCaps w:val="0"/>
          <w:color w:val="auto"/>
          <w:sz w:val="22"/>
          <w:szCs w:val="56"/>
          <w:lang w:val="en-GB"/>
        </w:rPr>
        <w:fldChar w:fldCharType="begin"/>
      </w:r>
      <w:r w:rsidRPr="000D6858">
        <w:rPr>
          <w:rFonts w:ascii="Times New Roman" w:hAnsi="Times New Roman" w:cs="Times New Roman"/>
          <w:b/>
          <w:bCs/>
          <w:smallCaps w:val="0"/>
          <w:color w:val="auto"/>
          <w:sz w:val="22"/>
          <w:szCs w:val="56"/>
          <w:lang w:val="en-GB"/>
        </w:rPr>
        <w:instrText xml:space="preserve"> SEQ Tabla \* ARABIC </w:instrText>
      </w:r>
      <w:r w:rsidRPr="000D6858">
        <w:rPr>
          <w:rFonts w:ascii="Times New Roman" w:hAnsi="Times New Roman" w:cs="Times New Roman"/>
          <w:b/>
          <w:bCs/>
          <w:smallCaps w:val="0"/>
          <w:color w:val="auto"/>
          <w:sz w:val="22"/>
          <w:szCs w:val="56"/>
          <w:lang w:val="en-GB"/>
        </w:rPr>
        <w:fldChar w:fldCharType="separate"/>
      </w:r>
      <w:r w:rsidR="00A35209" w:rsidRPr="000D6858">
        <w:rPr>
          <w:rFonts w:ascii="Times New Roman" w:hAnsi="Times New Roman" w:cs="Times New Roman"/>
          <w:b/>
          <w:bCs/>
          <w:smallCaps w:val="0"/>
          <w:noProof/>
          <w:color w:val="auto"/>
          <w:sz w:val="22"/>
          <w:szCs w:val="56"/>
          <w:lang w:val="en-GB"/>
        </w:rPr>
        <w:t>8</w:t>
      </w:r>
      <w:r w:rsidRPr="000D6858">
        <w:rPr>
          <w:rFonts w:ascii="Times New Roman" w:hAnsi="Times New Roman" w:cs="Times New Roman"/>
          <w:b/>
          <w:bCs/>
          <w:smallCaps w:val="0"/>
          <w:color w:val="auto"/>
          <w:sz w:val="22"/>
          <w:szCs w:val="56"/>
          <w:lang w:val="en-GB"/>
        </w:rPr>
        <w:fldChar w:fldCharType="end"/>
      </w:r>
      <w:r w:rsidRPr="000D6858">
        <w:rPr>
          <w:rFonts w:ascii="Times New Roman" w:hAnsi="Times New Roman" w:cs="Times New Roman"/>
          <w:b/>
          <w:bCs/>
          <w:smallCaps w:val="0"/>
          <w:color w:val="auto"/>
          <w:sz w:val="22"/>
          <w:szCs w:val="56"/>
          <w:lang w:val="en-GB"/>
        </w:rPr>
        <w:t xml:space="preserve">: Safety </w:t>
      </w:r>
      <w:r w:rsidR="006B3B4E">
        <w:rPr>
          <w:rFonts w:ascii="Times New Roman" w:hAnsi="Times New Roman" w:cs="Times New Roman"/>
          <w:b/>
          <w:bCs/>
          <w:smallCaps w:val="0"/>
          <w:color w:val="auto"/>
          <w:sz w:val="22"/>
          <w:szCs w:val="56"/>
          <w:lang w:val="en-GB"/>
        </w:rPr>
        <w:t>/</w:t>
      </w:r>
      <w:r w:rsidRPr="000D6858">
        <w:rPr>
          <w:rFonts w:ascii="Times New Roman" w:hAnsi="Times New Roman" w:cs="Times New Roman"/>
          <w:b/>
          <w:bCs/>
          <w:smallCaps w:val="0"/>
          <w:color w:val="auto"/>
          <w:sz w:val="22"/>
          <w:szCs w:val="56"/>
          <w:lang w:val="en-GB"/>
        </w:rPr>
        <w:t xml:space="preserve"> tolerability,</w:t>
      </w:r>
      <w:r w:rsidR="000D6858">
        <w:rPr>
          <w:rFonts w:ascii="Times New Roman" w:hAnsi="Times New Roman" w:cs="Times New Roman"/>
          <w:b/>
          <w:bCs/>
          <w:smallCaps w:val="0"/>
          <w:color w:val="auto"/>
          <w:sz w:val="22"/>
          <w:szCs w:val="56"/>
          <w:lang w:val="en-GB"/>
        </w:rPr>
        <w:t xml:space="preserve"> </w:t>
      </w:r>
      <w:r w:rsidRPr="000D6858">
        <w:rPr>
          <w:rFonts w:ascii="Times New Roman" w:hAnsi="Times New Roman" w:cs="Times New Roman"/>
          <w:b/>
          <w:bCs/>
          <w:smallCaps w:val="0"/>
          <w:color w:val="auto"/>
          <w:sz w:val="22"/>
          <w:szCs w:val="56"/>
          <w:lang w:val="en-GB"/>
        </w:rPr>
        <w:t>% of patients, long term*</w:t>
      </w:r>
      <w:bookmarkEnd w:id="109"/>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7B4152" w14:paraId="58718941" w14:textId="77777777" w:rsidTr="005F1CA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5523FF58" w14:textId="77777777" w:rsidR="00C3551E" w:rsidRPr="000D6858" w:rsidRDefault="00C3551E" w:rsidP="00677C01">
            <w:pPr>
              <w:spacing w:before="0" w:after="0" w:line="240" w:lineRule="auto"/>
              <w:jc w:val="left"/>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6107C635" w14:textId="394EB537" w:rsidR="00C3551E" w:rsidRPr="000D6858" w:rsidRDefault="00C3551E" w:rsidP="00677C01">
            <w:pPr>
              <w:spacing w:before="0" w:after="0" w:line="240" w:lineRule="auto"/>
              <w:jc w:val="center"/>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Gordon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{"citationID":"lez8Iynn","properties":{"formattedCitation":"\\super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37</w:t>
            </w:r>
            <w:r w:rsidRPr="000D6858">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024BC709" w14:textId="43E1AC6F" w:rsidR="00C3551E" w:rsidRPr="000D6858" w:rsidRDefault="00C3551E"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Warren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{"citationID":"iuOO1joP","properties":{"formattedCitation":"\\super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38</w:t>
            </w:r>
            <w:r w:rsidRPr="000D6858">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301F4756" w14:textId="2AA7B6E1" w:rsidR="00C3551E" w:rsidRPr="000D6858" w:rsidRDefault="00C3551E" w:rsidP="00677C01">
            <w:pPr>
              <w:spacing w:before="0" w:after="0" w:line="240" w:lineRule="auto"/>
              <w:jc w:val="center"/>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Reich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{"citationID":"GH4EhZdd","properties":{"formattedCitation":"\\super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39</w:t>
            </w:r>
            <w:r w:rsidRPr="000D6858">
              <w:rPr>
                <w:rFonts w:ascii="Times New Roman" w:hAnsi="Times New Roman" w:cs="Times New Roman"/>
                <w:sz w:val="20"/>
                <w:szCs w:val="20"/>
                <w:lang w:val="en-GB"/>
              </w:rPr>
              <w:fldChar w:fldCharType="end"/>
            </w:r>
          </w:p>
        </w:tc>
        <w:tc>
          <w:tcPr>
            <w:tcW w:w="2126" w:type="dxa"/>
            <w:gridSpan w:val="2"/>
            <w:tcBorders>
              <w:bottom w:val="single" w:sz="12" w:space="0" w:color="auto"/>
            </w:tcBorders>
            <w:tcMar>
              <w:top w:w="28" w:type="dxa"/>
              <w:bottom w:w="28" w:type="dxa"/>
            </w:tcMar>
            <w:vAlign w:val="center"/>
          </w:tcPr>
          <w:p w14:paraId="3B008862" w14:textId="10934F3A" w:rsidR="00C3551E" w:rsidRPr="000D6858" w:rsidRDefault="00C3551E"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Reich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{"citationID":"SpOBIU94","properties":{"formattedCitation":"\\super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40</w:t>
            </w:r>
            <w:r w:rsidRPr="000D6858">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Borders>
              <w:bottom w:val="single" w:sz="12" w:space="0" w:color="auto"/>
            </w:tcBorders>
            <w:tcMar>
              <w:top w:w="28" w:type="dxa"/>
              <w:bottom w:w="28" w:type="dxa"/>
            </w:tcMar>
            <w:vAlign w:val="center"/>
          </w:tcPr>
          <w:p w14:paraId="1E7CF5CA" w14:textId="4B6BB1DD" w:rsidR="00C3551E" w:rsidRPr="000D6858" w:rsidRDefault="00C3551E" w:rsidP="00677C01">
            <w:pPr>
              <w:spacing w:before="0" w:after="0" w:line="240" w:lineRule="auto"/>
              <w:jc w:val="center"/>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Gordon (2016</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{"citationID":"jOxif6HU","properties":{"formattedCitation":"\\super 42\\nosupersub{}","plainCitation":"42","noteIndex":0},"citationItems":[{"id":22743,"uris":["http://zotero.org/groups/337550/items/C3QCCC2M"],"uri":["http://zotero.org/groups/337550/items/C3QCCC2M"],"itemData":{"id":22743,"type":"article-journal","abstract":"BACKGROUND: Two phase 3 trials (UNCOVER-2 and UNCOVER-3) showed that at 12 weeks of treatment, ixekizumab, a monoclonal antibody against interleukin-17A, was superior to placebo and etanercept in the treatment of moderate-to-severe psoriasis. We report the 60-week data from the UNCOVER-2 and UNCOVER-3 trials, as well as 12-week and 60-week data from a third phase 3 trial, UNCOVER-1.\nMETHODS: We randomly assigned 1296 patients in the UNCOVER-1 trial, 1224 patients in the UNCOVER-2 trial, and 1346 patients in the UNCOVER-3 trial to receive subcutaneous injections of placebo (placebo group), 80 mg of ixekizumab every 2 weeks after a starting dose of 160 mg (2-wk dosing group), or 80 mg of ixekizumab every 4 weeks after a starting dose of 160 mg (4-wk dosing group). Additional cohorts in the UNCOVER-2 and UNCOVER-3 trials were randomly assigned to receive 50 mg of etanercept twice weekly. At week 12 in the UNCOVER-3 trial, the patients entered a long-term extension period during which they received 80 mg of ixekizumab every 4 weeks through week 60; at week 12 in the UNCOVER-1 and UNCOVER-2 trials, the patients who had a response to ixekizumab (defined as a static Physicians Global Assessment [sPGA] score of 0 [clear] or 1 [minimal psoriasis]) were randomly reassigned to receive placebo, 80 mg of ixekizumab every 4 weeks, or 80 mg of ixekizumab every 12 weeks through week 60. Coprimary end points were the percentage of patients who had a score on the sPGA of 0 or 1 and a 75% or greater reduction from baseline in Psoriasis Area and Severity Index (PASI 75) at week 12.\nRESULTS: In the UNCOVER-1 trial, at week 12, the patients had better responses to ixekizumab than to placebo; in the 2-wk dosing group, 81.8% had an sPGA score of 0 or 1 and 89.1% had a PASI 75 response; in the 4-wk dosing group, the respective rates were 76.4% and 82.6%; and in the placebo group, the rates were 3.2% and 3.9% (P&lt;0.001 for all comparisons of ixekizumab with placebo). In the UNCOVER-1 and UNCOVER-2 trials, among the patients who were randomly reassigned at week 12 to receive 80 mg of ixekizumab every 4 weeks, 80 mg of ixekizumab every 12 weeks, or placebo, an sPGA score of 0 or 1 was maintained by 73.8%, 39.0%, and 7.0% of the patients, respectively. Patients in the UNCOVER-3 trial received continuous treatment of ixekizumab from weeks 0 through 60, and at week 60, at least 73% had an sPGA score of 0 or 1 and at least 80% had a PASI 75 response. Adverse events reported during ixekizumab use included neutropenia, candidal infections, and inflammatory bowel disease.\nCONCLUSIONS: In three phase 3 trials involving patients with psoriasis, ixekizumab was effective through 60 weeks of treatment. As with any treatment, the benefits need to be weighed against the risks of adverse events. The efficacy and safety of ixekizumab beyond 60 weeks of treatment are not yet known. (Funded by Eli Lilly; UNCOVER-1, UNCOVER-2, and UNCOVER-3 ClinicalTrials.gov numbers NCT01474512, NCT01597245, and NCT01646177, respectively.).","container-title":"The New England Journal of Medicine","DOI":"10.1056/NEJMoa1512711","ISSN":"1533-4406","issue":"4","journalAbbreviation":"N. Engl. J. Med.","language":"eng","note":"PMID: 27299809","page":"345-356","source":"UpToDate References","title":"Phase 3 Trials of Ixekizumab in Moderate-to-Severe Plaque Psoriasis","volume":"375","author":[{"family":"Gordon","given":"Kenneth B."},{"family":"Blauvelt","given":"Andrew"},{"family":"Papp","given":"Kim A."},{"family":"Langley","given":"Richard G."},{"family":"Luger","given":"Thomas"},{"family":"Ohtsuki","given":"Mamitaro"},{"family":"Reich","given":"Kristian"},{"family":"Amato","given":"David"},{"family":"Ball","given":"Susan G."},{"family":"Braun","given":"Daniel K."},{"family":"Cameron","given":"Gregory S."},{"family":"Erickson","given":"Janelle"},{"family":"Konrad","given":"Robert J."},{"family":"Muram","given":"Talia M."},{"family":"Nickoloff","given":"Brian J."},{"family":"Osuntokun","given":"Olawale O."},{"family":"Secrest","given":"Roberta J."},{"family":"Zhao","given":"Fangyi"},{"family":"Mallbris","given":"Lotus"},{"family":"Leonardi","given":"Craig L."},{"literal":"UNCOVER-1 Study Group"},{"literal":"UNCOVER-2 Study Group"},{"literal":"UNCOVER-3 Study Group"}],"issued":{"date-parts":[["2016"]]}}}],"schema":"https://github.com/citation-style-language/schema/raw/master/csl-citation.json"}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42</w:t>
            </w:r>
            <w:r w:rsidRPr="000D6858">
              <w:rPr>
                <w:rFonts w:ascii="Times New Roman" w:hAnsi="Times New Roman" w:cs="Times New Roman"/>
                <w:sz w:val="20"/>
                <w:szCs w:val="20"/>
                <w:lang w:val="en-GB"/>
              </w:rPr>
              <w:fldChar w:fldCharType="end"/>
            </w:r>
            <w:r w:rsidRPr="000D6858">
              <w:rPr>
                <w:rFonts w:ascii="Times New Roman" w:hAnsi="Times New Roman" w:cs="Times New Roman"/>
                <w:color w:val="auto"/>
                <w:sz w:val="20"/>
                <w:szCs w:val="20"/>
                <w:lang w:val="en-GB"/>
              </w:rPr>
              <w:t>,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{"citationID":"fQ9W6MH3","properties":{"formattedCitation":"\\super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37</w:t>
            </w:r>
            <w:r w:rsidRPr="000D6858">
              <w:rPr>
                <w:rFonts w:ascii="Times New Roman" w:hAnsi="Times New Roman" w:cs="Times New Roman"/>
                <w:sz w:val="20"/>
                <w:szCs w:val="20"/>
                <w:lang w:val="en-GB"/>
              </w:rPr>
              <w:fldChar w:fldCharType="end"/>
            </w:r>
            <w:r w:rsidRPr="000D6858">
              <w:rPr>
                <w:rFonts w:ascii="Times New Roman" w:hAnsi="Times New Roman" w:cs="Times New Roman"/>
                <w:color w:val="auto"/>
                <w:sz w:val="20"/>
                <w:szCs w:val="20"/>
                <w:lang w:val="en-GB"/>
              </w:rPr>
              <w:t>)</w:t>
            </w:r>
          </w:p>
        </w:tc>
        <w:tc>
          <w:tcPr>
            <w:tcW w:w="2127" w:type="dxa"/>
            <w:gridSpan w:val="2"/>
            <w:tcBorders>
              <w:bottom w:val="single" w:sz="12" w:space="0" w:color="auto"/>
            </w:tcBorders>
            <w:tcMar>
              <w:top w:w="28" w:type="dxa"/>
              <w:bottom w:w="28" w:type="dxa"/>
            </w:tcMar>
            <w:vAlign w:val="center"/>
          </w:tcPr>
          <w:p w14:paraId="3AEE0639" w14:textId="503EFD39" w:rsidR="00C3551E" w:rsidRPr="000D6858" w:rsidRDefault="00C3551E"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0D6858">
              <w:rPr>
                <w:rFonts w:ascii="Times New Roman" w:hAnsi="Times New Roman" w:cs="Times New Roman"/>
                <w:color w:val="auto"/>
                <w:sz w:val="20"/>
                <w:szCs w:val="20"/>
                <w:lang w:val="en-GB"/>
              </w:rPr>
              <w:t>Gordon (2018</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{"citationID":"uLrxTc2N","properties":{"formattedCitation":"\\super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0D6858">
              <w:rPr>
                <w:rFonts w:ascii="Times New Roman" w:hAnsi="Times New Roman" w:cs="Times New Roman"/>
                <w:sz w:val="20"/>
                <w:szCs w:val="20"/>
                <w:vertAlign w:val="superscript"/>
              </w:rPr>
              <w:t>43</w:t>
            </w:r>
            <w:r w:rsidRPr="000D6858">
              <w:rPr>
                <w:rFonts w:ascii="Times New Roman" w:hAnsi="Times New Roman" w:cs="Times New Roman"/>
                <w:sz w:val="20"/>
                <w:szCs w:val="20"/>
                <w:lang w:val="en-GB"/>
              </w:rPr>
              <w:fldChar w:fldCharType="end"/>
            </w:r>
            <w:r w:rsidRPr="000D6858">
              <w:rPr>
                <w:rFonts w:ascii="Times New Roman" w:hAnsi="Times New Roman" w:cs="Times New Roman"/>
                <w:color w:val="auto"/>
                <w:sz w:val="20"/>
                <w:szCs w:val="20"/>
                <w:lang w:val="en-GB"/>
              </w:rPr>
              <w:t>, 2021</w:t>
            </w:r>
            <w:r w:rsidRPr="000D6858">
              <w:rPr>
                <w:rFonts w:ascii="Times New Roman" w:hAnsi="Times New Roman" w:cs="Times New Roman"/>
                <w:sz w:val="20"/>
                <w:szCs w:val="20"/>
                <w:lang w:val="en-GB"/>
              </w:rPr>
              <w:fldChar w:fldCharType="begin"/>
            </w:r>
            <w:r w:rsidR="007A0A45" w:rsidRPr="000D6858">
              <w:rPr>
                <w:rFonts w:ascii="Times New Roman" w:hAnsi="Times New Roman" w:cs="Times New Roman"/>
                <w:color w:val="auto"/>
                <w:sz w:val="20"/>
                <w:szCs w:val="20"/>
                <w:lang w:val="en-GB"/>
              </w:rPr>
              <w:instrText xml:space="preserve"> ADDIN ZOTERO_ITEM CSL_CITATION {"citationID":"6H42WgXn","properties":{"formattedCitation":"\\super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0D6858">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0D6858">
              <w:rPr>
                <w:rFonts w:ascii="Times New Roman" w:hAnsi="Times New Roman" w:cs="Times New Roman"/>
                <w:sz w:val="20"/>
                <w:szCs w:val="20"/>
                <w:lang w:val="en-GB"/>
              </w:rPr>
              <w:fldChar w:fldCharType="end"/>
            </w:r>
            <w:r w:rsidRPr="000D6858">
              <w:rPr>
                <w:rFonts w:ascii="Times New Roman" w:hAnsi="Times New Roman" w:cs="Times New Roman"/>
                <w:color w:val="auto"/>
                <w:sz w:val="20"/>
                <w:szCs w:val="20"/>
                <w:lang w:val="en-GB"/>
              </w:rPr>
              <w:t>)</w:t>
            </w:r>
          </w:p>
        </w:tc>
      </w:tr>
      <w:tr w:rsidR="005F1CAA" w:rsidRPr="007B4152" w14:paraId="7ACABF8A"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16AB6692" w14:textId="16D42C09" w:rsidR="00C3551E" w:rsidRPr="000D6858" w:rsidRDefault="000D6858" w:rsidP="00677C01">
            <w:pPr>
              <w:spacing w:before="0" w:after="0" w:line="240" w:lineRule="auto"/>
              <w:jc w:val="left"/>
              <w:rPr>
                <w:rFonts w:ascii="Times New Roman" w:hAnsi="Times New Roman" w:cs="Times New Roman"/>
                <w:sz w:val="20"/>
                <w:szCs w:val="20"/>
                <w:lang w:val="en-GB"/>
              </w:rPr>
            </w:pPr>
            <w:r>
              <w:rPr>
                <w:rFonts w:ascii="Times New Roman" w:hAnsi="Times New Roman" w:cs="Times New Roman"/>
                <w:sz w:val="20"/>
                <w:szCs w:val="20"/>
                <w:lang w:val="en-GB"/>
              </w:rPr>
              <w:t>Period (in weeks)</w:t>
            </w:r>
            <w:r w:rsidR="00C3551E" w:rsidRPr="000D6858">
              <w:rPr>
                <w:rFonts w:ascii="Times New Roman" w:hAnsi="Times New Roman" w:cs="Times New Roman"/>
                <w:sz w:val="20"/>
                <w:szCs w:val="20"/>
                <w:lang w:val="en-GB"/>
              </w:rPr>
              <w:t xml:space="preserve"> </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488AAE5A" w14:textId="32298CD2" w:rsidR="00C3551E" w:rsidRPr="000D6858" w:rsidRDefault="000D6858" w:rsidP="00677C01">
            <w:pPr>
              <w:spacing w:before="0" w:after="0" w:line="240" w:lineRule="auto"/>
              <w:jc w:val="center"/>
              <w:rPr>
                <w:rFonts w:ascii="Times New Roman" w:hAnsi="Times New Roman" w:cs="Times New Roman"/>
                <w:b/>
                <w:bCs/>
                <w:sz w:val="20"/>
                <w:szCs w:val="20"/>
                <w:lang w:val="en-GB"/>
              </w:rPr>
            </w:pPr>
            <w:r>
              <w:rPr>
                <w:rFonts w:ascii="Times New Roman" w:hAnsi="Times New Roman" w:cs="Times New Roman"/>
                <w:b/>
                <w:bCs/>
                <w:sz w:val="20"/>
                <w:szCs w:val="20"/>
                <w:lang w:val="en-GB"/>
              </w:rPr>
              <w:t>(</w:t>
            </w:r>
            <w:r w:rsidR="00C3551E" w:rsidRPr="000D6858">
              <w:rPr>
                <w:rFonts w:ascii="Times New Roman" w:hAnsi="Times New Roman" w:cs="Times New Roman"/>
                <w:b/>
                <w:bCs/>
                <w:sz w:val="20"/>
                <w:szCs w:val="20"/>
                <w:lang w:val="en-GB"/>
              </w:rPr>
              <w:t>16-56)</w:t>
            </w:r>
          </w:p>
        </w:tc>
        <w:tc>
          <w:tcPr>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0B4F9F32" w14:textId="1E1305B7" w:rsidR="00C3551E" w:rsidRPr="000D6858" w:rsidRDefault="00C3551E"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(24-56)</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089AF53E" w14:textId="78695DE1" w:rsidR="00C3551E" w:rsidRPr="000D6858" w:rsidRDefault="00C3551E"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(0-52)</w:t>
            </w:r>
          </w:p>
        </w:tc>
        <w:tc>
          <w:tcPr>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3BBF0837" w14:textId="60C7D20A" w:rsidR="00C3551E" w:rsidRPr="000D6858" w:rsidRDefault="00C3551E"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(0-48)</w:t>
            </w:r>
          </w:p>
        </w:tc>
        <w:tc>
          <w:tcPr>
            <w:cnfStyle w:val="000010000000" w:firstRow="0" w:lastRow="0" w:firstColumn="0" w:lastColumn="0" w:oddVBand="1" w:evenVBand="0" w:oddHBand="0" w:evenHBand="0" w:firstRowFirstColumn="0" w:firstRowLastColumn="0" w:lastRowFirstColumn="0" w:lastRowLastColumn="0"/>
            <w:tcW w:w="2126"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2AAB04C4" w14:textId="0F909219" w:rsidR="00C3551E" w:rsidRPr="000D6858" w:rsidRDefault="00C3551E"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 xml:space="preserve">(16-56 </w:t>
            </w:r>
            <w:r w:rsidR="000D6858">
              <w:rPr>
                <w:rFonts w:ascii="Times New Roman" w:hAnsi="Times New Roman" w:cs="Times New Roman"/>
                <w:b/>
                <w:bCs/>
                <w:sz w:val="20"/>
                <w:szCs w:val="20"/>
                <w:lang w:val="en-GB"/>
              </w:rPr>
              <w:t>/</w:t>
            </w:r>
            <w:r w:rsidRPr="000D6858">
              <w:rPr>
                <w:rFonts w:ascii="Times New Roman" w:hAnsi="Times New Roman" w:cs="Times New Roman"/>
                <w:b/>
                <w:bCs/>
                <w:sz w:val="20"/>
                <w:szCs w:val="20"/>
                <w:lang w:val="en-GB"/>
              </w:rPr>
              <w:t xml:space="preserve"> 0-60)</w:t>
            </w:r>
          </w:p>
        </w:tc>
        <w:tc>
          <w:tcPr>
            <w:tcW w:w="2127" w:type="dxa"/>
            <w:gridSpan w:val="2"/>
            <w:tcBorders>
              <w:top w:val="single" w:sz="12" w:space="0" w:color="auto"/>
              <w:left w:val="single" w:sz="12" w:space="0" w:color="auto"/>
              <w:right w:val="single" w:sz="12" w:space="0" w:color="auto"/>
            </w:tcBorders>
            <w:shd w:val="clear" w:color="auto" w:fill="BFBFBF" w:themeFill="background1" w:themeFillShade="BF"/>
            <w:tcMar>
              <w:top w:w="28" w:type="dxa"/>
              <w:bottom w:w="28" w:type="dxa"/>
            </w:tcMar>
            <w:vAlign w:val="center"/>
          </w:tcPr>
          <w:p w14:paraId="7DE2A46C" w14:textId="5DAE3811" w:rsidR="00C3551E" w:rsidRPr="000D6858" w:rsidRDefault="00C3551E"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 xml:space="preserve">(16-56 </w:t>
            </w:r>
            <w:r w:rsidR="000D6858">
              <w:rPr>
                <w:rFonts w:ascii="Times New Roman" w:hAnsi="Times New Roman" w:cs="Times New Roman"/>
                <w:b/>
                <w:bCs/>
                <w:sz w:val="20"/>
                <w:szCs w:val="20"/>
                <w:lang w:val="en-GB"/>
              </w:rPr>
              <w:t>/</w:t>
            </w:r>
            <w:r w:rsidRPr="000D6858">
              <w:rPr>
                <w:rFonts w:ascii="Times New Roman" w:hAnsi="Times New Roman" w:cs="Times New Roman"/>
                <w:b/>
                <w:bCs/>
                <w:sz w:val="20"/>
                <w:szCs w:val="20"/>
                <w:lang w:val="en-GB"/>
              </w:rPr>
              <w:t xml:space="preserve"> 16-52)</w:t>
            </w:r>
          </w:p>
        </w:tc>
      </w:tr>
      <w:tr w:rsidR="005F7BBC" w:rsidRPr="007B4152" w14:paraId="1ABB0547"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4F22F829" w14:textId="77777777" w:rsidR="00C3551E" w:rsidRPr="000D6858" w:rsidRDefault="00C3551E" w:rsidP="00677C01">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B970D72"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3CEB8C01"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3366E80B"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0DE0B422"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06B306E"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2B2DA8A8"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1ABED75"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0BC157DE"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3549DE1"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3" w:type="dxa"/>
            <w:tcBorders>
              <w:right w:val="single" w:sz="12" w:space="0" w:color="auto"/>
            </w:tcBorders>
            <w:shd w:val="clear" w:color="auto" w:fill="BFBFBF" w:themeFill="background1" w:themeFillShade="BF"/>
            <w:tcMar>
              <w:top w:w="28" w:type="dxa"/>
              <w:bottom w:w="28" w:type="dxa"/>
            </w:tcMar>
            <w:vAlign w:val="center"/>
          </w:tcPr>
          <w:p w14:paraId="303981BD"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29330C50" w14:textId="77777777" w:rsidR="00C3551E" w:rsidRPr="000D6858" w:rsidRDefault="008136F8" w:rsidP="00677C01">
            <w:pPr>
              <w:spacing w:before="0" w:after="0" w:line="240" w:lineRule="auto"/>
              <w:jc w:val="center"/>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BKZ</w:t>
            </w:r>
          </w:p>
        </w:tc>
        <w:tc>
          <w:tcPr>
            <w:tcW w:w="1064" w:type="dxa"/>
            <w:tcBorders>
              <w:right w:val="single" w:sz="12" w:space="0" w:color="auto"/>
            </w:tcBorders>
            <w:shd w:val="clear" w:color="auto" w:fill="BFBFBF" w:themeFill="background1" w:themeFillShade="BF"/>
            <w:tcMar>
              <w:top w:w="28" w:type="dxa"/>
              <w:bottom w:w="28" w:type="dxa"/>
            </w:tcMar>
            <w:vAlign w:val="center"/>
          </w:tcPr>
          <w:p w14:paraId="266C1053" w14:textId="77777777" w:rsidR="00C3551E" w:rsidRPr="000D6858" w:rsidRDefault="00C3551E"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r w:rsidRPr="000D6858">
              <w:rPr>
                <w:rFonts w:ascii="Times New Roman" w:hAnsi="Times New Roman" w:cs="Times New Roman"/>
                <w:b/>
                <w:bCs/>
                <w:sz w:val="20"/>
                <w:szCs w:val="20"/>
                <w:lang w:val="en-GB"/>
              </w:rPr>
              <w:t>RIS</w:t>
            </w:r>
          </w:p>
        </w:tc>
      </w:tr>
      <w:tr w:rsidR="004722FF" w:rsidRPr="007B4152" w14:paraId="05CB484F"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3C62AB5" w14:textId="4B926A68" w:rsidR="00A35209" w:rsidRPr="000D6858" w:rsidRDefault="00A35209" w:rsidP="00A35209">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b w:val="0"/>
                <w:bCs w:val="0"/>
                <w:sz w:val="20"/>
                <w:szCs w:val="20"/>
                <w:lang w:val="en-GB"/>
              </w:rPr>
              <w:t xml:space="preserve">Serious </w:t>
            </w:r>
            <w:r w:rsidR="005F1CAA">
              <w:rPr>
                <w:rFonts w:ascii="Times New Roman" w:hAnsi="Times New Roman" w:cs="Times New Roman"/>
                <w:b w:val="0"/>
                <w:bCs w:val="0"/>
                <w:sz w:val="20"/>
                <w:szCs w:val="20"/>
                <w:lang w:val="en-GB"/>
              </w:rPr>
              <w:t xml:space="preserve">AE </w:t>
            </w:r>
            <w:r w:rsidRPr="000D6858">
              <w:rPr>
                <w:rFonts w:ascii="Times New Roman" w:hAnsi="Times New Roman" w:cs="Times New Roman"/>
                <w:sz w:val="20"/>
                <w:szCs w:val="20"/>
                <w:lang w:val="en-GB"/>
              </w:rPr>
              <w:t>ϮϮ</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4611C8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3" w:type="dxa"/>
            <w:tcBorders>
              <w:right w:val="single" w:sz="12" w:space="0" w:color="auto"/>
            </w:tcBorders>
            <w:tcMar>
              <w:top w:w="28" w:type="dxa"/>
              <w:bottom w:w="28" w:type="dxa"/>
            </w:tcMar>
            <w:vAlign w:val="center"/>
          </w:tcPr>
          <w:p w14:paraId="0C908D80"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0911B8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tcW w:w="1063" w:type="dxa"/>
            <w:tcBorders>
              <w:right w:val="single" w:sz="12" w:space="0" w:color="auto"/>
            </w:tcBorders>
            <w:tcMar>
              <w:top w:w="28" w:type="dxa"/>
              <w:bottom w:w="28" w:type="dxa"/>
            </w:tcMar>
            <w:vAlign w:val="center"/>
          </w:tcPr>
          <w:p w14:paraId="79DA4985"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643675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tcW w:w="1063" w:type="dxa"/>
            <w:tcBorders>
              <w:right w:val="single" w:sz="12" w:space="0" w:color="auto"/>
            </w:tcBorders>
            <w:tcMar>
              <w:top w:w="28" w:type="dxa"/>
              <w:bottom w:w="28" w:type="dxa"/>
            </w:tcMar>
            <w:vAlign w:val="center"/>
          </w:tcPr>
          <w:p w14:paraId="22E06C1E"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8</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6A089E0"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tcW w:w="1063" w:type="dxa"/>
            <w:tcBorders>
              <w:right w:val="single" w:sz="12" w:space="0" w:color="auto"/>
            </w:tcBorders>
            <w:tcMar>
              <w:top w:w="28" w:type="dxa"/>
              <w:bottom w:w="28" w:type="dxa"/>
            </w:tcMar>
            <w:vAlign w:val="center"/>
          </w:tcPr>
          <w:p w14:paraId="27D61B16"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BD9E41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3" w:type="dxa"/>
            <w:tcBorders>
              <w:right w:val="single" w:sz="12" w:space="0" w:color="auto"/>
            </w:tcBorders>
            <w:tcMar>
              <w:top w:w="28" w:type="dxa"/>
              <w:bottom w:w="28" w:type="dxa"/>
            </w:tcMar>
            <w:vAlign w:val="center"/>
          </w:tcPr>
          <w:p w14:paraId="51115DE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4BCB7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4" w:type="dxa"/>
            <w:tcBorders>
              <w:right w:val="single" w:sz="12" w:space="0" w:color="auto"/>
            </w:tcBorders>
            <w:tcMar>
              <w:top w:w="28" w:type="dxa"/>
              <w:bottom w:w="28" w:type="dxa"/>
            </w:tcMar>
            <w:vAlign w:val="center"/>
          </w:tcPr>
          <w:p w14:paraId="50CA8E8B"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4-5</w:t>
            </w:r>
          </w:p>
        </w:tc>
      </w:tr>
      <w:tr w:rsidR="004722FF" w:rsidRPr="007B4152" w14:paraId="459F144F"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2A1C20F" w14:textId="054F3AE1" w:rsidR="00A35209" w:rsidRPr="000D6858" w:rsidRDefault="00A35209" w:rsidP="00A35209">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b w:val="0"/>
                <w:bCs w:val="0"/>
                <w:sz w:val="20"/>
                <w:szCs w:val="20"/>
                <w:lang w:val="en-GB"/>
              </w:rPr>
              <w:t xml:space="preserve">Severe </w:t>
            </w:r>
            <w:r w:rsidR="005F1CAA">
              <w:rPr>
                <w:rFonts w:ascii="Times New Roman" w:hAnsi="Times New Roman" w:cs="Times New Roman"/>
                <w:b w:val="0"/>
                <w:bCs w:val="0"/>
                <w:sz w:val="20"/>
                <w:szCs w:val="20"/>
                <w:lang w:val="en-GB"/>
              </w:rPr>
              <w:t>AE</w:t>
            </w:r>
            <w:r w:rsidRPr="000D6858">
              <w:rPr>
                <w:rFonts w:ascii="Times New Roman" w:hAnsi="Times New Roman" w:cs="Times New Roman"/>
                <w:sz w:val="20"/>
                <w:szCs w:val="20"/>
                <w:lang w:val="en-GB"/>
              </w:rPr>
              <w:t xml:space="preserve"> Ϯ</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29E9E9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4A375C0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D2498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tcW w:w="1063" w:type="dxa"/>
            <w:tcBorders>
              <w:right w:val="single" w:sz="12" w:space="0" w:color="auto"/>
            </w:tcBorders>
            <w:tcMar>
              <w:top w:w="28" w:type="dxa"/>
              <w:bottom w:w="28" w:type="dxa"/>
            </w:tcMar>
            <w:vAlign w:val="center"/>
          </w:tcPr>
          <w:p w14:paraId="465C1A89"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672C6B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tcW w:w="1063" w:type="dxa"/>
            <w:tcBorders>
              <w:right w:val="single" w:sz="12" w:space="0" w:color="auto"/>
            </w:tcBorders>
            <w:tcMar>
              <w:top w:w="28" w:type="dxa"/>
              <w:bottom w:w="28" w:type="dxa"/>
            </w:tcMar>
            <w:vAlign w:val="center"/>
          </w:tcPr>
          <w:p w14:paraId="0C3E6F9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24BB92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7</w:t>
            </w:r>
          </w:p>
        </w:tc>
        <w:tc>
          <w:tcPr>
            <w:tcW w:w="1063" w:type="dxa"/>
            <w:tcBorders>
              <w:right w:val="single" w:sz="12" w:space="0" w:color="auto"/>
            </w:tcBorders>
            <w:tcMar>
              <w:top w:w="28" w:type="dxa"/>
              <w:bottom w:w="28" w:type="dxa"/>
            </w:tcMar>
            <w:vAlign w:val="center"/>
          </w:tcPr>
          <w:p w14:paraId="3E0B5AC6"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4A6219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04637886"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71357E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4" w:type="dxa"/>
            <w:tcBorders>
              <w:right w:val="single" w:sz="12" w:space="0" w:color="auto"/>
            </w:tcBorders>
            <w:tcMar>
              <w:top w:w="28" w:type="dxa"/>
              <w:bottom w:w="28" w:type="dxa"/>
            </w:tcMar>
            <w:vAlign w:val="center"/>
          </w:tcPr>
          <w:p w14:paraId="3C207E6E"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2-4</w:t>
            </w:r>
          </w:p>
        </w:tc>
      </w:tr>
      <w:tr w:rsidR="004722FF" w:rsidRPr="007B4152" w14:paraId="0A1F2521"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02DAE615" w14:textId="77777777" w:rsidR="00A35209" w:rsidRPr="000D6858" w:rsidRDefault="00A35209" w:rsidP="00A35209">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b w:val="0"/>
                <w:bCs w:val="0"/>
                <w:sz w:val="20"/>
                <w:szCs w:val="20"/>
                <w:lang w:val="en-GB"/>
              </w:rPr>
              <w:t>Discontinuations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B95CC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3C289A55"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CB5722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57E99371"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6CA3C5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tcW w:w="1063" w:type="dxa"/>
            <w:tcBorders>
              <w:right w:val="single" w:sz="12" w:space="0" w:color="auto"/>
            </w:tcBorders>
            <w:tcMar>
              <w:top w:w="28" w:type="dxa"/>
              <w:bottom w:w="28" w:type="dxa"/>
            </w:tcMar>
            <w:vAlign w:val="center"/>
          </w:tcPr>
          <w:p w14:paraId="07793A09"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0B424B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3" w:type="dxa"/>
            <w:tcBorders>
              <w:right w:val="single" w:sz="12" w:space="0" w:color="auto"/>
            </w:tcBorders>
            <w:tcMar>
              <w:top w:w="28" w:type="dxa"/>
              <w:bottom w:w="28" w:type="dxa"/>
            </w:tcMar>
            <w:vAlign w:val="center"/>
          </w:tcPr>
          <w:p w14:paraId="29F24CB7"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F75CB1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74FD1D8D"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D638F2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tcW w:w="1064" w:type="dxa"/>
            <w:tcBorders>
              <w:right w:val="single" w:sz="12" w:space="0" w:color="auto"/>
            </w:tcBorders>
            <w:tcMar>
              <w:top w:w="28" w:type="dxa"/>
              <w:bottom w:w="28" w:type="dxa"/>
            </w:tcMar>
            <w:vAlign w:val="center"/>
          </w:tcPr>
          <w:p w14:paraId="5F77986B"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4722FF" w:rsidRPr="007B4152" w14:paraId="35CE4232"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7E017D0" w14:textId="77777777" w:rsidR="00A35209" w:rsidRPr="000D6858" w:rsidRDefault="00A35209" w:rsidP="00A35209">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b w:val="0"/>
                <w:bCs w:val="0"/>
                <w:sz w:val="20"/>
                <w:szCs w:val="20"/>
                <w:lang w:val="en-GB"/>
              </w:rPr>
              <w:t>Deaths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AFE629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2C187D5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28D479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0FFAB7E"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B62D97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0A3E6CA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7DAE6C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43D475A0"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B1555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5623B8C1"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373AF4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78176D6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4722FF" w:rsidRPr="007B4152" w14:paraId="5D149CE1"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4CE5034" w14:textId="7C2AE3C2" w:rsidR="00A35209" w:rsidRPr="000D6858" w:rsidRDefault="005F1CAA" w:rsidP="00A35209">
            <w:pPr>
              <w:spacing w:before="0" w:after="0" w:line="240" w:lineRule="auto"/>
              <w:jc w:val="left"/>
              <w:rPr>
                <w:rFonts w:ascii="Times New Roman" w:hAnsi="Times New Roman" w:cs="Times New Roman"/>
                <w:sz w:val="20"/>
                <w:szCs w:val="20"/>
                <w:lang w:val="en-GB"/>
              </w:rPr>
            </w:pPr>
            <w:r>
              <w:rPr>
                <w:rFonts w:ascii="Times New Roman" w:hAnsi="Times New Roman" w:cs="Times New Roman"/>
                <w:b w:val="0"/>
                <w:bCs w:val="0"/>
                <w:sz w:val="20"/>
                <w:szCs w:val="20"/>
                <w:lang w:val="en-GB"/>
              </w:rPr>
              <w:t>AE</w:t>
            </w:r>
            <w:r w:rsidR="00A35209" w:rsidRPr="000D6858">
              <w:rPr>
                <w:rFonts w:ascii="Times New Roman" w:hAnsi="Times New Roman" w:cs="Times New Roman"/>
                <w:b w:val="0"/>
                <w:bCs w:val="0"/>
                <w:sz w:val="20"/>
                <w:szCs w:val="20"/>
                <w:lang w:val="en-GB"/>
              </w:rPr>
              <w:t xml:space="preserve"> cause</w:t>
            </w:r>
            <w:r>
              <w:rPr>
                <w:rFonts w:ascii="Times New Roman" w:hAnsi="Times New Roman" w:cs="Times New Roman"/>
                <w:b w:val="0"/>
                <w:bCs w:val="0"/>
                <w:sz w:val="20"/>
                <w:szCs w:val="20"/>
                <w:lang w:val="en-GB"/>
              </w:rPr>
              <w:t>d</w:t>
            </w:r>
            <w:r w:rsidR="00A35209" w:rsidRPr="000D6858">
              <w:rPr>
                <w:rFonts w:ascii="Times New Roman" w:hAnsi="Times New Roman" w:cs="Times New Roman"/>
                <w:b w:val="0"/>
                <w:bCs w:val="0"/>
                <w:sz w:val="20"/>
                <w:szCs w:val="20"/>
                <w:lang w:val="en-GB"/>
              </w:rPr>
              <w:t xml:space="preserve"> </w:t>
            </w:r>
            <w:r>
              <w:rPr>
                <w:rFonts w:ascii="Times New Roman" w:hAnsi="Times New Roman" w:cs="Times New Roman"/>
                <w:b w:val="0"/>
                <w:bCs w:val="0"/>
                <w:sz w:val="20"/>
                <w:szCs w:val="20"/>
                <w:lang w:val="en-GB"/>
              </w:rPr>
              <w:t xml:space="preserve">by the </w:t>
            </w:r>
            <w:r w:rsidR="00A35209" w:rsidRPr="000D6858">
              <w:rPr>
                <w:rFonts w:ascii="Times New Roman" w:hAnsi="Times New Roman" w:cs="Times New Roman"/>
                <w:b w:val="0"/>
                <w:bCs w:val="0"/>
                <w:sz w:val="20"/>
                <w:szCs w:val="20"/>
                <w:lang w:val="en-GB"/>
              </w:rPr>
              <w:t>drug</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9E7C52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B82BF49"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1F118C1"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24</w:t>
            </w:r>
          </w:p>
        </w:tc>
        <w:tc>
          <w:tcPr>
            <w:tcW w:w="1063" w:type="dxa"/>
            <w:tcBorders>
              <w:right w:val="single" w:sz="12" w:space="0" w:color="auto"/>
            </w:tcBorders>
            <w:tcMar>
              <w:top w:w="28" w:type="dxa"/>
              <w:bottom w:w="28" w:type="dxa"/>
            </w:tcMar>
            <w:vAlign w:val="center"/>
          </w:tcPr>
          <w:p w14:paraId="094F77A9"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8AE562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632CD6A2"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A33005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43</w:t>
            </w:r>
          </w:p>
        </w:tc>
        <w:tc>
          <w:tcPr>
            <w:tcW w:w="1063" w:type="dxa"/>
            <w:tcBorders>
              <w:right w:val="single" w:sz="12" w:space="0" w:color="auto"/>
            </w:tcBorders>
            <w:tcMar>
              <w:top w:w="28" w:type="dxa"/>
              <w:bottom w:w="28" w:type="dxa"/>
            </w:tcMar>
            <w:vAlign w:val="center"/>
          </w:tcPr>
          <w:p w14:paraId="21A0A3E8"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ABCCBC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27E1881A"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22F10E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4" w:type="dxa"/>
            <w:tcBorders>
              <w:right w:val="single" w:sz="12" w:space="0" w:color="auto"/>
            </w:tcBorders>
            <w:tcMar>
              <w:top w:w="28" w:type="dxa"/>
              <w:bottom w:w="28" w:type="dxa"/>
            </w:tcMar>
            <w:vAlign w:val="center"/>
          </w:tcPr>
          <w:p w14:paraId="32A773DC"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4722FF" w:rsidRPr="007B4152" w14:paraId="37558E6B"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AD35B65" w14:textId="2481E5DF"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 xml:space="preserve">Any </w:t>
            </w:r>
            <w:r w:rsidR="005F1CAA">
              <w:rPr>
                <w:rFonts w:ascii="Times New Roman" w:hAnsi="Times New Roman" w:cs="Times New Roman"/>
                <w:b w:val="0"/>
                <w:bCs w:val="0"/>
                <w:sz w:val="20"/>
                <w:szCs w:val="20"/>
                <w:lang w:val="en-GB"/>
              </w:rPr>
              <w:t>AE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96634F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77</w:t>
            </w:r>
          </w:p>
        </w:tc>
        <w:tc>
          <w:tcPr>
            <w:tcW w:w="1063" w:type="dxa"/>
            <w:tcBorders>
              <w:right w:val="single" w:sz="12" w:space="0" w:color="auto"/>
            </w:tcBorders>
            <w:tcMar>
              <w:top w:w="28" w:type="dxa"/>
              <w:bottom w:w="28" w:type="dxa"/>
            </w:tcMar>
            <w:vAlign w:val="center"/>
          </w:tcPr>
          <w:p w14:paraId="010ACA91"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69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609C03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70</w:t>
            </w:r>
          </w:p>
        </w:tc>
        <w:tc>
          <w:tcPr>
            <w:tcW w:w="1063" w:type="dxa"/>
            <w:tcBorders>
              <w:right w:val="single" w:sz="12" w:space="0" w:color="auto"/>
            </w:tcBorders>
            <w:tcMar>
              <w:top w:w="28" w:type="dxa"/>
              <w:bottom w:w="28" w:type="dxa"/>
            </w:tcMar>
            <w:vAlign w:val="center"/>
          </w:tcPr>
          <w:p w14:paraId="0F1EF564"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75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1B8B74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82</w:t>
            </w:r>
          </w:p>
        </w:tc>
        <w:tc>
          <w:tcPr>
            <w:tcW w:w="1063" w:type="dxa"/>
            <w:tcBorders>
              <w:right w:val="single" w:sz="12" w:space="0" w:color="auto"/>
            </w:tcBorders>
            <w:tcMar>
              <w:top w:w="28" w:type="dxa"/>
              <w:bottom w:w="28" w:type="dxa"/>
            </w:tcMar>
            <w:vAlign w:val="center"/>
          </w:tcPr>
          <w:p w14:paraId="165C4553"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80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CDC3C2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86</w:t>
            </w:r>
          </w:p>
        </w:tc>
        <w:tc>
          <w:tcPr>
            <w:tcW w:w="1063" w:type="dxa"/>
            <w:tcBorders>
              <w:right w:val="single" w:sz="12" w:space="0" w:color="auto"/>
            </w:tcBorders>
            <w:tcMar>
              <w:top w:w="28" w:type="dxa"/>
              <w:bottom w:w="28" w:type="dxa"/>
            </w:tcMar>
            <w:vAlign w:val="center"/>
          </w:tcPr>
          <w:p w14:paraId="57FCB929"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81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5584E6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77</w:t>
            </w:r>
          </w:p>
        </w:tc>
        <w:tc>
          <w:tcPr>
            <w:tcW w:w="1063" w:type="dxa"/>
            <w:tcBorders>
              <w:right w:val="single" w:sz="12" w:space="0" w:color="auto"/>
            </w:tcBorders>
            <w:tcMar>
              <w:top w:w="28" w:type="dxa"/>
              <w:bottom w:w="28" w:type="dxa"/>
            </w:tcMar>
            <w:vAlign w:val="center"/>
          </w:tcPr>
          <w:p w14:paraId="77C4D6ED"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81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576388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77</w:t>
            </w:r>
          </w:p>
        </w:tc>
        <w:tc>
          <w:tcPr>
            <w:tcW w:w="1064" w:type="dxa"/>
            <w:tcBorders>
              <w:right w:val="single" w:sz="12" w:space="0" w:color="auto"/>
            </w:tcBorders>
            <w:tcMar>
              <w:top w:w="28" w:type="dxa"/>
              <w:bottom w:w="28" w:type="dxa"/>
            </w:tcMar>
            <w:vAlign w:val="center"/>
          </w:tcPr>
          <w:p w14:paraId="3364A688"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56-61</w:t>
            </w:r>
          </w:p>
        </w:tc>
      </w:tr>
      <w:tr w:rsidR="005F7BBC" w:rsidRPr="007B4152" w14:paraId="33A816BF"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68455EA2" w14:textId="7AD49E51" w:rsidR="00A35209" w:rsidRPr="000D6858" w:rsidRDefault="00A35209" w:rsidP="00A35209">
            <w:pPr>
              <w:spacing w:before="0" w:after="0" w:line="240" w:lineRule="auto"/>
              <w:jc w:val="left"/>
              <w:rPr>
                <w:rFonts w:ascii="Times New Roman" w:hAnsi="Times New Roman" w:cs="Times New Roman"/>
                <w:sz w:val="20"/>
                <w:szCs w:val="20"/>
                <w:lang w:val="en-GB"/>
              </w:rPr>
            </w:pPr>
            <w:r w:rsidRPr="000D6858">
              <w:rPr>
                <w:rFonts w:ascii="Times New Roman" w:hAnsi="Times New Roman" w:cs="Times New Roman"/>
                <w:sz w:val="20"/>
                <w:szCs w:val="20"/>
                <w:lang w:val="en-GB"/>
              </w:rPr>
              <w:t xml:space="preserve">Most common </w:t>
            </w:r>
            <w:r w:rsidR="005F1CAA">
              <w:rPr>
                <w:rFonts w:ascii="Times New Roman" w:hAnsi="Times New Roman" w:cs="Times New Roman"/>
                <w:sz w:val="20"/>
                <w:szCs w:val="20"/>
                <w:lang w:val="en-GB"/>
              </w:rPr>
              <w:t>AE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484C5CC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3490BFD3"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301BC09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33B850E0"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41036A0E"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3B087C45"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4F942D1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0292DD3F"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573E601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0EF9915A"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749F440"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p>
        </w:tc>
        <w:tc>
          <w:tcPr>
            <w:tcW w:w="1064" w:type="dxa"/>
            <w:tcBorders>
              <w:right w:val="single" w:sz="12" w:space="0" w:color="auto"/>
            </w:tcBorders>
            <w:shd w:val="clear" w:color="auto" w:fill="BFBFBF" w:themeFill="background1" w:themeFillShade="BF"/>
            <w:tcMar>
              <w:top w:w="28" w:type="dxa"/>
              <w:bottom w:w="28" w:type="dxa"/>
            </w:tcMar>
            <w:vAlign w:val="center"/>
          </w:tcPr>
          <w:p w14:paraId="0B2C0AD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4722FF" w:rsidRPr="007B4152" w14:paraId="3B959A61"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27D6BE9"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Nasopharyngitis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0A1B14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23</w:t>
            </w:r>
          </w:p>
        </w:tc>
        <w:tc>
          <w:tcPr>
            <w:tcW w:w="1063" w:type="dxa"/>
            <w:tcBorders>
              <w:right w:val="single" w:sz="12" w:space="0" w:color="auto"/>
            </w:tcBorders>
            <w:tcMar>
              <w:top w:w="28" w:type="dxa"/>
              <w:bottom w:w="28" w:type="dxa"/>
            </w:tcMar>
            <w:vAlign w:val="center"/>
          </w:tcPr>
          <w:p w14:paraId="461A85EC"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19</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290911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7F1BF254"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2C76D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22</w:t>
            </w:r>
          </w:p>
        </w:tc>
        <w:tc>
          <w:tcPr>
            <w:tcW w:w="1063" w:type="dxa"/>
            <w:tcBorders>
              <w:right w:val="single" w:sz="12" w:space="0" w:color="auto"/>
            </w:tcBorders>
            <w:tcMar>
              <w:top w:w="28" w:type="dxa"/>
              <w:bottom w:w="28" w:type="dxa"/>
            </w:tcMar>
            <w:vAlign w:val="center"/>
          </w:tcPr>
          <w:p w14:paraId="3AD78C9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22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A39542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45E00BD"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54EF85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23</w:t>
            </w:r>
          </w:p>
        </w:tc>
        <w:tc>
          <w:tcPr>
            <w:tcW w:w="1063" w:type="dxa"/>
            <w:tcBorders>
              <w:right w:val="single" w:sz="12" w:space="0" w:color="auto"/>
            </w:tcBorders>
            <w:tcMar>
              <w:top w:w="28" w:type="dxa"/>
              <w:bottom w:w="28" w:type="dxa"/>
            </w:tcMar>
            <w:vAlign w:val="center"/>
          </w:tcPr>
          <w:p w14:paraId="619A562E" w14:textId="51A8D591" w:rsidR="00A35209" w:rsidRPr="000D6858" w:rsidRDefault="000D6858"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8E9197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23</w:t>
            </w:r>
          </w:p>
        </w:tc>
        <w:tc>
          <w:tcPr>
            <w:tcW w:w="1064" w:type="dxa"/>
            <w:tcBorders>
              <w:right w:val="single" w:sz="12" w:space="0" w:color="auto"/>
            </w:tcBorders>
            <w:tcMar>
              <w:top w:w="28" w:type="dxa"/>
              <w:bottom w:w="28" w:type="dxa"/>
            </w:tcMar>
            <w:vAlign w:val="center"/>
          </w:tcPr>
          <w:p w14:paraId="21830CFA"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4722FF" w:rsidRPr="007B4152" w14:paraId="75A1AA34"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7550409E"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Oral candidiasis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2CBF53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058C3181"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53DD81"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22658E2F"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17</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D0C5F57" w14:textId="0ACE362D" w:rsidR="00A35209" w:rsidRPr="000D6858" w:rsidRDefault="000D6858" w:rsidP="00A35209">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15</w:t>
            </w:r>
          </w:p>
        </w:tc>
        <w:tc>
          <w:tcPr>
            <w:tcW w:w="1063" w:type="dxa"/>
            <w:tcBorders>
              <w:right w:val="single" w:sz="12" w:space="0" w:color="auto"/>
            </w:tcBorders>
            <w:tcMar>
              <w:top w:w="28" w:type="dxa"/>
              <w:bottom w:w="28" w:type="dxa"/>
            </w:tcMar>
            <w:vAlign w:val="center"/>
          </w:tcPr>
          <w:p w14:paraId="4EB26445"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CBD98D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19</w:t>
            </w:r>
          </w:p>
        </w:tc>
        <w:tc>
          <w:tcPr>
            <w:tcW w:w="1063" w:type="dxa"/>
            <w:tcBorders>
              <w:right w:val="single" w:sz="12" w:space="0" w:color="auto"/>
            </w:tcBorders>
            <w:tcMar>
              <w:top w:w="28" w:type="dxa"/>
              <w:bottom w:w="28" w:type="dxa"/>
            </w:tcMar>
            <w:vAlign w:val="center"/>
          </w:tcPr>
          <w:p w14:paraId="009D278E"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80335F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1E396A12"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BA6FBC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9</w:t>
            </w:r>
          </w:p>
        </w:tc>
        <w:tc>
          <w:tcPr>
            <w:tcW w:w="1064" w:type="dxa"/>
            <w:tcBorders>
              <w:right w:val="single" w:sz="12" w:space="0" w:color="auto"/>
            </w:tcBorders>
            <w:tcMar>
              <w:top w:w="28" w:type="dxa"/>
              <w:bottom w:w="28" w:type="dxa"/>
            </w:tcMar>
            <w:vAlign w:val="center"/>
          </w:tcPr>
          <w:p w14:paraId="7015210C"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4722FF" w:rsidRPr="007B4152" w14:paraId="253FC692"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560B7138" w14:textId="6CFBF9D4" w:rsidR="00A35209" w:rsidRPr="000D6858" w:rsidRDefault="005F1CAA"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URT</w:t>
            </w:r>
            <w:r w:rsidR="00A35209" w:rsidRPr="000D6858">
              <w:rPr>
                <w:rFonts w:ascii="Times New Roman" w:hAnsi="Times New Roman" w:cs="Times New Roman"/>
                <w:b w:val="0"/>
                <w:bCs w:val="0"/>
                <w:sz w:val="20"/>
                <w:szCs w:val="20"/>
                <w:lang w:val="en-GB"/>
              </w:rPr>
              <w:t xml:space="preserve"> infection</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003539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8</w:t>
            </w:r>
          </w:p>
        </w:tc>
        <w:tc>
          <w:tcPr>
            <w:tcW w:w="1063" w:type="dxa"/>
            <w:tcBorders>
              <w:right w:val="single" w:sz="12" w:space="0" w:color="auto"/>
            </w:tcBorders>
            <w:tcMar>
              <w:top w:w="28" w:type="dxa"/>
              <w:bottom w:w="28" w:type="dxa"/>
            </w:tcMar>
            <w:vAlign w:val="center"/>
          </w:tcPr>
          <w:p w14:paraId="6AAA0D42"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8CB9B8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24</w:t>
            </w:r>
          </w:p>
        </w:tc>
        <w:tc>
          <w:tcPr>
            <w:tcW w:w="1063" w:type="dxa"/>
            <w:tcBorders>
              <w:right w:val="single" w:sz="12" w:space="0" w:color="auto"/>
            </w:tcBorders>
            <w:tcMar>
              <w:top w:w="28" w:type="dxa"/>
              <w:bottom w:w="28" w:type="dxa"/>
            </w:tcMar>
            <w:vAlign w:val="center"/>
          </w:tcPr>
          <w:p w14:paraId="561A823A"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28</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202D26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9</w:t>
            </w:r>
          </w:p>
        </w:tc>
        <w:tc>
          <w:tcPr>
            <w:tcW w:w="1063" w:type="dxa"/>
            <w:tcBorders>
              <w:right w:val="single" w:sz="12" w:space="0" w:color="auto"/>
            </w:tcBorders>
            <w:tcMar>
              <w:top w:w="28" w:type="dxa"/>
              <w:bottom w:w="28" w:type="dxa"/>
            </w:tcMar>
            <w:vAlign w:val="center"/>
          </w:tcPr>
          <w:p w14:paraId="514E5909" w14:textId="56F6E129" w:rsidR="00A35209" w:rsidRPr="000D6858" w:rsidRDefault="000D6858"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5BAA12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39</w:t>
            </w:r>
          </w:p>
        </w:tc>
        <w:tc>
          <w:tcPr>
            <w:tcW w:w="1063" w:type="dxa"/>
            <w:tcBorders>
              <w:right w:val="single" w:sz="12" w:space="0" w:color="auto"/>
            </w:tcBorders>
            <w:tcMar>
              <w:top w:w="28" w:type="dxa"/>
              <w:bottom w:w="28" w:type="dxa"/>
            </w:tcMar>
            <w:vAlign w:val="center"/>
          </w:tcPr>
          <w:p w14:paraId="23C480A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4883E5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8</w:t>
            </w:r>
          </w:p>
        </w:tc>
        <w:tc>
          <w:tcPr>
            <w:tcW w:w="1063" w:type="dxa"/>
            <w:tcBorders>
              <w:right w:val="single" w:sz="12" w:space="0" w:color="auto"/>
            </w:tcBorders>
            <w:tcMar>
              <w:top w:w="28" w:type="dxa"/>
              <w:bottom w:w="28" w:type="dxa"/>
            </w:tcMar>
            <w:vAlign w:val="center"/>
          </w:tcPr>
          <w:p w14:paraId="39CC67D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1B9AEC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8</w:t>
            </w:r>
          </w:p>
        </w:tc>
        <w:tc>
          <w:tcPr>
            <w:tcW w:w="1064" w:type="dxa"/>
            <w:tcBorders>
              <w:right w:val="single" w:sz="12" w:space="0" w:color="auto"/>
            </w:tcBorders>
            <w:tcMar>
              <w:top w:w="28" w:type="dxa"/>
              <w:bottom w:w="28" w:type="dxa"/>
            </w:tcMar>
            <w:vAlign w:val="center"/>
          </w:tcPr>
          <w:p w14:paraId="7B73D1AD"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5F7BBC" w:rsidRPr="007B4152" w14:paraId="38942D33"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shd w:val="clear" w:color="auto" w:fill="BFBFBF" w:themeFill="background1" w:themeFillShade="BF"/>
            <w:tcMar>
              <w:top w:w="28" w:type="dxa"/>
              <w:bottom w:w="28" w:type="dxa"/>
            </w:tcMar>
            <w:vAlign w:val="center"/>
          </w:tcPr>
          <w:p w14:paraId="5E2D7F4D" w14:textId="4B3951DD" w:rsidR="000D6858" w:rsidRPr="000D6858" w:rsidRDefault="005F1CAA"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sz w:val="20"/>
                <w:szCs w:val="20"/>
                <w:lang w:val="en-GB"/>
              </w:rPr>
              <w:t>AE</w:t>
            </w:r>
            <w:r w:rsidR="000D6858" w:rsidRPr="000D6858">
              <w:rPr>
                <w:rFonts w:ascii="Times New Roman" w:hAnsi="Times New Roman" w:cs="Times New Roman"/>
                <w:sz w:val="20"/>
                <w:szCs w:val="20"/>
                <w:lang w:val="en-GB"/>
              </w:rPr>
              <w:t xml:space="preserve"> of special interest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1AB19819" w14:textId="7B28901C" w:rsidR="000D6858" w:rsidRPr="000D6858" w:rsidRDefault="000D6858" w:rsidP="00A35209">
            <w:pPr>
              <w:spacing w:before="0" w:after="0" w:line="240" w:lineRule="auto"/>
              <w:jc w:val="left"/>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2A24AE61"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5C429B06" w14:textId="77777777" w:rsidR="000D6858" w:rsidRPr="000D6858" w:rsidRDefault="000D685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02422294"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3E3542BC" w14:textId="77777777" w:rsidR="000D6858" w:rsidRPr="000D6858" w:rsidRDefault="000D685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1C4DFE44"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77204A9F" w14:textId="77777777" w:rsidR="000D6858" w:rsidRPr="000D6858" w:rsidRDefault="000D685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2CDBA063"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00A4BBBA" w14:textId="77777777" w:rsidR="000D6858" w:rsidRPr="000D6858" w:rsidRDefault="000D6858" w:rsidP="00A35209">
            <w:pPr>
              <w:spacing w:before="0" w:after="0" w:line="240" w:lineRule="auto"/>
              <w:jc w:val="center"/>
              <w:rPr>
                <w:rFonts w:ascii="Times New Roman" w:hAnsi="Times New Roman" w:cs="Times New Roman"/>
                <w:sz w:val="20"/>
                <w:szCs w:val="20"/>
                <w:lang w:val="en-GB"/>
              </w:rPr>
            </w:pPr>
          </w:p>
        </w:tc>
        <w:tc>
          <w:tcPr>
            <w:tcW w:w="1063" w:type="dxa"/>
            <w:tcBorders>
              <w:right w:val="single" w:sz="12" w:space="0" w:color="auto"/>
            </w:tcBorders>
            <w:shd w:val="clear" w:color="auto" w:fill="BFBFBF" w:themeFill="background1" w:themeFillShade="BF"/>
            <w:tcMar>
              <w:top w:w="28" w:type="dxa"/>
              <w:bottom w:w="28" w:type="dxa"/>
            </w:tcMar>
            <w:vAlign w:val="center"/>
          </w:tcPr>
          <w:p w14:paraId="4AC2862B"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shd w:val="clear" w:color="auto" w:fill="BFBFBF" w:themeFill="background1" w:themeFillShade="BF"/>
            <w:tcMar>
              <w:top w:w="28" w:type="dxa"/>
              <w:bottom w:w="28" w:type="dxa"/>
            </w:tcMar>
            <w:vAlign w:val="center"/>
          </w:tcPr>
          <w:p w14:paraId="23A1F0EC" w14:textId="77777777" w:rsidR="000D6858" w:rsidRPr="000D6858" w:rsidRDefault="000D6858" w:rsidP="00A35209">
            <w:pPr>
              <w:spacing w:before="0" w:after="0" w:line="240" w:lineRule="auto"/>
              <w:jc w:val="center"/>
              <w:rPr>
                <w:rFonts w:ascii="Times New Roman" w:hAnsi="Times New Roman" w:cs="Times New Roman"/>
                <w:sz w:val="20"/>
                <w:szCs w:val="20"/>
                <w:lang w:val="en-GB"/>
              </w:rPr>
            </w:pPr>
          </w:p>
        </w:tc>
        <w:tc>
          <w:tcPr>
            <w:tcW w:w="1064" w:type="dxa"/>
            <w:tcBorders>
              <w:right w:val="single" w:sz="12" w:space="0" w:color="auto"/>
            </w:tcBorders>
            <w:shd w:val="clear" w:color="auto" w:fill="BFBFBF" w:themeFill="background1" w:themeFillShade="BF"/>
            <w:tcMar>
              <w:top w:w="28" w:type="dxa"/>
              <w:bottom w:w="28" w:type="dxa"/>
            </w:tcMar>
            <w:vAlign w:val="center"/>
          </w:tcPr>
          <w:p w14:paraId="16A44FC0" w14:textId="77777777" w:rsidR="000D6858" w:rsidRPr="000D6858" w:rsidRDefault="000D6858"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4722FF" w:rsidRPr="007B4152" w14:paraId="33C32BC0"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796DD10"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Serious infections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1AB78F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0A4D7B5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982AFD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05A0E47D"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86A3BEC"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6E897C29"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B6D304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16E1BF2E"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D7001B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7CFE46DB"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1F13220"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5D1CC51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4722FF" w:rsidRPr="007B4152" w14:paraId="75CFA7F0"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61723765"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IBD</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5C404F1"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7BFE76ED"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C25592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FDA457F"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3A8FD9E"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2516603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6758181"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44F6312B"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3C9096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27A7289"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88BB7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0E8DED27"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4722FF" w:rsidRPr="007B4152" w14:paraId="66FD6101"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3A6A99EC" w14:textId="71065EC1"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Suicidal ideation*</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9FD6C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5CFEE37C"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969F46C"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30D2AE0C"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D6BE1E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4EC5D85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170A879C"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0A013003"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A9B8960"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BF2211B"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2ED04F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19E450D3"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r w:rsidR="004722FF" w:rsidRPr="007B4152" w14:paraId="49E740F9"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17F3F9A"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Neoplasms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9B7C16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09843B35"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0E0141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1F701DF6"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B3A2B2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71964743"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D38DC3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7964DBA8"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D4BA64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A36E183"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67631C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6F5FD12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4722FF" w:rsidRPr="007B4152" w14:paraId="36F755BB"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7B463B4"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Skin cancer**</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E61C2A9"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3775B82B"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A271D51"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099C8226"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439977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0756C47"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3C7BFC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tcW w:w="1063" w:type="dxa"/>
            <w:tcBorders>
              <w:right w:val="single" w:sz="12" w:space="0" w:color="auto"/>
            </w:tcBorders>
            <w:tcMar>
              <w:top w:w="28" w:type="dxa"/>
              <w:bottom w:w="28" w:type="dxa"/>
            </w:tcMar>
            <w:vAlign w:val="center"/>
          </w:tcPr>
          <w:p w14:paraId="511502EB"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E1DD21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9121C64"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6D80636"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3873364F"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r>
      <w:tr w:rsidR="004722FF" w:rsidRPr="007B4152" w14:paraId="0A55F1A4"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49A0C964" w14:textId="77777777" w:rsidR="00A35209" w:rsidRPr="000D6858" w:rsidRDefault="00A35209" w:rsidP="00A35209">
            <w:pPr>
              <w:spacing w:before="0" w:after="0" w:line="240" w:lineRule="auto"/>
              <w:jc w:val="left"/>
              <w:rPr>
                <w:rFonts w:ascii="Times New Roman" w:hAnsi="Times New Roman" w:cs="Times New Roman"/>
                <w:b w:val="0"/>
                <w:bCs w:val="0"/>
                <w:sz w:val="20"/>
                <w:szCs w:val="20"/>
                <w:lang w:val="en-GB"/>
              </w:rPr>
            </w:pPr>
            <w:r w:rsidRPr="000D6858">
              <w:rPr>
                <w:rFonts w:ascii="Times New Roman" w:hAnsi="Times New Roman" w:cs="Times New Roman"/>
                <w:b w:val="0"/>
                <w:bCs w:val="0"/>
                <w:sz w:val="20"/>
                <w:szCs w:val="20"/>
                <w:lang w:val="en-GB"/>
              </w:rPr>
              <w:t>Latent tuberculosis</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385ACEB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tcW w:w="1063" w:type="dxa"/>
            <w:tcBorders>
              <w:right w:val="single" w:sz="12" w:space="0" w:color="auto"/>
            </w:tcBorders>
            <w:tcMar>
              <w:top w:w="28" w:type="dxa"/>
              <w:bottom w:w="28" w:type="dxa"/>
            </w:tcMar>
            <w:vAlign w:val="center"/>
          </w:tcPr>
          <w:p w14:paraId="0EB9A7C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0365B6C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2</w:t>
            </w:r>
          </w:p>
        </w:tc>
        <w:tc>
          <w:tcPr>
            <w:tcW w:w="1063" w:type="dxa"/>
            <w:tcBorders>
              <w:right w:val="single" w:sz="12" w:space="0" w:color="auto"/>
            </w:tcBorders>
            <w:tcMar>
              <w:top w:w="28" w:type="dxa"/>
              <w:bottom w:w="28" w:type="dxa"/>
            </w:tcMar>
            <w:vAlign w:val="center"/>
          </w:tcPr>
          <w:p w14:paraId="702219C7"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6743E28C"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32570D6C"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0AAA5AD"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3DA2B597"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1D303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48D0211F"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3938C5B"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right w:val="single" w:sz="12" w:space="0" w:color="auto"/>
            </w:tcBorders>
            <w:tcMar>
              <w:top w:w="28" w:type="dxa"/>
              <w:bottom w:w="28" w:type="dxa"/>
            </w:tcMar>
            <w:vAlign w:val="center"/>
          </w:tcPr>
          <w:p w14:paraId="7E7C870D"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4722FF" w:rsidRPr="007B4152" w14:paraId="0AC457E5" w14:textId="77777777" w:rsidTr="005F1CAA">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1E23D40E" w14:textId="24DD317A" w:rsidR="00A35209" w:rsidRPr="000D6858" w:rsidRDefault="005F1CAA" w:rsidP="00A35209">
            <w:pPr>
              <w:spacing w:before="0" w:after="0" w:line="240" w:lineRule="auto"/>
              <w:jc w:val="left"/>
              <w:rPr>
                <w:rFonts w:ascii="Times New Roman" w:hAnsi="Times New Roman" w:cs="Times New Roman"/>
                <w:b w:val="0"/>
                <w:bCs w:val="0"/>
                <w:sz w:val="20"/>
                <w:szCs w:val="20"/>
                <w:lang w:val="en-GB"/>
              </w:rPr>
            </w:pPr>
            <w:r>
              <w:rPr>
                <w:rFonts w:ascii="Times New Roman" w:hAnsi="Times New Roman" w:cs="Times New Roman"/>
                <w:b w:val="0"/>
                <w:bCs w:val="0"/>
                <w:sz w:val="20"/>
                <w:szCs w:val="20"/>
                <w:lang w:val="en-GB"/>
              </w:rPr>
              <w:t>MACE</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F8AEEC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6FF661DD"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A154FDF"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7EA61020"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43C58DF7"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0CE41DC4"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2656A44C"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right w:val="single" w:sz="12" w:space="0" w:color="auto"/>
            </w:tcBorders>
            <w:tcMar>
              <w:top w:w="28" w:type="dxa"/>
              <w:bottom w:w="28" w:type="dxa"/>
            </w:tcMar>
            <w:vAlign w:val="center"/>
          </w:tcPr>
          <w:p w14:paraId="64E9C502"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7737CFEA"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right w:val="single" w:sz="12" w:space="0" w:color="auto"/>
            </w:tcBorders>
            <w:tcMar>
              <w:top w:w="28" w:type="dxa"/>
              <w:bottom w:w="28" w:type="dxa"/>
            </w:tcMar>
            <w:vAlign w:val="center"/>
          </w:tcPr>
          <w:p w14:paraId="33303D51"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tcBorders>
            <w:tcMar>
              <w:top w:w="28" w:type="dxa"/>
              <w:bottom w:w="28" w:type="dxa"/>
            </w:tcMar>
            <w:vAlign w:val="center"/>
          </w:tcPr>
          <w:p w14:paraId="5CAD2943"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4" w:type="dxa"/>
            <w:tcBorders>
              <w:right w:val="single" w:sz="12" w:space="0" w:color="auto"/>
            </w:tcBorders>
            <w:tcMar>
              <w:top w:w="28" w:type="dxa"/>
              <w:bottom w:w="28" w:type="dxa"/>
            </w:tcMar>
            <w:vAlign w:val="center"/>
          </w:tcPr>
          <w:p w14:paraId="7A14CB33" w14:textId="77777777" w:rsidR="00A35209" w:rsidRPr="000D6858" w:rsidRDefault="00A35209" w:rsidP="00A3520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&lt;1</w:t>
            </w:r>
          </w:p>
        </w:tc>
      </w:tr>
      <w:tr w:rsidR="002A1DD3" w:rsidRPr="007B4152" w14:paraId="6E2A5434" w14:textId="77777777" w:rsidTr="005F1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right w:val="single" w:sz="12" w:space="0" w:color="auto"/>
            </w:tcBorders>
            <w:tcMar>
              <w:top w:w="28" w:type="dxa"/>
              <w:bottom w:w="28" w:type="dxa"/>
            </w:tcMar>
            <w:vAlign w:val="center"/>
          </w:tcPr>
          <w:p w14:paraId="296CA31E" w14:textId="49907D3D" w:rsidR="00A35209" w:rsidRPr="000D6858" w:rsidRDefault="005F1CAA" w:rsidP="00A35209">
            <w:pPr>
              <w:spacing w:before="0" w:after="0" w:line="240" w:lineRule="auto"/>
              <w:jc w:val="left"/>
              <w:rPr>
                <w:rFonts w:ascii="Times New Roman" w:hAnsi="Times New Roman" w:cs="Times New Roman"/>
                <w:sz w:val="20"/>
                <w:szCs w:val="20"/>
                <w:lang w:val="en-GB"/>
              </w:rPr>
            </w:pPr>
            <w:r>
              <w:rPr>
                <w:rFonts w:ascii="Times New Roman" w:hAnsi="Times New Roman" w:cs="Times New Roman"/>
                <w:b w:val="0"/>
                <w:bCs w:val="0"/>
                <w:sz w:val="20"/>
                <w:szCs w:val="20"/>
                <w:lang w:val="en-GB"/>
              </w:rPr>
              <w:t>LE</w:t>
            </w:r>
            <w:r w:rsidR="00A35209" w:rsidRPr="000D6858">
              <w:rPr>
                <w:rFonts w:ascii="Times New Roman" w:hAnsi="Times New Roman" w:cs="Times New Roman"/>
                <w:b w:val="0"/>
                <w:bCs w:val="0"/>
                <w:sz w:val="20"/>
                <w:szCs w:val="20"/>
                <w:lang w:val="en-GB"/>
              </w:rPr>
              <w:t xml:space="preserve"> elevation</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47BA6ED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3" w:type="dxa"/>
            <w:tcBorders>
              <w:bottom w:val="single" w:sz="12" w:space="0" w:color="auto"/>
              <w:right w:val="single" w:sz="12" w:space="0" w:color="auto"/>
            </w:tcBorders>
            <w:tcMar>
              <w:top w:w="28" w:type="dxa"/>
              <w:bottom w:w="28" w:type="dxa"/>
            </w:tcMar>
            <w:vAlign w:val="center"/>
          </w:tcPr>
          <w:p w14:paraId="563B301B"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37B15B4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1</w:t>
            </w:r>
          </w:p>
        </w:tc>
        <w:tc>
          <w:tcPr>
            <w:tcW w:w="1063" w:type="dxa"/>
            <w:tcBorders>
              <w:bottom w:val="single" w:sz="12" w:space="0" w:color="auto"/>
              <w:right w:val="single" w:sz="12" w:space="0" w:color="auto"/>
            </w:tcBorders>
            <w:tcMar>
              <w:top w:w="28" w:type="dxa"/>
              <w:bottom w:w="28" w:type="dxa"/>
            </w:tcMar>
            <w:vAlign w:val="center"/>
          </w:tcPr>
          <w:p w14:paraId="2A072947"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4</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6FC76002"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tcW w:w="1063" w:type="dxa"/>
            <w:tcBorders>
              <w:bottom w:val="single" w:sz="12" w:space="0" w:color="auto"/>
              <w:right w:val="single" w:sz="12" w:space="0" w:color="auto"/>
            </w:tcBorders>
            <w:tcMar>
              <w:top w:w="28" w:type="dxa"/>
              <w:bottom w:w="28" w:type="dxa"/>
            </w:tcMar>
            <w:vAlign w:val="center"/>
          </w:tcPr>
          <w:p w14:paraId="4EBB170D"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A701DF8"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6</w:t>
            </w:r>
          </w:p>
        </w:tc>
        <w:tc>
          <w:tcPr>
            <w:tcW w:w="1063" w:type="dxa"/>
            <w:tcBorders>
              <w:bottom w:val="single" w:sz="12" w:space="0" w:color="auto"/>
              <w:right w:val="single" w:sz="12" w:space="0" w:color="auto"/>
            </w:tcBorders>
            <w:tcMar>
              <w:top w:w="28" w:type="dxa"/>
              <w:bottom w:w="28" w:type="dxa"/>
            </w:tcMar>
            <w:vAlign w:val="center"/>
          </w:tcPr>
          <w:p w14:paraId="3A3AA18A"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5</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653FB14"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3" w:type="dxa"/>
            <w:tcBorders>
              <w:bottom w:val="single" w:sz="12" w:space="0" w:color="auto"/>
              <w:right w:val="single" w:sz="12" w:space="0" w:color="auto"/>
            </w:tcBorders>
            <w:tcMar>
              <w:top w:w="28" w:type="dxa"/>
              <w:bottom w:w="28" w:type="dxa"/>
            </w:tcMar>
            <w:vAlign w:val="center"/>
          </w:tcPr>
          <w:p w14:paraId="0ED42734"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Borders>
              <w:left w:val="single" w:sz="12" w:space="0" w:color="auto"/>
              <w:bottom w:val="single" w:sz="12" w:space="0" w:color="auto"/>
            </w:tcBorders>
            <w:tcMar>
              <w:top w:w="28" w:type="dxa"/>
              <w:bottom w:w="28" w:type="dxa"/>
            </w:tcMar>
            <w:vAlign w:val="center"/>
          </w:tcPr>
          <w:p w14:paraId="7BF0AFF5" w14:textId="77777777" w:rsidR="00A35209" w:rsidRPr="000D6858" w:rsidRDefault="00A35209" w:rsidP="00A35209">
            <w:pPr>
              <w:spacing w:before="0" w:after="0" w:line="240" w:lineRule="auto"/>
              <w:jc w:val="center"/>
              <w:rPr>
                <w:rFonts w:ascii="Times New Roman" w:hAnsi="Times New Roman" w:cs="Times New Roman"/>
                <w:sz w:val="20"/>
                <w:szCs w:val="20"/>
                <w:lang w:val="en-GB"/>
              </w:rPr>
            </w:pPr>
            <w:r w:rsidRPr="000D6858">
              <w:rPr>
                <w:rFonts w:ascii="Times New Roman" w:hAnsi="Times New Roman" w:cs="Times New Roman"/>
                <w:sz w:val="20"/>
                <w:szCs w:val="20"/>
                <w:lang w:val="en-GB"/>
              </w:rPr>
              <w:t>0</w:t>
            </w:r>
          </w:p>
        </w:tc>
        <w:tc>
          <w:tcPr>
            <w:tcW w:w="1064" w:type="dxa"/>
            <w:tcBorders>
              <w:bottom w:val="single" w:sz="12" w:space="0" w:color="auto"/>
              <w:right w:val="single" w:sz="12" w:space="0" w:color="auto"/>
            </w:tcBorders>
            <w:tcMar>
              <w:top w:w="28" w:type="dxa"/>
              <w:bottom w:w="28" w:type="dxa"/>
            </w:tcMar>
            <w:vAlign w:val="center"/>
          </w:tcPr>
          <w:p w14:paraId="5B9B4170" w14:textId="77777777" w:rsidR="00A35209" w:rsidRPr="000D6858" w:rsidRDefault="00A35209" w:rsidP="00A3520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0D6858">
              <w:rPr>
                <w:rFonts w:ascii="Times New Roman" w:hAnsi="Times New Roman" w:cs="Times New Roman"/>
                <w:sz w:val="20"/>
                <w:szCs w:val="20"/>
                <w:lang w:val="en-GB"/>
              </w:rPr>
              <w:t>-</w:t>
            </w:r>
          </w:p>
        </w:tc>
      </w:tr>
    </w:tbl>
    <w:p w14:paraId="68ED4C05" w14:textId="17812AFE" w:rsidR="00094F18" w:rsidRDefault="008F4F4C" w:rsidP="00B20C73">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*ordered according to severity of AE (i) </w:t>
      </w:r>
      <w:r w:rsidRPr="004722FF">
        <w:rPr>
          <w:rFonts w:ascii="Times New Roman" w:hAnsi="Times New Roman" w:cs="Times New Roman"/>
          <w:b/>
          <w:sz w:val="20"/>
          <w:szCs w:val="20"/>
          <w:highlight w:val="lightGray"/>
          <w:lang w:val="en-GB"/>
        </w:rPr>
        <w:t>All data refer to direct comparisons, except the comparison with IXE and RIS (vs. placebo).</w:t>
      </w:r>
      <w:r w:rsidR="00FB187F">
        <w:rPr>
          <w:rFonts w:ascii="Times New Roman" w:hAnsi="Times New Roman" w:cs="Times New Roman"/>
          <w:b/>
          <w:sz w:val="20"/>
          <w:szCs w:val="20"/>
          <w:lang w:val="en-GB"/>
        </w:rPr>
        <w:t xml:space="preserve"> </w:t>
      </w:r>
      <w:r w:rsidRPr="004722FF">
        <w:rPr>
          <w:rFonts w:ascii="Times New Roman" w:hAnsi="Times New Roman" w:cs="Times New Roman"/>
          <w:sz w:val="20"/>
          <w:szCs w:val="20"/>
          <w:lang w:val="en-GB"/>
        </w:rPr>
        <w:t xml:space="preserve">(ii) </w:t>
      </w:r>
      <w:r w:rsidR="00FB187F" w:rsidRPr="00BC3B9D">
        <w:rPr>
          <w:rFonts w:ascii="Times New Roman" w:hAnsi="Times New Roman" w:cs="Times New Roman"/>
          <w:sz w:val="20"/>
          <w:szCs w:val="20"/>
          <w:lang w:val="en-GB"/>
        </w:rPr>
        <w:t>Data of trials that reflect the posology applied in the technical product specification have been prioritized</w:t>
      </w:r>
      <w:r w:rsidRPr="004722FF">
        <w:rPr>
          <w:rFonts w:ascii="Times New Roman" w:hAnsi="Times New Roman" w:cs="Times New Roman"/>
          <w:sz w:val="20"/>
          <w:szCs w:val="20"/>
          <w:lang w:val="en-GB"/>
        </w:rPr>
        <w:t xml:space="preserve">. (iii) We have not included, in common AE, the episodes of hypertension and </w:t>
      </w:r>
      <w:r w:rsidR="00FB187F" w:rsidRPr="004722FF">
        <w:rPr>
          <w:rFonts w:ascii="Times New Roman" w:hAnsi="Times New Roman" w:cs="Times New Roman"/>
          <w:sz w:val="20"/>
          <w:szCs w:val="20"/>
          <w:lang w:val="en-GB"/>
        </w:rPr>
        <w:t>diarrhoea</w:t>
      </w:r>
      <w:r w:rsidRPr="004722FF">
        <w:rPr>
          <w:rFonts w:ascii="Times New Roman" w:hAnsi="Times New Roman" w:cs="Times New Roman"/>
          <w:sz w:val="20"/>
          <w:szCs w:val="20"/>
          <w:lang w:val="en-GB"/>
        </w:rPr>
        <w:t xml:space="preserve">, only reported in BKZ vs. ADA (2 vs. 2 and 2 vs. 1, respectively). Nor have we included urinary tract infections, as they are only reported in BKZ vs. SEC (7 vs 6) (iv) </w:t>
      </w:r>
      <w:r w:rsidR="00FB187F">
        <w:rPr>
          <w:rFonts w:ascii="Times New Roman" w:hAnsi="Times New Roman" w:cs="Times New Roman"/>
          <w:sz w:val="20"/>
          <w:szCs w:val="20"/>
          <w:lang w:val="en-GB"/>
        </w:rPr>
        <w:t>T</w:t>
      </w:r>
      <w:r w:rsidRPr="004722FF">
        <w:rPr>
          <w:rFonts w:ascii="Times New Roman" w:hAnsi="Times New Roman" w:cs="Times New Roman"/>
          <w:sz w:val="20"/>
          <w:szCs w:val="20"/>
          <w:lang w:val="en-GB"/>
        </w:rPr>
        <w:t xml:space="preserve">here were no active tuberculosis episodes and hypersensitivity reactions, which is why they are not included in this table. (v) The period of the data is indicated in the </w:t>
      </w:r>
      <w:r w:rsidR="00FB187F">
        <w:rPr>
          <w:rFonts w:ascii="Times New Roman" w:hAnsi="Times New Roman" w:cs="Times New Roman"/>
          <w:sz w:val="20"/>
          <w:szCs w:val="20"/>
          <w:lang w:val="en-GB"/>
        </w:rPr>
        <w:t>top line of the table</w:t>
      </w:r>
      <w:r w:rsidRPr="004722FF">
        <w:rPr>
          <w:rFonts w:ascii="Times New Roman" w:hAnsi="Times New Roman" w:cs="Times New Roman"/>
          <w:sz w:val="20"/>
          <w:szCs w:val="20"/>
          <w:lang w:val="en-GB"/>
        </w:rPr>
        <w:t>. In the BKZ vs. IXE, the number of weeks for BKZ is 16-56, and for IXE, 0-60. In the comparison of BKZ vs. RIS, the number of weeks of RIS is 16-52 (vi) The PBO data include patients who came from the BKZ group of weeks 0-16.</w:t>
      </w:r>
      <w:r w:rsidRPr="004722FF">
        <w:rPr>
          <w:rFonts w:ascii="Times New Roman" w:hAnsi="Times New Roman" w:cs="Times New Roman"/>
          <w:b/>
          <w:bCs/>
          <w:sz w:val="20"/>
          <w:szCs w:val="20"/>
          <w:lang w:val="en-GB"/>
        </w:rPr>
        <w:t>ϮϮ</w:t>
      </w:r>
      <w:r w:rsidRPr="004722FF">
        <w:rPr>
          <w:rFonts w:ascii="Times New Roman" w:hAnsi="Times New Roman" w:cs="Times New Roman"/>
          <w:sz w:val="20"/>
          <w:szCs w:val="20"/>
          <w:lang w:val="en-GB"/>
        </w:rPr>
        <w:t xml:space="preserve"> serious adverse events: threat to the life or functioning of the patient</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{"citationID":"dSDVO0L8","properties":{"formattedCitation":"\\super 45\\nosupersub{}","plainCitation":"45","noteIndex":0},"citationItems":[{"id":56932,"uris":["http://zotero.org/groups/337550/items/575T9HB8"],"uri":["http://zotero.org/groups/337550/items/575T9HB8"],"itemData":{"id":56932,"type":"article","language":"EN","title":"Clinical Safety Data Management: Definitions and Standards for expedited Reporting","URL":"https://www.ema.europa.eu/en/documents/scientific-guideline/international-conference-harmonisation-technical-requirements-registration-pharmaceuticals-human-use_en-15.pdf","author":[{"family":"European Medicines Agency (EMA)","given":""}],"issued":{"date-parts":[["1995"]]}}}],"schema":"https://github.com/citation-style-language/schema/raw/master/csl-citation.json"}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45</w:t>
      </w:r>
      <w:r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Ϯ severe adverse event: describes the intensity (severity) of a specific event</w:t>
      </w:r>
      <w:r w:rsidR="00FB187F" w:rsidRPr="004722FF">
        <w:rPr>
          <w:rFonts w:ascii="Times New Roman" w:hAnsi="Times New Roman" w:cs="Times New Roman"/>
          <w:sz w:val="20"/>
          <w:szCs w:val="20"/>
          <w:lang w:val="en-GB"/>
        </w:rPr>
        <w:fldChar w:fldCharType="begin"/>
      </w:r>
      <w:r w:rsidR="00FB187F">
        <w:rPr>
          <w:rFonts w:ascii="Times New Roman" w:hAnsi="Times New Roman" w:cs="Times New Roman"/>
          <w:sz w:val="20"/>
          <w:szCs w:val="20"/>
          <w:lang w:val="en-GB"/>
        </w:rPr>
        <w:instrText xml:space="preserve"> ADDIN ZOTERO_ITEM CSL_CITATION {"citationID":"rgiYCssD","properties":{"formattedCitation":"\\super 45\\nosupersub{}","plainCitation":"45","noteIndex":0},"citationItems":[{"id":56932,"uris":["http://zotero.org/groups/337550/items/575T9HB8"],"uri":["http://zotero.org/groups/337550/items/575T9HB8"],"itemData":{"id":56932,"type":"article","language":"EN","title":"Clinical Safety Data Management: Definitions and Standards for expedited Reporting","URL":"https://www.ema.europa.eu/en/documents/scientific-guideline/international-conference-harmonisation-technical-requirements-registration-pharmaceuticals-human-use_en-15.pdf","author":[{"family":"European Medicines Agency (EMA)","given":""}],"issued":{"date-parts":[["1995"]]}}}],"schema":"https://github.com/citation-style-language/schema/raw/master/csl-citation.json"} </w:instrText>
      </w:r>
      <w:r w:rsidR="00FB187F" w:rsidRPr="004722FF">
        <w:rPr>
          <w:rFonts w:ascii="Times New Roman" w:hAnsi="Times New Roman" w:cs="Times New Roman"/>
          <w:sz w:val="20"/>
          <w:szCs w:val="20"/>
          <w:lang w:val="en-GB"/>
        </w:rPr>
        <w:fldChar w:fldCharType="separate"/>
      </w:r>
      <w:r w:rsidR="00FB187F" w:rsidRPr="007B4152">
        <w:rPr>
          <w:rFonts w:ascii="Times New Roman" w:hAnsi="Times New Roman" w:cs="Times New Roman"/>
          <w:sz w:val="20"/>
          <w:szCs w:val="24"/>
          <w:vertAlign w:val="superscript"/>
          <w:lang w:val="en-US"/>
        </w:rPr>
        <w:t>45</w:t>
      </w:r>
      <w:r w:rsidR="00FB187F"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xml:space="preserve">. </w:t>
      </w:r>
      <w:r w:rsidR="00FB187F">
        <w:rPr>
          <w:rFonts w:ascii="Times New Roman" w:hAnsi="Times New Roman" w:cs="Times New Roman"/>
          <w:sz w:val="20"/>
          <w:szCs w:val="20"/>
          <w:lang w:val="en-GB"/>
        </w:rPr>
        <w:t>AE</w:t>
      </w:r>
      <w:r w:rsidRPr="004722FF">
        <w:rPr>
          <w:rFonts w:ascii="Times New Roman" w:hAnsi="Times New Roman" w:cs="Times New Roman"/>
          <w:sz w:val="20"/>
          <w:szCs w:val="20"/>
          <w:lang w:val="en-GB"/>
        </w:rPr>
        <w:t xml:space="preserve">: Adverse events. </w:t>
      </w:r>
      <w:r w:rsidR="00FB187F">
        <w:rPr>
          <w:rFonts w:ascii="Times New Roman" w:hAnsi="Times New Roman" w:cs="Times New Roman"/>
          <w:sz w:val="20"/>
          <w:szCs w:val="20"/>
          <w:lang w:val="en-GB"/>
        </w:rPr>
        <w:t>URT</w:t>
      </w:r>
      <w:r w:rsidRPr="004722FF">
        <w:rPr>
          <w:rFonts w:ascii="Times New Roman" w:hAnsi="Times New Roman" w:cs="Times New Roman"/>
          <w:sz w:val="20"/>
          <w:szCs w:val="20"/>
          <w:lang w:val="en-GB"/>
        </w:rPr>
        <w:t xml:space="preserve">: upper respiratory tract. IBD: inflammatory bowel disease. (*) suicidal ideation and </w:t>
      </w:r>
      <w:r w:rsidR="00FB187F" w:rsidRPr="004722FF">
        <w:rPr>
          <w:rFonts w:ascii="Times New Roman" w:hAnsi="Times New Roman" w:cs="Times New Roman"/>
          <w:sz w:val="20"/>
          <w:szCs w:val="20"/>
          <w:lang w:val="en-GB"/>
        </w:rPr>
        <w:t>behaviour</w:t>
      </w:r>
      <w:r w:rsidRPr="004722FF">
        <w:rPr>
          <w:rFonts w:ascii="Times New Roman" w:hAnsi="Times New Roman" w:cs="Times New Roman"/>
          <w:sz w:val="20"/>
          <w:szCs w:val="20"/>
          <w:lang w:val="en-GB"/>
        </w:rPr>
        <w:t xml:space="preserve"> (**) no</w:t>
      </w:r>
      <w:r w:rsidR="00FB187F">
        <w:rPr>
          <w:rFonts w:ascii="Times New Roman" w:hAnsi="Times New Roman" w:cs="Times New Roman"/>
          <w:sz w:val="20"/>
          <w:szCs w:val="20"/>
          <w:lang w:val="en-GB"/>
        </w:rPr>
        <w:t>n</w:t>
      </w:r>
      <w:r w:rsidRPr="004722FF">
        <w:rPr>
          <w:rFonts w:ascii="Times New Roman" w:hAnsi="Times New Roman" w:cs="Times New Roman"/>
          <w:sz w:val="20"/>
          <w:szCs w:val="20"/>
          <w:lang w:val="en-GB"/>
        </w:rPr>
        <w:t xml:space="preserve"> melanoma. </w:t>
      </w:r>
      <w:r w:rsidR="00FB187F">
        <w:rPr>
          <w:rFonts w:ascii="Times New Roman" w:hAnsi="Times New Roman" w:cs="Times New Roman"/>
          <w:sz w:val="20"/>
          <w:szCs w:val="20"/>
          <w:lang w:val="en-GB"/>
        </w:rPr>
        <w:t>MACE</w:t>
      </w:r>
      <w:r w:rsidRPr="004722FF">
        <w:rPr>
          <w:rFonts w:ascii="Times New Roman" w:hAnsi="Times New Roman" w:cs="Times New Roman"/>
          <w:sz w:val="20"/>
          <w:szCs w:val="20"/>
          <w:lang w:val="en-GB"/>
        </w:rPr>
        <w:t>: Major cardiac</w:t>
      </w:r>
      <w:r w:rsidR="00FB187F">
        <w:rPr>
          <w:rFonts w:ascii="Times New Roman" w:hAnsi="Times New Roman" w:cs="Times New Roman"/>
          <w:sz w:val="20"/>
          <w:szCs w:val="20"/>
          <w:lang w:val="en-GB"/>
        </w:rPr>
        <w:t xml:space="preserve"> adverse events</w:t>
      </w:r>
      <w:r w:rsidRPr="004722FF">
        <w:rPr>
          <w:rFonts w:ascii="Times New Roman" w:hAnsi="Times New Roman" w:cs="Times New Roman"/>
          <w:sz w:val="20"/>
          <w:szCs w:val="20"/>
          <w:lang w:val="en-GB"/>
        </w:rPr>
        <w:t xml:space="preserve">. </w:t>
      </w:r>
      <w:r w:rsidR="00FB187F">
        <w:rPr>
          <w:rFonts w:ascii="Times New Roman" w:hAnsi="Times New Roman" w:cs="Times New Roman"/>
          <w:sz w:val="20"/>
          <w:szCs w:val="20"/>
          <w:lang w:val="en-GB"/>
        </w:rPr>
        <w:t>LE</w:t>
      </w:r>
      <w:r w:rsidRPr="004722FF">
        <w:rPr>
          <w:rFonts w:ascii="Times New Roman" w:hAnsi="Times New Roman" w:cs="Times New Roman"/>
          <w:sz w:val="20"/>
          <w:szCs w:val="20"/>
          <w:lang w:val="en-GB"/>
        </w:rPr>
        <w:t>: liver enzymes.</w:t>
      </w:r>
      <w:r w:rsidR="00FB187F">
        <w:rPr>
          <w:rFonts w:ascii="Times New Roman" w:hAnsi="Times New Roman" w:cs="Times New Roman"/>
          <w:sz w:val="20"/>
          <w:szCs w:val="20"/>
          <w:lang w:val="en-GB"/>
        </w:rPr>
        <w:t xml:space="preserve"> </w:t>
      </w:r>
      <w:r w:rsidR="008136F8" w:rsidRPr="00FB187F">
        <w:rPr>
          <w:rFonts w:ascii="Times New Roman" w:hAnsi="Times New Roman" w:cs="Times New Roman"/>
          <w:sz w:val="20"/>
          <w:szCs w:val="20"/>
          <w:lang w:val="en-GB"/>
        </w:rPr>
        <w:t>BKZ</w:t>
      </w:r>
      <w:r w:rsidRPr="004722FF">
        <w:rPr>
          <w:rFonts w:ascii="Times New Roman" w:hAnsi="Times New Roman" w:cs="Times New Roman"/>
          <w:sz w:val="20"/>
          <w:szCs w:val="20"/>
          <w:lang w:val="en-GB"/>
        </w:rPr>
        <w:t>: Bimekizumab. PBO: placebo. ADA: Adalimumab. UST: Ustekinumab. SEC: Secukinumab. IXE: Ixekizumab. RIS: Risankizumab.</w:t>
      </w:r>
    </w:p>
    <w:p w14:paraId="515B1136" w14:textId="2DB034A3" w:rsidR="001126B1" w:rsidRDefault="001126B1" w:rsidP="00B20C73">
      <w:pPr>
        <w:spacing w:before="120" w:line="240" w:lineRule="auto"/>
        <w:ind w:left="709"/>
        <w:rPr>
          <w:rFonts w:ascii="Times New Roman" w:hAnsi="Times New Roman" w:cs="Times New Roman"/>
          <w:sz w:val="20"/>
          <w:szCs w:val="20"/>
          <w:lang w:val="en-GB"/>
        </w:rPr>
      </w:pPr>
    </w:p>
    <w:p w14:paraId="5BE019E5" w14:textId="13D2278D" w:rsidR="001126B1" w:rsidRDefault="001126B1" w:rsidP="00B20C73">
      <w:pPr>
        <w:spacing w:before="120" w:line="240" w:lineRule="auto"/>
        <w:ind w:left="709"/>
        <w:rPr>
          <w:rFonts w:ascii="Times New Roman" w:hAnsi="Times New Roman" w:cs="Times New Roman"/>
          <w:sz w:val="20"/>
          <w:szCs w:val="20"/>
          <w:lang w:val="en-GB"/>
        </w:rPr>
      </w:pPr>
    </w:p>
    <w:p w14:paraId="0044155B" w14:textId="77777777" w:rsidR="001126B1" w:rsidRPr="004722FF" w:rsidRDefault="001126B1" w:rsidP="00B20C73">
      <w:pPr>
        <w:spacing w:before="120" w:line="240" w:lineRule="auto"/>
        <w:ind w:left="709"/>
        <w:rPr>
          <w:rFonts w:ascii="Times New Roman" w:hAnsi="Times New Roman" w:cs="Times New Roman"/>
          <w:sz w:val="20"/>
          <w:szCs w:val="20"/>
          <w:lang w:val="en-GB"/>
        </w:rPr>
      </w:pPr>
    </w:p>
    <w:p w14:paraId="728A42D7" w14:textId="5E53E23F" w:rsidR="00B20C73" w:rsidRPr="001126B1" w:rsidRDefault="001126B1" w:rsidP="00677C01">
      <w:pPr>
        <w:pStyle w:val="Ttulo2"/>
        <w:numPr>
          <w:ilvl w:val="1"/>
          <w:numId w:val="1"/>
        </w:numPr>
        <w:spacing w:before="120" w:line="240" w:lineRule="auto"/>
        <w:ind w:left="993" w:firstLine="0"/>
        <w:rPr>
          <w:rFonts w:ascii="Times New Roman" w:hAnsi="Times New Roman" w:cs="Times New Roman"/>
          <w:b/>
          <w:bCs/>
          <w:smallCaps w:val="0"/>
          <w:color w:val="auto"/>
          <w:sz w:val="24"/>
          <w:szCs w:val="24"/>
          <w:lang w:val="en-GB"/>
        </w:rPr>
      </w:pPr>
      <w:bookmarkStart w:id="110" w:name="_Toc89351167"/>
      <w:r w:rsidRPr="001126B1">
        <w:rPr>
          <w:rFonts w:ascii="Times New Roman" w:hAnsi="Times New Roman" w:cs="Times New Roman"/>
          <w:b/>
          <w:bCs/>
          <w:smallCaps w:val="0"/>
          <w:color w:val="auto"/>
          <w:sz w:val="24"/>
          <w:szCs w:val="24"/>
          <w:lang w:val="en-GB"/>
        </w:rPr>
        <w:lastRenderedPageBreak/>
        <w:t>Patient reported outcomes</w:t>
      </w:r>
      <w:bookmarkEnd w:id="110"/>
    </w:p>
    <w:p w14:paraId="3D3328F1" w14:textId="15718721" w:rsidR="00B20C73" w:rsidRPr="000A7705" w:rsidRDefault="00B20C73" w:rsidP="00B20C73">
      <w:pPr>
        <w:pStyle w:val="TITULOTABLASYFIGURAS"/>
        <w:ind w:left="709"/>
        <w:rPr>
          <w:rFonts w:ascii="Times New Roman" w:hAnsi="Times New Roman" w:cs="Times New Roman"/>
          <w:b/>
          <w:bCs/>
          <w:smallCaps w:val="0"/>
          <w:color w:val="auto"/>
          <w:sz w:val="22"/>
          <w:szCs w:val="22"/>
          <w:lang w:val="en-GB"/>
        </w:rPr>
      </w:pPr>
      <w:bookmarkStart w:id="111" w:name="_Toc89078655"/>
      <w:r w:rsidRPr="000A7705">
        <w:rPr>
          <w:rFonts w:ascii="Times New Roman" w:hAnsi="Times New Roman" w:cs="Times New Roman"/>
          <w:b/>
          <w:bCs/>
          <w:smallCaps w:val="0"/>
          <w:color w:val="auto"/>
          <w:sz w:val="22"/>
          <w:szCs w:val="22"/>
          <w:lang w:val="en-GB"/>
        </w:rPr>
        <w:t xml:space="preserve">Table </w:t>
      </w:r>
      <w:r w:rsidR="000A7705">
        <w:rPr>
          <w:rFonts w:ascii="Times New Roman" w:hAnsi="Times New Roman" w:cs="Times New Roman"/>
          <w:b/>
          <w:bCs/>
          <w:smallCaps w:val="0"/>
          <w:color w:val="auto"/>
          <w:sz w:val="22"/>
          <w:szCs w:val="22"/>
          <w:lang w:val="en-GB"/>
        </w:rPr>
        <w:t>(S1).</w:t>
      </w:r>
      <w:r w:rsidRPr="000A7705">
        <w:rPr>
          <w:rFonts w:ascii="Times New Roman" w:hAnsi="Times New Roman" w:cs="Times New Roman"/>
          <w:b/>
          <w:bCs/>
          <w:smallCaps w:val="0"/>
          <w:color w:val="auto"/>
          <w:sz w:val="22"/>
          <w:szCs w:val="22"/>
          <w:lang w:val="en-GB"/>
        </w:rPr>
        <w:fldChar w:fldCharType="begin"/>
      </w:r>
      <w:r w:rsidRPr="000A7705">
        <w:rPr>
          <w:rFonts w:ascii="Times New Roman" w:hAnsi="Times New Roman" w:cs="Times New Roman"/>
          <w:b/>
          <w:bCs/>
          <w:smallCaps w:val="0"/>
          <w:color w:val="auto"/>
          <w:sz w:val="22"/>
          <w:szCs w:val="22"/>
          <w:lang w:val="en-GB"/>
        </w:rPr>
        <w:instrText xml:space="preserve"> SEQ Tabla \* ARABIC </w:instrText>
      </w:r>
      <w:r w:rsidRPr="000A7705">
        <w:rPr>
          <w:rFonts w:ascii="Times New Roman" w:hAnsi="Times New Roman" w:cs="Times New Roman"/>
          <w:b/>
          <w:bCs/>
          <w:smallCaps w:val="0"/>
          <w:color w:val="auto"/>
          <w:sz w:val="22"/>
          <w:szCs w:val="22"/>
          <w:lang w:val="en-GB"/>
        </w:rPr>
        <w:fldChar w:fldCharType="separate"/>
      </w:r>
      <w:r w:rsidR="00A35209" w:rsidRPr="000A7705">
        <w:rPr>
          <w:rFonts w:ascii="Times New Roman" w:hAnsi="Times New Roman" w:cs="Times New Roman"/>
          <w:b/>
          <w:bCs/>
          <w:smallCaps w:val="0"/>
          <w:noProof/>
          <w:color w:val="auto"/>
          <w:sz w:val="22"/>
          <w:szCs w:val="22"/>
          <w:lang w:val="en-GB"/>
        </w:rPr>
        <w:t>9</w:t>
      </w:r>
      <w:r w:rsidRPr="000A7705">
        <w:rPr>
          <w:rFonts w:ascii="Times New Roman" w:hAnsi="Times New Roman" w:cs="Times New Roman"/>
          <w:b/>
          <w:bCs/>
          <w:smallCaps w:val="0"/>
          <w:color w:val="auto"/>
          <w:sz w:val="22"/>
          <w:szCs w:val="22"/>
          <w:lang w:val="en-GB"/>
        </w:rPr>
        <w:fldChar w:fldCharType="end"/>
      </w:r>
      <w:r w:rsidRPr="000A7705">
        <w:rPr>
          <w:rFonts w:ascii="Times New Roman" w:hAnsi="Times New Roman" w:cs="Times New Roman"/>
          <w:b/>
          <w:bCs/>
          <w:smallCaps w:val="0"/>
          <w:color w:val="auto"/>
          <w:sz w:val="22"/>
          <w:szCs w:val="22"/>
          <w:lang w:val="en-GB"/>
        </w:rPr>
        <w:t>: Patient</w:t>
      </w:r>
      <w:r w:rsidR="00FE0C5C">
        <w:rPr>
          <w:rFonts w:ascii="Times New Roman" w:hAnsi="Times New Roman" w:cs="Times New Roman"/>
          <w:b/>
          <w:bCs/>
          <w:smallCaps w:val="0"/>
          <w:color w:val="auto"/>
          <w:sz w:val="22"/>
          <w:szCs w:val="22"/>
          <w:lang w:val="en-GB"/>
        </w:rPr>
        <w:t xml:space="preserve"> </w:t>
      </w:r>
      <w:r w:rsidRPr="000A7705">
        <w:rPr>
          <w:rFonts w:ascii="Times New Roman" w:hAnsi="Times New Roman" w:cs="Times New Roman"/>
          <w:b/>
          <w:bCs/>
          <w:smallCaps w:val="0"/>
          <w:color w:val="auto"/>
          <w:sz w:val="22"/>
          <w:szCs w:val="22"/>
          <w:lang w:val="en-GB"/>
        </w:rPr>
        <w:t>reported outcomes,</w:t>
      </w:r>
      <w:r w:rsidR="000A7705">
        <w:rPr>
          <w:rFonts w:ascii="Times New Roman" w:hAnsi="Times New Roman" w:cs="Times New Roman"/>
          <w:b/>
          <w:bCs/>
          <w:smallCaps w:val="0"/>
          <w:color w:val="auto"/>
          <w:sz w:val="22"/>
          <w:szCs w:val="22"/>
          <w:lang w:val="en-GB"/>
        </w:rPr>
        <w:t xml:space="preserve"> </w:t>
      </w:r>
      <w:r w:rsidRPr="000A7705">
        <w:rPr>
          <w:rFonts w:ascii="Times New Roman" w:hAnsi="Times New Roman" w:cs="Times New Roman"/>
          <w:b/>
          <w:bCs/>
          <w:smallCaps w:val="0"/>
          <w:color w:val="auto"/>
          <w:sz w:val="22"/>
          <w:szCs w:val="22"/>
          <w:lang w:val="en-GB"/>
        </w:rPr>
        <w:t>% of patients, weeks 12-56</w:t>
      </w:r>
      <w:bookmarkEnd w:id="111"/>
    </w:p>
    <w:tbl>
      <w:tblPr>
        <w:tblStyle w:val="Tabladelista3"/>
        <w:tblW w:w="15081" w:type="dxa"/>
        <w:tblInd w:w="721" w:type="dxa"/>
        <w:tblLook w:val="00A0" w:firstRow="1" w:lastRow="0" w:firstColumn="1" w:lastColumn="0" w:noHBand="0" w:noVBand="0"/>
      </w:tblPr>
      <w:tblGrid>
        <w:gridCol w:w="2243"/>
        <w:gridCol w:w="1052"/>
        <w:gridCol w:w="1052"/>
        <w:gridCol w:w="1052"/>
        <w:gridCol w:w="1266"/>
        <w:gridCol w:w="1052"/>
        <w:gridCol w:w="1052"/>
        <w:gridCol w:w="1052"/>
        <w:gridCol w:w="1052"/>
        <w:gridCol w:w="1052"/>
        <w:gridCol w:w="1052"/>
        <w:gridCol w:w="1052"/>
        <w:gridCol w:w="1052"/>
      </w:tblGrid>
      <w:tr w:rsidR="001369C1" w:rsidRPr="007B4152" w14:paraId="74551B2F" w14:textId="77777777" w:rsidTr="003D096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43" w:type="dxa"/>
            <w:tcMar>
              <w:top w:w="28" w:type="dxa"/>
              <w:bottom w:w="28" w:type="dxa"/>
            </w:tcMar>
            <w:vAlign w:val="center"/>
          </w:tcPr>
          <w:p w14:paraId="6EB682AF" w14:textId="77777777" w:rsidR="00B20C73" w:rsidRPr="002C3C81" w:rsidRDefault="00B20C73" w:rsidP="00677C01">
            <w:pPr>
              <w:spacing w:before="0" w:after="0" w:line="240" w:lineRule="auto"/>
              <w:jc w:val="left"/>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04" w:type="dxa"/>
            <w:gridSpan w:val="2"/>
            <w:tcBorders>
              <w:bottom w:val="single" w:sz="12" w:space="0" w:color="auto"/>
            </w:tcBorders>
            <w:tcMar>
              <w:top w:w="28" w:type="dxa"/>
              <w:bottom w:w="28" w:type="dxa"/>
            </w:tcMar>
            <w:vAlign w:val="center"/>
          </w:tcPr>
          <w:p w14:paraId="6AC06B4F" w14:textId="5C1B282A" w:rsidR="00B20C73" w:rsidRPr="002C3C81" w:rsidRDefault="00B20C73" w:rsidP="00677C01">
            <w:pPr>
              <w:spacing w:before="0" w:after="0" w:line="240" w:lineRule="auto"/>
              <w:jc w:val="center"/>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Gordon (2021)</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{"citationID":"okmAOLMq","properties":{"formattedCitation":"\\super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37</w:t>
            </w:r>
            <w:r w:rsidRPr="002C3C81">
              <w:rPr>
                <w:rFonts w:ascii="Times New Roman" w:hAnsi="Times New Roman" w:cs="Times New Roman"/>
                <w:sz w:val="20"/>
                <w:szCs w:val="20"/>
                <w:lang w:val="en-GB"/>
              </w:rPr>
              <w:fldChar w:fldCharType="end"/>
            </w:r>
          </w:p>
        </w:tc>
        <w:tc>
          <w:tcPr>
            <w:tcW w:w="2318" w:type="dxa"/>
            <w:gridSpan w:val="2"/>
            <w:tcBorders>
              <w:bottom w:val="single" w:sz="12" w:space="0" w:color="auto"/>
            </w:tcBorders>
            <w:tcMar>
              <w:top w:w="28" w:type="dxa"/>
              <w:bottom w:w="28" w:type="dxa"/>
            </w:tcMar>
            <w:vAlign w:val="center"/>
          </w:tcPr>
          <w:p w14:paraId="72E199BA" w14:textId="6CA22463" w:rsidR="00B20C73" w:rsidRPr="002C3C81" w:rsidRDefault="00B20C7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Warren (2021)</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{"citationID":"MahUsGhC","properties":{"formattedCitation":"\\super 38\\nosupersub{}","plainCitation":"38","noteIndex":0},"citationItems":[{"id":54578,"uris":["http://zotero.org/groups/337550/items/2M98X993"],"uri":["http://zotero.org/groups/337550/items/2M98X993"],"itemData":{"id":54578,"type":"article-journal","abstract":"BACKGROUND: Bimekizumab is a monoclonal IgG1 antibody that selectively inhibits interleukin-17A and interleukin-17F. The efficacy and safety of bimekizumab as compared with the tumor necrosis factor inhibitor adalimumab in patients with moderate-to-severe plaque psoriasis have not been extensively examined.\nMETHODS: We randomly assigned patients with moderate-to-severe plaque psoriasis in a 1:1:1 ratio to receive subcutaneous bimekizumab at a dose of 320 mg every 4 weeks for 56 weeks; bimekizumab at a dose of 320 mg every 4 weeks for 16 weeks, then every 8 weeks for weeks 16 to 56; or subcutaneous adalimumab at a dose of 40 mg every 2 weeks for 24 weeks, followed by bimekizumab at a dose of 320 mg every 4 weeks to week 56. The primary end points were a 90% or greater reduction from baseline in the Psoriasis Area and Severity Index (PASI) score (PASI 90 response; PASI scores range from 0 to 72, with higher scores indicating worse disease) and an Investigator's Global Assessment (IGA) score of 0 or 1, signifying clear or almost clear skin (scores range from 0 [clear skin] to 4 [severe disease]), at week 16. The analysis of the primary end points tested noninferiority at a margin of -10 percentage points and then tested for superiority.\nRESULTS: A total of 614 patients were screened, and 478 were enrolled; 158 patients were assigned to receive bimekizumab every 4 weeks, 161 to receive bimekizumab every 4 weeks and then every 8 weeks, and 159 to receive adalimumab. The mean age of the patients was 44.9 years; the mean PASI score at baseline was 19.8. At week 16, a total of 275 of 319 patients (86.2%) who received bimekizumab (both dose groups combined) and 75 of 159 (47.2%) who received adalimumab had a PASI 90 response (adjusted risk difference, 39.3 percentage points; 95% confidence interval [CI], 30.9 to 47.7; P&lt;0.001 for noninferiority and superiority). A total of 272 of 319 patients (85.3%) who received bimekizumab and 91 of 159 (57.2%) who received adalimumab had an IGA score of 0 or 1 (adjusted risk difference, 28.2 percentage points; 95% CI, 19.7 to 36.7; P&lt;0.001 for noninferiority and superiority). The most common adverse events with bimekizumab were upper respiratory tract infections, oral candidiasis (predominantly mild or moderate as recorded by the investigator), hypertension, and diarrhea.\nCONCLUSIONS: In this 56-week trial, bimekizumab was noninferior and superior to adalimumab through 16 weeks in reducing symptoms and signs of plaque psoriasis but was associated with a higher frequency of oral candidiasis and diarrhea. Longer and larger trials are required to determine the efficacy and safety of bimekizumab as compared with other agents in the treatment of plaque psoriasis. (Funded by UCB Pharma; BE SURE ClinicalTrials.gov number, NCT03412747.).","container-title":"The New England Journal of Medicine","DOI":"10.1056/NEJMoa2102388","ISSN":"1533-4406","journalAbbreviation":"N Engl J Med","language":"eng","note":"PMID: 33891379","source":"PubMed","title":"Bimekizumab versus Adalimumab in Plaque Psoriasis","author":[{"family":"Warren","given":"Richard B."},{"family":"Blauvelt","given":"Andrew"},{"family":"Bagel","given":"Jerry"},{"family":"Papp","given":"Kim A."},{"family":"Yamauchi","given":"Paul"},{"family":"Armstrong","given":"April"},{"family":"Langley","given":"Richard G."},{"family":"Vanvoorden","given":"Veerle"},{"family":"De Cuyper","given":"Dirk"},{"family":"Cioffi","given":"Christopher"},{"family":"Peterson","given":"Luke"},{"family":"Cross","given":"Nancy"},{"family":"Reich","given":"Kristian"}],"issued":{"date-parts":[["2021"]]}}}],"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38</w:t>
            </w:r>
            <w:r w:rsidRPr="002C3C81">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04" w:type="dxa"/>
            <w:gridSpan w:val="2"/>
            <w:tcBorders>
              <w:bottom w:val="single" w:sz="12" w:space="0" w:color="auto"/>
            </w:tcBorders>
            <w:tcMar>
              <w:top w:w="28" w:type="dxa"/>
              <w:bottom w:w="28" w:type="dxa"/>
            </w:tcMar>
            <w:vAlign w:val="center"/>
          </w:tcPr>
          <w:p w14:paraId="53D36137" w14:textId="6E09740E" w:rsidR="00B20C73" w:rsidRPr="002C3C81" w:rsidRDefault="00B20C73" w:rsidP="00677C01">
            <w:pPr>
              <w:spacing w:before="0" w:after="0" w:line="240" w:lineRule="auto"/>
              <w:jc w:val="center"/>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Reich (2021)</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{"citationID":"NyDaxZAa","properties":{"formattedCitation":"\\super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39</w:t>
            </w:r>
            <w:r w:rsidRPr="002C3C81">
              <w:rPr>
                <w:rFonts w:ascii="Times New Roman" w:hAnsi="Times New Roman" w:cs="Times New Roman"/>
                <w:sz w:val="20"/>
                <w:szCs w:val="20"/>
                <w:lang w:val="en-GB"/>
              </w:rPr>
              <w:fldChar w:fldCharType="end"/>
            </w:r>
          </w:p>
        </w:tc>
        <w:tc>
          <w:tcPr>
            <w:tcW w:w="2104" w:type="dxa"/>
            <w:gridSpan w:val="2"/>
            <w:tcBorders>
              <w:bottom w:val="single" w:sz="12" w:space="0" w:color="auto"/>
            </w:tcBorders>
            <w:tcMar>
              <w:top w:w="28" w:type="dxa"/>
              <w:bottom w:w="28" w:type="dxa"/>
            </w:tcMar>
            <w:vAlign w:val="center"/>
          </w:tcPr>
          <w:p w14:paraId="6F456381" w14:textId="717915B7" w:rsidR="00B20C73" w:rsidRPr="002C3C81" w:rsidRDefault="00B20C7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Reich (2021)</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{"citationID":"1LeZFKIP","properties":{"formattedCitation":"\\super 40\\nosupersub{}","plainCitation":"40","noteIndex":0},"citationItems":[{"id":54576,"uris":["http://zotero.org/groups/337550/items/3PZ5X7Z8"],"uri":["http://zotero.org/groups/337550/items/3PZ5X7Z8"],"itemData":{"id":54576,"type":"article-journal","abstract":"BACKGROUND: Bimekizumab is a monoclonal IgG1 antibody that selectively inhibits both interleukin-17A and interleukin-17F. The efficacy and safety of bimekizumab as compared with secukinumab, which selectively inhibits interleukin-17A alone, in patients with moderate-to-severe plaque psoriasis have not been extensively examined.\nMETHODS: In this phase 3b trial, we randomly assigned patients with moderate-to-severe plaque psoriasis, in a 1:1 ratio, to receive bimekizumab at a dose of 320 mg every 4 weeks or secukinumab at a dose of 300 mg weekly to week 4, followed by every 4 weeks to week 48. At week 16, patients receiving bimekizumab underwent rerandomization, in a 1:2 ratio, to receive maintenance dosing every 4 weeks or every 8 weeks to week 48. The primary end point was 100% reduction from baseline in the Psoriasis Area and Severity Index (PASI) score at week 16. The primary analysis was first tested for the noninferiority of bimekizumab to secukinumab at a margin of -10 percentage points and then tested for superiority.\nRESULTS: A total of 1005 patients were screened and 743 were enrolled; 373 patients were assigned to receive bimekizumab and 370 to receive secukinumab. At week 16, a total of 230 patients (61.7%) in the bimekizumab group and 181 (48.9%) in the secukinumab group had a 100% reduction from baseline in the PASI score (PASI 100) (adjusted risk difference, 12.7 percentage points; 95% confidence interval [CI], 5.8 to 19.6); bimekizumab was shown to be noninferior and superior to secukinumab (P&lt;0.001 for noninferiority and superiority). At week 48, a total of 250 patients (67.0%) treated with bimekizumab had a PASI 100 response, as compared with 171 patients (46.2%) treated with secukinumab (adjusted risk difference, 20.9 percentage points; 95% CI, 14.1 to 27.7; P&lt;0.001). At the week 4 time point, 265 patients (71.0%) in the bimekizumab group had 75% or greater reduction from baseline in the PASI score, as compared with 175 patients (47.3%) in the secukinumab group (adjusted risk difference, 23.7; 95% CI, 17.0 to 30.4; P&lt;0.001). Oral candidiasis occurred more often with bimekizumab (72 patients, 19.3%) than with secukinumab (11 patients, 3.0%).\nCONCLUSIONS: In patients with moderate-to-severe psoriasis, treatment with bimekizumab resulted in greater skin clearance than treatment with secukinumab over 16 and 48 weeks but was associated with oral candidiasis (predominantly mild or moderate as recorded by the investigator). Longer and larger trials are required to determine the comparative effect and risks of interleukin-17 inhibitors in psoriasis. (Funded by UCB Pharma; BE RADIANT ClinicalTrials.gov number, NCT03536884.).","container-title":"The New England Journal of Medicine","DOI":"10.1056/NEJMoa2102383","ISSN":"1533-4406","journalAbbreviation":"N Engl J Med","language":"eng","note":"PMID: 33891380","source":"PubMed","title":"Bimekizumab versus Secukinumab in Plaque Psoriasis","author":[{"family":"Reich","given":"Kristian"},{"family":"Warren","given":"Richard B."},{"family":"Lebwohl","given":"Mark"},{"family":"Gooderham","given":"Melinda"},{"family":"Strober","given":"Bruce"},{"family":"Langley","given":"Richard G."},{"family":"Paul","given":"Carle"},{"family":"De Cuyper","given":"Dirk"},{"family":"Vanvoorden","given":"Veerle"},{"family":"Madden","given":"Cynthia"},{"family":"Cioffi","given":"Christopher"},{"family":"Peterson","given":"Luke"},{"family":"Blauvelt","given":"Andrew"}],"issued":{"date-parts":[["2021"]]}}}],"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40</w:t>
            </w:r>
            <w:r w:rsidRPr="002C3C81">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04" w:type="dxa"/>
            <w:gridSpan w:val="2"/>
            <w:tcBorders>
              <w:bottom w:val="single" w:sz="12" w:space="0" w:color="auto"/>
            </w:tcBorders>
            <w:tcMar>
              <w:top w:w="28" w:type="dxa"/>
              <w:bottom w:w="28" w:type="dxa"/>
            </w:tcMar>
            <w:vAlign w:val="center"/>
          </w:tcPr>
          <w:p w14:paraId="5407349D" w14:textId="251209E4" w:rsidR="00B20C73" w:rsidRPr="002C3C81" w:rsidRDefault="000943A5" w:rsidP="00677C01">
            <w:pPr>
              <w:spacing w:before="0" w:after="0" w:line="240" w:lineRule="auto"/>
              <w:jc w:val="center"/>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Griffiths (2015)</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{"citationID":"qSYLuxrt","properties":{"formattedCitation":"\\super 41\\nosupersub{}","plainCitation":"41","noteIndex":0},"citationItems":[{"id":22744,"uris":["http://zotero.org/groups/337550/items/PEC8X4WR"],"uri":["http://zotero.org/groups/337550/items/PEC8X4WR"],"itemData":{"id":22744,"type":"article-journal","abstract":"BACKGROUND: Ixekizumab is a humanised monoclonal antibody against the proinflammatory cytokine interleukin 17A. We report two studies of ixekizumab compared with placebo or etanercept to assess the safety and efficacy of specifically targeting interleukin 17A in patients with widespread moderate-to-severe psoriasis.\nMETHODS: In two prospective, double-blind, multicentre, phase 3 studies (UNCOVER-2 and UNCOVER-3), eligible patients were aged 18 years or older, had a confirmed diagnosis of chronic plaque psoriasis at least 6 months before baseline (randomisation), 10% or greater body-surface area involvement at both screening and baseline visits, at least a moderate clinical severity as measured by a static physician global assessment (sPGA) score of 3 or more, and a psoriasis area and severity index (PASI) score of 12. Participants were randomly assigned (1:2:2:2) by computer-generated random sequence with an interactive voice response system to receive subcutaneous placebo, etanercept (50 mg twice weekly), or one injection of 80 mg ixekizumab every 2 weeks, or every 4 weeks after a 160 mg starting dose. Blinding was maintained with a double-dummy design. Coprimary efficacy endpoints were proportions of patients achieving sPGA score 0 or 1 and 75% or greater improvement in PASI at week 12. Analysis was by intention to treat. These trials are registered with ClinicalTrials.gov, numbers NCT01597245 and NCT01646177.\nFINDINGS: Between May 30, 2012, and Dec 30, 2013, 1224 patients in UNCOVER-2 were randomly assigned to receive subcutaneous placebo (n=168), etanercept (n=358), or ixekizumab every 2 weeks (n=351) or every 4 weeks (n=347); between Aug 11, 2012, and Feb 27, 2014, 1346 patients in UNCOVER-3 were randomly assigned to receive placebo (n=193), etanercept (n=382), ixekizumab every 2 weeks (n=385), or ixekizumab every 4 weeks (n=386). At week 12, both primary endpoints were met in both studies. For UNCOVER-2 and UNCOVER-3 respectively, in the ixekizumab every 2 weeks group, PASI 75 was achieved by 315 (response rate 89·7%; [effect size 87·4% (97·5% CI 82·9-91·8) vs placebo; 48·1% (41·2-55·0) vs etanercept]) and 336 (87·3%; [80·0% (74·4-85·7) vs placebo; 33·9% (27·0-40·7) vs etanercept]) patients; in the ixekizumab every 4 weeks group, by 269 (77·5%; [75·1% (69·5-80·8) vs placebo; 35·9% (28·2-43·6) vs etanercept]) and 325 (84·2%; [76·9% (71·0-82·8) vs placebo; 30·8% (23·7-37·9) vs etanercept]) patients; in the placebo group, by four (2·4%) and 14 (7·3%) patients; and in the etanercept group by 149 (41·6%) and 204 (53·4%) patients (all p&lt;0·0001 vs placebo or etanercept). In the ixekizumab every 2 weeks group, sPGA 0/1 was achieved by 292 (response rate 83·2%; [effect size 80·8% (97·5% CI 75·6-86·0) vs placebo; 47·2% (39·9-54·4) vs etanercept]) and 310 (80·5%; [73·8% (67·7-79·9) vs placebo; 38·9% (31·7-46·1) vs etanercept]) patients; in the ixekizumab every 4 weeks group by 253 (72·9%; [70·5% (64·6-76·5) vs placebo; 36·9% (29·1-44·7) vs etanercept]) and 291 (75·4%; [68·7% (62·3-75·0) vs placebo; 33·8% (26·3-41·3) vs etanercept]) patients; in the placebo group by four (2·4%) and 13 (6·7%) patients; and in the etanercept group by 129 (36·0%) and 159 (41·6%) patients (all p&lt;0·0001 vs placebo or etanercept). In combined studies, serious adverse events were reported in 14 (1·9%) of 734 patients given ixekizumab every 2 weeks, 14 (1·9%) of 729 given ixekizumab every 4 weeks, seven (1·9%) of 360 given placebo, and 14 (1·9%) of 739 given etanercept; no deaths were noted.\nINTERPRETATION: Both ixekizumab dose regimens had greater efficacy than placebo and etanercept over 12 weeks in two independent studies. These studies show that selectively neutralising interleukin 17A with a high affinity antibody potentially gives patients with psoriasis a new and effective biological therapy option.\nFUNDING: Eli Lilly and Co.","container-title":"Lancet (London, England)","DOI":"10.1016/S0140-6736(15)60125-8","ISSN":"1474-547X","issue":"9993","journalAbbreviation":"Lancet","language":"eng","note":"PMID: 26072109","page":"541-551","source":"UpToDate References","title":"Comparison of ixekizumab with etanercept or placebo in moderate-to-severe psoriasis (UNCOVER-2 and UNCOVER-3): results from two phase 3 randomised trials","title-short":"Comparison of ixekizumab with etanercept or placebo in moderate-to-severe psoriasis (UNCOVER-2 and UNCOVER-3)","volume":"386","author":[{"family":"Griffiths","given":"Christopher E. M."},{"family":"Reich","given":"Kristian"},{"family":"Lebwohl","given":"Mark"},{"family":"Kerkhof","given":"Peter","non-dropping-particle":"van de"},{"family":"Paul","given":"Carle"},{"family":"Menter","given":"Alan"},{"family":"Cameron","given":"Gregory S."},{"family":"Erickson","given":"Janelle"},{"family":"Zhang","given":"Lu"},{"family":"Secrest","given":"Roberta J."},{"family":"Ball","given":"Susan"},{"family":"Braun","given":"Daniel K."},{"family":"Osuntokun","given":"Olawale O."},{"family":"Heffernan","given":"Michael P."},{"family":"Nickoloff","given":"Brian J."},{"family":"Papp","given":"Kim"},{"literal":"UNCOVER-2 and UNCOVER-3 investigators"}],"issued":{"date-parts":[["2015"]]}}}],"schema":"https://github.com/citation-style-language/schema/raw/master/csl-citation.json"}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41</w:t>
            </w:r>
            <w:r w:rsidRPr="002C3C81">
              <w:rPr>
                <w:rFonts w:ascii="Times New Roman" w:hAnsi="Times New Roman" w:cs="Times New Roman"/>
                <w:sz w:val="20"/>
                <w:szCs w:val="20"/>
                <w:lang w:val="en-GB"/>
              </w:rPr>
              <w:fldChar w:fldCharType="end"/>
            </w:r>
          </w:p>
        </w:tc>
        <w:tc>
          <w:tcPr>
            <w:tcW w:w="2104" w:type="dxa"/>
            <w:gridSpan w:val="2"/>
            <w:tcBorders>
              <w:bottom w:val="single" w:sz="12" w:space="0" w:color="auto"/>
            </w:tcBorders>
            <w:tcMar>
              <w:top w:w="28" w:type="dxa"/>
              <w:bottom w:w="28" w:type="dxa"/>
            </w:tcMar>
            <w:vAlign w:val="center"/>
          </w:tcPr>
          <w:p w14:paraId="337A427A" w14:textId="0D36D261" w:rsidR="00B20C73" w:rsidRPr="002C3C81" w:rsidRDefault="00B20C73"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2C3C81">
              <w:rPr>
                <w:rFonts w:ascii="Times New Roman" w:hAnsi="Times New Roman" w:cs="Times New Roman"/>
                <w:color w:val="auto"/>
                <w:sz w:val="20"/>
                <w:szCs w:val="20"/>
                <w:lang w:val="en-GB"/>
              </w:rPr>
              <w:t>Gordon (2018</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{"citationID":"O8GeTWIu","properties":{"formattedCitation":"\\super 43\\nosupersub{}","plainCitation":"43","noteIndex":0},"citationItems":[{"id":54057,"uris":["http://zotero.org/groups/337550/items/GUGUNV2R"],"uri":["http://zotero.org/groups/337550/items/GUGUNV2R"],"itemData":{"id":54057,"type":"article-journal","abstract":"Background\nRisankizumab is a humanised IgG1 monoclonal antibody that binds to the p19 subunit of interleukin-23, inhibiting this key cytokine and its role in psoriatic inflammation. We aimed to assess the efficacy and safety of risankizumab compared with placebo or ustekinumab in patients with moderate-to-severe chronic plaque psoriasis.\nMethods\nUltIMMa-1 and UltIMMa-2 were replicate phase 3, randomised, double-blind, placebo-controlled and active comparator-controlled trials done at 139 sites in Australia, Austria, Belgium, Canada, Czech Republic, France, Germany, Japan, Mexico, Poland, Portugal, South Korea, Spain, and the USA. Eligible patients were 18 years or older, with moderate-to-severe chronic plaque psoriasis. In each study, patients were stratified by weight and previous exposure to tumour necrosis factor inhibitor and randomly assigned (3:1:1) by use of interactive response technology to receive 150 mg risankizumab, 45 mg or 90 mg ustekinumab (weight-based per label), or placebo. Following the 16-week double-blind treatment period (part A), patients initially assigned to placebo switched to 150 mg risankizumab at week 16; other patients continued their originally randomised treatment (part B, double-blind, weeks 16–52). Study drug was administered subcutaneously at weeks 0 and 4 during part A and at weeks 16, 28, and 40 during part B. Co-primary endpoints were proportions of patients achieving a 90% improvement in the Psoriasis Area Severity Index (PASI 90) and a static Physician's Global Assessment (sPGA) score of 0 or 1 at week 16 (non-responder imputation). All efficacy analyses were done in the intention-to-treat population. These trials are registered with ClinicalTrials.gov, numbers NCT02684370 (UltIMMa-1) and NCT02684357 (UltIMMa-2), and have been completed.\nFindings\nBetween Feb 24, 2016, and Aug 31, 2016, 506 patients in UltIMMa-1 were randomly assigned to receive 150 mg risankizumab (n=304), 45 mg or 90 mg ustekinumab (n=100), or placebo (n=102). Between March 1, 2016, and Aug 30, 2016, 491 patients in UltIMMa-2 were randomly assigned to receive 150 mg risankizumab (n=294), 45 mg or 90 mg ustekinumab (n=99), or placebo (n=98). Co-primary endpoints were met for both studies. At week 16 of UltIMMa-1, PASI 90 was achieved by 229 (75·3%) patients receiving risankizumab versus five (4·9%) receiving placebo (placebo-adjusted difference 70·3% [95% CI 64·0–76·7]) and 42 (42·0%) receiving ustekinumab (ustekinumab-adjusted difference 33·5% [22·7–44·3]; p&lt;0·0001 vs placebo and ustekinumab). At week 16 of UltIMMa-2, PASI 90 was achieved by 220 (74·8%) patients receiving risankizumab versus two (2·0%) receiving placebo (placebo-adjusted difference 72·5% [95% CI 66·8–78·2]) and 47 (47·5%) receiving ustekinumab (ustekinumab-adjusted difference 27·6% [16·7–38·5]; p&lt;0·0001 vs placebo and ustekinumab). In UltIMMa-1, sPGA 0 or 1 at week 16 was achieved by 267 (87·8%) patients receiving risankizumab versus eight (7·8%) receiving placebo (placebo-adjusted difference 79·9% [95% CI 73·5–86·3]) and 63 (63·0%) receiving ustekinumab (ustekinumab-adjusted difference 25·1% [15·2–35·0]; p&lt;0·0001 vs placebo and ustekinumab). In UltIMMa-2, 246 (83·7%) patients receiving risankizumab versus five (5·1%) receiving placebo (placebo-adjusted difference 78·5% [95% CI 72·4–84·5]) and 61 (61·6%) receiving ustekinumab achieved sPGA 0 or 1 at week 16 (ustekinumab-adjusted difference 22·3% [12·0–32·5]; p&lt;0·0001 vs placebo and ustekinumab). The frequency of treatment-emergent adverse events in UltIMMa-1 and UltIMMa-2 was similar across risankizumab (part A: 151 [49·7%] of 304 and 134 [45·6%] of 294; part B: 182 [61·3%] of 297 and 162 [55·7%] of 291), placebo (part A: 52 [51·0%] of 102 and 45 [45·9%] of 98), ustekinumab (part A: 50 [50·0%] of 100 and 53 [53·5%] of 99; part B: 66 [66·7%] of 99 and 70 [74·5%] of 94), and placebo to risankizumab (part B: 65 [67·0%] of 97 and 61 [64·9%] of 94) treatment groups throughout the study duration.\nInterpretation\nRisankizumab showed superior efficacy to both placebo and ustekinumab in the treatment of moderate-to-severe plaque psoriasis. Treatment-emergent adverse event profiles were similar across treatment groups and there were no unexpected safety findings.\nFunding\nAbbVie and Boehringer Ingelheim.","container-title":"The Lancet","DOI":"10.1016/S0140-6736(18)31713-6","ISSN":"0140-6736","issue":"10148","journalAbbreviation":"The Lancet","language":"en","page":"650-661","source":"ScienceDirect","title":"Efficacy and safety of risankizumab in moderate-to-severe plaque psoriasis (UltIMMa-1 and UltIMMa-2): results from two double-blind, randomised, placebo-controlled and ustekinumab-controlled phase 3 trials","title-short":"Efficacy and safety of risankizumab in moderate-to-severe plaque psoriasis (UltIMMa-1 and UltIMMa-2)","volume":"392","author":[{"family":"Gordon","given":"Kenneth B"},{"family":"Strober","given":"Bruce"},{"family":"Lebwohl","given":"Mark"},{"family":"Augustin","given":"Matthias"},{"family":"Blauvelt","given":"Andrew"},{"family":"Poulin","given":"Yves"},{"family":"Papp","given":"Kim A"},{"family":"Sofen","given":"Howard"},{"family":"Puig","given":"Lluís"},{"family":"Foley","given":"Peter"},{"family":"Ohtsuki","given":"Mamitaro"},{"family":"Flack","given":"Mary"},{"family":"Geng","given":"Ziqian"},{"family":"Gu","given":"Yihua"},{"family":"Valdes","given":"Joaquin M"},{"family":"Thompson","given":"Elizabeth H Z"},{"family":"Bachelez","given":"Hervé"}],"issued":{"date-parts":[["2018"]]}}}],"schema":"https://github.com/citation-style-language/schema/raw/master/csl-citation.json"}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2C3C81">
              <w:rPr>
                <w:rFonts w:ascii="Times New Roman" w:hAnsi="Times New Roman" w:cs="Times New Roman"/>
                <w:sz w:val="20"/>
                <w:szCs w:val="20"/>
                <w:vertAlign w:val="superscript"/>
              </w:rPr>
              <w:t>43</w:t>
            </w:r>
            <w:r w:rsidRPr="002C3C81">
              <w:rPr>
                <w:rFonts w:ascii="Times New Roman" w:hAnsi="Times New Roman" w:cs="Times New Roman"/>
                <w:sz w:val="20"/>
                <w:szCs w:val="20"/>
                <w:lang w:val="en-GB"/>
              </w:rPr>
              <w:fldChar w:fldCharType="end"/>
            </w:r>
            <w:r w:rsidRPr="002C3C81">
              <w:rPr>
                <w:rFonts w:ascii="Times New Roman" w:hAnsi="Times New Roman" w:cs="Times New Roman"/>
                <w:color w:val="auto"/>
                <w:sz w:val="20"/>
                <w:szCs w:val="20"/>
                <w:lang w:val="en-GB"/>
              </w:rPr>
              <w:t>, 2021</w:t>
            </w:r>
            <w:r w:rsidRPr="002C3C81">
              <w:rPr>
                <w:rFonts w:ascii="Times New Roman" w:hAnsi="Times New Roman" w:cs="Times New Roman"/>
                <w:sz w:val="20"/>
                <w:szCs w:val="20"/>
                <w:lang w:val="en-GB"/>
              </w:rPr>
              <w:fldChar w:fldCharType="begin"/>
            </w:r>
            <w:r w:rsidR="007A0A45" w:rsidRPr="002C3C81">
              <w:rPr>
                <w:rFonts w:ascii="Times New Roman" w:hAnsi="Times New Roman" w:cs="Times New Roman"/>
                <w:color w:val="auto"/>
                <w:sz w:val="20"/>
                <w:szCs w:val="20"/>
                <w:lang w:val="en-GB"/>
              </w:rPr>
              <w:instrText xml:space="preserve"> ADDIN ZOTERO_ITEM CSL_CITATION {"citationID":"QQe6yPbn","properties":{"formattedCitation":"\\super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2C3C81">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US"/>
              </w:rPr>
              <w:t>37</w:t>
            </w:r>
            <w:r w:rsidRPr="002C3C81">
              <w:rPr>
                <w:rFonts w:ascii="Times New Roman" w:hAnsi="Times New Roman" w:cs="Times New Roman"/>
                <w:sz w:val="20"/>
                <w:szCs w:val="20"/>
                <w:lang w:val="en-GB"/>
              </w:rPr>
              <w:fldChar w:fldCharType="end"/>
            </w:r>
            <w:r w:rsidRPr="002C3C81">
              <w:rPr>
                <w:rFonts w:ascii="Times New Roman" w:hAnsi="Times New Roman" w:cs="Times New Roman"/>
                <w:color w:val="auto"/>
                <w:sz w:val="20"/>
                <w:szCs w:val="20"/>
                <w:lang w:val="en-GB"/>
              </w:rPr>
              <w:t>)</w:t>
            </w:r>
          </w:p>
        </w:tc>
      </w:tr>
      <w:tr w:rsidR="005F7BBC" w:rsidRPr="007B4152" w14:paraId="21A6AD2D"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shd w:val="clear" w:color="auto" w:fill="BFBFBF" w:themeFill="background1" w:themeFillShade="BF"/>
            <w:tcMar>
              <w:top w:w="28" w:type="dxa"/>
              <w:bottom w:w="28" w:type="dxa"/>
            </w:tcMar>
            <w:vAlign w:val="center"/>
          </w:tcPr>
          <w:p w14:paraId="6A95381D" w14:textId="77777777" w:rsidR="00B20C73" w:rsidRPr="002C3C81" w:rsidRDefault="00B20C73" w:rsidP="00677C01">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79968FFE"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052"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01EECDA"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5D71181F"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266"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56B74E8D"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514D69A3"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052"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1DA7A11"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5589AE93"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052"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1DFB136C"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4424DDCA"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052"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555D7A21"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52"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7E232577" w14:textId="77777777" w:rsidR="00B20C73" w:rsidRPr="002C3C81" w:rsidRDefault="008136F8" w:rsidP="00677C01">
            <w:pPr>
              <w:spacing w:before="0" w:after="0" w:line="240" w:lineRule="auto"/>
              <w:jc w:val="center"/>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BKZ</w:t>
            </w:r>
          </w:p>
        </w:tc>
        <w:tc>
          <w:tcPr>
            <w:tcW w:w="1052"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25615280" w14:textId="77777777" w:rsidR="00B20C73" w:rsidRPr="002C3C81" w:rsidRDefault="00B20C7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2C3C81">
              <w:rPr>
                <w:rFonts w:ascii="Times New Roman" w:hAnsi="Times New Roman" w:cs="Times New Roman"/>
                <w:b/>
                <w:bCs/>
                <w:sz w:val="20"/>
                <w:szCs w:val="20"/>
                <w:lang w:val="en-GB"/>
              </w:rPr>
              <w:t>RIS</w:t>
            </w:r>
          </w:p>
        </w:tc>
      </w:tr>
      <w:tr w:rsidR="003D0967" w:rsidRPr="007B4152" w14:paraId="6D70852E"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20A48660" w14:textId="248D4272"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12</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2C3C745" w14:textId="5A3AE56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BC09D54" w14:textId="20809AE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7604B45" w14:textId="00C2957D"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4349944" w14:textId="43ED9787"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0E8A1A4" w14:textId="0CDAFBF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78DE58B" w14:textId="4800596A"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9AC04F3" w14:textId="507323E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746B6FE" w14:textId="6C3634EE"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EE70A83" w14:textId="769975A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08B0E12" w14:textId="7842CCB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64</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1A79126" w14:textId="35B3CAD1"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47812A7" w14:textId="4D787B08"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3D271FA8"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10B220DD" w14:textId="2214CA35"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16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1CA3682C" w14:textId="129E271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43E02811" w14:textId="584ECDBC"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96DE3FA" w14:textId="62379576"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57CFB274" w14:textId="096DCCDA"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5FDF4AA" w14:textId="545879C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67</w:t>
            </w:r>
          </w:p>
        </w:tc>
        <w:tc>
          <w:tcPr>
            <w:tcW w:w="1052" w:type="dxa"/>
            <w:tcBorders>
              <w:right w:val="single" w:sz="12" w:space="0" w:color="auto"/>
            </w:tcBorders>
            <w:tcMar>
              <w:top w:w="28" w:type="dxa"/>
              <w:bottom w:w="28" w:type="dxa"/>
            </w:tcMar>
            <w:vAlign w:val="center"/>
          </w:tcPr>
          <w:p w14:paraId="0AA00683" w14:textId="61446BB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42</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38268085" w14:textId="18E4E33C"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381D393F" w14:textId="1FEE3E87"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429F1F0" w14:textId="11E190B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68336C09" w14:textId="1578B35D"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17C48C09" w14:textId="5285C130"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6A3CE4EC" w14:textId="7051366F"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66-67</w:t>
            </w:r>
          </w:p>
        </w:tc>
      </w:tr>
      <w:tr w:rsidR="003D0967" w:rsidRPr="007B4152" w14:paraId="5F0652A8"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20F6356B" w14:textId="76A24505"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24</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06C04FE" w14:textId="4A3EC50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B0843CF" w14:textId="65199341"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71E5D9A" w14:textId="21330C2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67</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2F9AB19" w14:textId="3E66822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F25A2DD" w14:textId="7D9BABF1"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1E5EEBF" w14:textId="582028F9"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D04F5E5" w14:textId="64D0AC00"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25A2A3C" w14:textId="34636A2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81303AF" w14:textId="64EBE7B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C8119C8" w14:textId="4925C60D"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FC6D2E4" w14:textId="492BC7C0"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9954860" w14:textId="2F9AE139"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345C8DD3"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109DD153" w14:textId="63BF24B1"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48</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11740BE9" w14:textId="36EF841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2BF9AA4F" w14:textId="1DAB9F3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2407692D" w14:textId="5C076BD9"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4B5A99F8" w14:textId="23C15B7F"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6DD1A8E4" w14:textId="4BDFCDAF"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1F491EF4" w14:textId="63E29567"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3352E50" w14:textId="068A80A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78</w:t>
            </w:r>
          </w:p>
        </w:tc>
        <w:tc>
          <w:tcPr>
            <w:tcW w:w="1052" w:type="dxa"/>
            <w:tcBorders>
              <w:right w:val="single" w:sz="12" w:space="0" w:color="auto"/>
            </w:tcBorders>
            <w:tcMar>
              <w:top w:w="28" w:type="dxa"/>
              <w:bottom w:w="28" w:type="dxa"/>
            </w:tcMar>
            <w:vAlign w:val="center"/>
          </w:tcPr>
          <w:p w14:paraId="3A3E8B54" w14:textId="0A76B0FC"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70</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C73EE4F" w14:textId="0670620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568A098A" w14:textId="206C8B8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89CDFDC" w14:textId="7F3127E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05449D8B" w14:textId="1BD4F122"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12678868"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5DB9B78F" w14:textId="533376F3"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52</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8C3D5F8" w14:textId="78671AB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BF46FF2" w14:textId="26781760"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B77837B" w14:textId="6825895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2FC0D74" w14:textId="031231FD"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A9CFA14" w14:textId="6C145B8C"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3328A10" w14:textId="6409033E"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E75584" w14:textId="48CE5C5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9C86A4B" w14:textId="2FB8F78E"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8A281B5" w14:textId="65FDD1C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D56DB03" w14:textId="5565E5A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81CEF43" w14:textId="41275AF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913A9D7" w14:textId="1DDA34F0"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5EE5E0D7"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28E8B574" w14:textId="572DA84A"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DLQI 0/1 Week 56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285FB69" w14:textId="0D9DF53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86</w:t>
            </w:r>
          </w:p>
        </w:tc>
        <w:tc>
          <w:tcPr>
            <w:tcW w:w="1052" w:type="dxa"/>
            <w:tcBorders>
              <w:right w:val="single" w:sz="12" w:space="0" w:color="auto"/>
            </w:tcBorders>
            <w:tcMar>
              <w:top w:w="28" w:type="dxa"/>
              <w:bottom w:w="28" w:type="dxa"/>
            </w:tcMar>
            <w:vAlign w:val="center"/>
          </w:tcPr>
          <w:p w14:paraId="690A9D92" w14:textId="7FD488F4"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19 *</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74BCD3F" w14:textId="1796FA4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79</w:t>
            </w:r>
          </w:p>
        </w:tc>
        <w:tc>
          <w:tcPr>
            <w:tcW w:w="1266" w:type="dxa"/>
            <w:tcBorders>
              <w:right w:val="single" w:sz="12" w:space="0" w:color="auto"/>
            </w:tcBorders>
            <w:tcMar>
              <w:top w:w="28" w:type="dxa"/>
              <w:bottom w:w="28" w:type="dxa"/>
            </w:tcMar>
            <w:vAlign w:val="center"/>
          </w:tcPr>
          <w:p w14:paraId="120DC740" w14:textId="160BE5D6"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48 → 73 **</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35A1A22A" w14:textId="617D0221"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75</w:t>
            </w:r>
          </w:p>
        </w:tc>
        <w:tc>
          <w:tcPr>
            <w:tcW w:w="1052" w:type="dxa"/>
            <w:tcBorders>
              <w:right w:val="single" w:sz="12" w:space="0" w:color="auto"/>
            </w:tcBorders>
            <w:tcMar>
              <w:top w:w="28" w:type="dxa"/>
              <w:bottom w:w="28" w:type="dxa"/>
            </w:tcMar>
            <w:vAlign w:val="center"/>
          </w:tcPr>
          <w:p w14:paraId="14D6FCC7" w14:textId="13C79F7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63</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16AC17C4" w14:textId="6C3CFB7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631879E4" w14:textId="7A879AEE"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3D0908CE" w14:textId="3F4F9E2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86</w:t>
            </w:r>
          </w:p>
        </w:tc>
        <w:tc>
          <w:tcPr>
            <w:tcW w:w="1052" w:type="dxa"/>
            <w:tcBorders>
              <w:right w:val="single" w:sz="12" w:space="0" w:color="auto"/>
            </w:tcBorders>
            <w:tcMar>
              <w:top w:w="28" w:type="dxa"/>
              <w:bottom w:w="28" w:type="dxa"/>
            </w:tcMar>
            <w:vAlign w:val="center"/>
          </w:tcPr>
          <w:p w14:paraId="1EA38CAC" w14:textId="6C7374EA"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358610E" w14:textId="24593609"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86</w:t>
            </w:r>
          </w:p>
        </w:tc>
        <w:tc>
          <w:tcPr>
            <w:tcW w:w="1052" w:type="dxa"/>
            <w:tcBorders>
              <w:right w:val="single" w:sz="12" w:space="0" w:color="auto"/>
            </w:tcBorders>
            <w:tcMar>
              <w:top w:w="28" w:type="dxa"/>
              <w:bottom w:w="28" w:type="dxa"/>
            </w:tcMar>
            <w:vAlign w:val="center"/>
          </w:tcPr>
          <w:p w14:paraId="708FFCE5" w14:textId="0D7AC90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43925873"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33EF777E" w14:textId="60D6813B"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itch Week 12</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C7D905" w14:textId="2028A04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1DD49CB" w14:textId="5198C610"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164B455" w14:textId="6CF33597"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F66F494" w14:textId="495BE3A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BC19820" w14:textId="65388867"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CF5CC9A" w14:textId="44D5CD5B"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CB72D01" w14:textId="5933F226"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A4638FD" w14:textId="38DD90B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304E92C" w14:textId="2704BDE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E721DB8" w14:textId="7BF70EF3"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85</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AEAE26D" w14:textId="5005890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FFD4D7B" w14:textId="7F6671AF"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56BF864C"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60581BC7" w14:textId="7001CBAD"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itch Week 16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2F2E7FA1" w14:textId="0FEF9E31"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25E31144" w14:textId="76947877"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131A2603" w14:textId="38DE760D"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6D30FF6E" w14:textId="49639E46"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BC3FD99" w14:textId="0DBBBD3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68</w:t>
            </w:r>
          </w:p>
        </w:tc>
        <w:tc>
          <w:tcPr>
            <w:tcW w:w="1052" w:type="dxa"/>
            <w:tcBorders>
              <w:right w:val="single" w:sz="12" w:space="0" w:color="auto"/>
            </w:tcBorders>
            <w:tcMar>
              <w:top w:w="28" w:type="dxa"/>
              <w:bottom w:w="28" w:type="dxa"/>
            </w:tcMar>
            <w:vAlign w:val="center"/>
          </w:tcPr>
          <w:p w14:paraId="78E499F0" w14:textId="7655F1DD"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55</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74F297B3" w14:textId="5A2CAF2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19B2B6A0" w14:textId="7F4885BE"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7814D0B1" w14:textId="1C3FBFA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51971BD2" w14:textId="54A89720"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2D133B81" w14:textId="62BA939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55DE9323" w14:textId="2ABC25ED"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421CD5A6"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0C8FF09F" w14:textId="23FEBBE0"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itch Week 24</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90EC388" w14:textId="7E7A4D79"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66FDBA0" w14:textId="34FB17A4"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C494AD6" w14:textId="1FC6ABA6"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67</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2C8D90D" w14:textId="23B3B43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46</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E3B6B03" w14:textId="401511DF"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8854122" w14:textId="035B6FD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B20AD9D" w14:textId="65DDED5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FB1280B" w14:textId="0DE7B7FE"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A59F6D3" w14:textId="0D8A4F6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85EEBC6" w14:textId="0E1440B7"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C87CCB8" w14:textId="3A03655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0C574C0" w14:textId="2F54025E"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16C2DA43"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673D0A5C" w14:textId="2651D0CD"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pain Week 16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2BC34915" w14:textId="2BC4112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79</w:t>
            </w:r>
          </w:p>
        </w:tc>
        <w:tc>
          <w:tcPr>
            <w:tcW w:w="1052" w:type="dxa"/>
            <w:tcBorders>
              <w:right w:val="single" w:sz="12" w:space="0" w:color="auto"/>
            </w:tcBorders>
            <w:tcMar>
              <w:top w:w="28" w:type="dxa"/>
              <w:bottom w:w="28" w:type="dxa"/>
            </w:tcMar>
            <w:vAlign w:val="center"/>
          </w:tcPr>
          <w:p w14:paraId="7DD7866A" w14:textId="1BD2E65A"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9</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04C7DE7" w14:textId="04DBD4B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2186E841" w14:textId="007CA8BC"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4F88B737" w14:textId="4961DA8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74</w:t>
            </w:r>
          </w:p>
        </w:tc>
        <w:tc>
          <w:tcPr>
            <w:tcW w:w="1052" w:type="dxa"/>
            <w:tcBorders>
              <w:right w:val="single" w:sz="12" w:space="0" w:color="auto"/>
            </w:tcBorders>
            <w:tcMar>
              <w:top w:w="28" w:type="dxa"/>
              <w:bottom w:w="28" w:type="dxa"/>
            </w:tcMar>
            <w:vAlign w:val="center"/>
          </w:tcPr>
          <w:p w14:paraId="4AE99C43" w14:textId="4A089F7E"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60</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7F1C83AA" w14:textId="47DB8A27"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03F3FBFC" w14:textId="4C4FCACA"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4216A353" w14:textId="2C23924F"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79</w:t>
            </w:r>
          </w:p>
        </w:tc>
        <w:tc>
          <w:tcPr>
            <w:tcW w:w="1052" w:type="dxa"/>
            <w:tcBorders>
              <w:right w:val="single" w:sz="12" w:space="0" w:color="auto"/>
            </w:tcBorders>
            <w:tcMar>
              <w:top w:w="28" w:type="dxa"/>
              <w:bottom w:w="28" w:type="dxa"/>
            </w:tcMar>
            <w:vAlign w:val="center"/>
          </w:tcPr>
          <w:p w14:paraId="79848A81" w14:textId="6BB09BE4"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6CC27185" w14:textId="715966B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79</w:t>
            </w:r>
          </w:p>
        </w:tc>
        <w:tc>
          <w:tcPr>
            <w:tcW w:w="1052" w:type="dxa"/>
            <w:tcBorders>
              <w:right w:val="single" w:sz="12" w:space="0" w:color="auto"/>
            </w:tcBorders>
            <w:tcMar>
              <w:top w:w="28" w:type="dxa"/>
              <w:bottom w:w="28" w:type="dxa"/>
            </w:tcMar>
            <w:vAlign w:val="center"/>
          </w:tcPr>
          <w:p w14:paraId="7A89E27D" w14:textId="0DC5B806"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79BAED57"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4C3BF1C3" w14:textId="5EA1BC26"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pain Week 24</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2B6B33C" w14:textId="7DBBF1C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606E621" w14:textId="2E37D97B"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1B757F4" w14:textId="2F9F0A5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70</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1B60EEC" w14:textId="035C9077"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47</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0674122" w14:textId="111EC51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43AA78A" w14:textId="647B4B4F"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93A5272" w14:textId="6904F4A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D7995E4" w14:textId="7E29CA0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C780153" w14:textId="2437A2C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2D7C185" w14:textId="056D072A"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A27C22A" w14:textId="42B8795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2509D9A" w14:textId="3A133F4B"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08D9DF26"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13301EFD" w14:textId="5A6E47F7"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scaling Week 16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38219778" w14:textId="53CBA96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78</w:t>
            </w:r>
          </w:p>
        </w:tc>
        <w:tc>
          <w:tcPr>
            <w:tcW w:w="1052" w:type="dxa"/>
            <w:tcBorders>
              <w:right w:val="single" w:sz="12" w:space="0" w:color="auto"/>
            </w:tcBorders>
            <w:tcMar>
              <w:top w:w="28" w:type="dxa"/>
              <w:bottom w:w="28" w:type="dxa"/>
            </w:tcMar>
            <w:vAlign w:val="center"/>
          </w:tcPr>
          <w:p w14:paraId="7BBC9BF9" w14:textId="472E594A"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DB8A74E" w14:textId="58243E4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7FF71AF2" w14:textId="017708B0"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45D1BE49" w14:textId="4E94ECF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76</w:t>
            </w:r>
          </w:p>
        </w:tc>
        <w:tc>
          <w:tcPr>
            <w:tcW w:w="1052" w:type="dxa"/>
            <w:tcBorders>
              <w:right w:val="single" w:sz="12" w:space="0" w:color="auto"/>
            </w:tcBorders>
            <w:tcMar>
              <w:top w:w="28" w:type="dxa"/>
              <w:bottom w:w="28" w:type="dxa"/>
            </w:tcMar>
            <w:vAlign w:val="center"/>
          </w:tcPr>
          <w:p w14:paraId="1A7DC07A" w14:textId="42531C24"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57</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654DC682" w14:textId="096B6BAC"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73C56049" w14:textId="790E49BF"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760BC268" w14:textId="3430214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78</w:t>
            </w:r>
          </w:p>
        </w:tc>
        <w:tc>
          <w:tcPr>
            <w:tcW w:w="1052" w:type="dxa"/>
            <w:tcBorders>
              <w:right w:val="single" w:sz="12" w:space="0" w:color="auto"/>
            </w:tcBorders>
            <w:tcMar>
              <w:top w:w="28" w:type="dxa"/>
              <w:bottom w:w="28" w:type="dxa"/>
            </w:tcMar>
            <w:vAlign w:val="center"/>
          </w:tcPr>
          <w:p w14:paraId="3C2E1395" w14:textId="357A0C4B"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4EB20216" w14:textId="26366F1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78</w:t>
            </w:r>
          </w:p>
        </w:tc>
        <w:tc>
          <w:tcPr>
            <w:tcW w:w="1052" w:type="dxa"/>
            <w:tcBorders>
              <w:right w:val="single" w:sz="12" w:space="0" w:color="auto"/>
            </w:tcBorders>
            <w:tcMar>
              <w:top w:w="28" w:type="dxa"/>
              <w:bottom w:w="28" w:type="dxa"/>
            </w:tcMar>
            <w:vAlign w:val="center"/>
          </w:tcPr>
          <w:p w14:paraId="1E06E05C" w14:textId="11518B85"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4A4AAE5C" w14:textId="77777777" w:rsidTr="001369C1">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29527159" w14:textId="226AE719"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P-SIM scaling Week 24</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AD3342E" w14:textId="7A307635"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385A22C" w14:textId="3033BE13"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8AB6D8A" w14:textId="4C0FAB41"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70</w:t>
            </w:r>
          </w:p>
        </w:tc>
        <w:tc>
          <w:tcPr>
            <w:tcW w:w="1266"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3963535" w14:textId="1029B9FA"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48</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483DF37" w14:textId="2BD06BBC"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216F3DB" w14:textId="75C1E2CF"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595FF36" w14:textId="2A272566"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66C8E9C" w14:textId="3AD279D2"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DA7E843" w14:textId="379836DF"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D863A43" w14:textId="657DCAB9"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1761A12" w14:textId="25D7008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AD2F696" w14:textId="443B6B3F"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r>
      <w:tr w:rsidR="003D0967" w:rsidRPr="007B4152" w14:paraId="747F81D6" w14:textId="77777777" w:rsidTr="00136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2E0FDF68" w14:textId="4483614D"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PSS 0 Week 16</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31FA6668" w14:textId="7F388D5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6E378483" w14:textId="3792BEDC"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62E38289" w14:textId="13B0D4C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right w:val="single" w:sz="12" w:space="0" w:color="auto"/>
            </w:tcBorders>
            <w:tcMar>
              <w:top w:w="28" w:type="dxa"/>
              <w:bottom w:w="28" w:type="dxa"/>
            </w:tcMar>
            <w:vAlign w:val="center"/>
          </w:tcPr>
          <w:p w14:paraId="4D139FCE" w14:textId="01DF2AB0"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04E67A1B" w14:textId="6975605A"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18E7103D" w14:textId="56FE424D"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7366B100" w14:textId="73425A23"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45A139B9" w14:textId="5388EC92"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5303743" w14:textId="46E8809E"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35C4E300" w14:textId="609B1699"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left w:val="single" w:sz="12" w:space="0" w:color="auto"/>
            </w:tcBorders>
            <w:tcMar>
              <w:top w:w="28" w:type="dxa"/>
              <w:bottom w:w="28" w:type="dxa"/>
            </w:tcMar>
            <w:vAlign w:val="center"/>
          </w:tcPr>
          <w:p w14:paraId="5D4552C9" w14:textId="38BEC65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right w:val="single" w:sz="12" w:space="0" w:color="auto"/>
            </w:tcBorders>
            <w:tcMar>
              <w:top w:w="28" w:type="dxa"/>
              <w:bottom w:w="28" w:type="dxa"/>
            </w:tcMar>
            <w:vAlign w:val="center"/>
          </w:tcPr>
          <w:p w14:paraId="4785D66A" w14:textId="09CB105C" w:rsidR="003D0967" w:rsidRPr="002C3C81" w:rsidRDefault="003D0967" w:rsidP="003D096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29-31</w:t>
            </w:r>
          </w:p>
        </w:tc>
      </w:tr>
      <w:tr w:rsidR="002A1DD3" w:rsidRPr="007B4152" w14:paraId="0226F75D" w14:textId="77777777" w:rsidTr="003D0967">
        <w:tc>
          <w:tcPr>
            <w:cnfStyle w:val="001000000000" w:firstRow="0" w:lastRow="0" w:firstColumn="1" w:lastColumn="0" w:oddVBand="0" w:evenVBand="0" w:oddHBand="0" w:evenHBand="0" w:firstRowFirstColumn="0" w:firstRowLastColumn="0" w:lastRowFirstColumn="0" w:lastRowLastColumn="0"/>
            <w:tcW w:w="2243" w:type="dxa"/>
            <w:tcBorders>
              <w:right w:val="single" w:sz="12" w:space="0" w:color="auto"/>
            </w:tcBorders>
            <w:tcMar>
              <w:top w:w="28" w:type="dxa"/>
              <w:bottom w:w="28" w:type="dxa"/>
            </w:tcMar>
            <w:vAlign w:val="center"/>
          </w:tcPr>
          <w:p w14:paraId="5AA4ED12" w14:textId="4E3F415C" w:rsidR="003D0967" w:rsidRPr="002C3C81" w:rsidRDefault="003D0967" w:rsidP="003D0967">
            <w:pPr>
              <w:spacing w:before="0" w:after="0" w:line="240" w:lineRule="auto"/>
              <w:jc w:val="left"/>
              <w:rPr>
                <w:rFonts w:ascii="Times New Roman" w:hAnsi="Times New Roman" w:cs="Times New Roman"/>
                <w:sz w:val="20"/>
                <w:szCs w:val="20"/>
                <w:lang w:val="en-GB"/>
              </w:rPr>
            </w:pPr>
            <w:r w:rsidRPr="002C3C81">
              <w:rPr>
                <w:rFonts w:ascii="Times New Roman" w:hAnsi="Times New Roman" w:cs="Times New Roman"/>
                <w:b w:val="0"/>
                <w:bCs w:val="0"/>
                <w:sz w:val="20"/>
                <w:szCs w:val="20"/>
                <w:lang w:val="en-GB"/>
              </w:rPr>
              <w:t>PSS, Week 16 variation</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0427AEF9" w14:textId="6BBB392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12" w:space="0" w:color="auto"/>
              <w:right w:val="single" w:sz="12" w:space="0" w:color="auto"/>
            </w:tcBorders>
            <w:tcMar>
              <w:top w:w="28" w:type="dxa"/>
              <w:bottom w:w="28" w:type="dxa"/>
            </w:tcMar>
            <w:vAlign w:val="center"/>
          </w:tcPr>
          <w:p w14:paraId="01703B5C" w14:textId="088C084D"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49A1F50A" w14:textId="7F272CF0"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266" w:type="dxa"/>
            <w:tcBorders>
              <w:top w:val="single" w:sz="4" w:space="0" w:color="000000" w:themeColor="text1"/>
              <w:bottom w:val="single" w:sz="12" w:space="0" w:color="auto"/>
              <w:right w:val="single" w:sz="12" w:space="0" w:color="auto"/>
            </w:tcBorders>
            <w:tcMar>
              <w:top w:w="28" w:type="dxa"/>
              <w:bottom w:w="28" w:type="dxa"/>
            </w:tcMar>
            <w:vAlign w:val="center"/>
          </w:tcPr>
          <w:p w14:paraId="65425873" w14:textId="1CF3F18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3D481496" w14:textId="55853862"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12" w:space="0" w:color="auto"/>
              <w:right w:val="single" w:sz="12" w:space="0" w:color="auto"/>
            </w:tcBorders>
            <w:tcMar>
              <w:top w:w="28" w:type="dxa"/>
              <w:bottom w:w="28" w:type="dxa"/>
            </w:tcMar>
            <w:vAlign w:val="center"/>
          </w:tcPr>
          <w:p w14:paraId="114A8C0C" w14:textId="72D0E2DD"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73EB5BC2" w14:textId="529C1B44"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12" w:space="0" w:color="auto"/>
              <w:right w:val="single" w:sz="12" w:space="0" w:color="auto"/>
            </w:tcBorders>
            <w:tcMar>
              <w:top w:w="28" w:type="dxa"/>
              <w:bottom w:w="28" w:type="dxa"/>
            </w:tcMar>
            <w:vAlign w:val="center"/>
          </w:tcPr>
          <w:p w14:paraId="272C128C" w14:textId="49CED798"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60D03C14" w14:textId="1F31BE88"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12" w:space="0" w:color="auto"/>
              <w:right w:val="single" w:sz="12" w:space="0" w:color="auto"/>
            </w:tcBorders>
            <w:tcMar>
              <w:top w:w="28" w:type="dxa"/>
              <w:bottom w:w="28" w:type="dxa"/>
            </w:tcMar>
            <w:vAlign w:val="center"/>
          </w:tcPr>
          <w:p w14:paraId="2F9DC673" w14:textId="526738DA"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52" w:type="dxa"/>
            <w:tcBorders>
              <w:top w:val="single" w:sz="4" w:space="0" w:color="000000" w:themeColor="text1"/>
              <w:left w:val="single" w:sz="12" w:space="0" w:color="auto"/>
              <w:bottom w:val="single" w:sz="12" w:space="0" w:color="auto"/>
            </w:tcBorders>
            <w:tcMar>
              <w:top w:w="28" w:type="dxa"/>
              <w:bottom w:w="28" w:type="dxa"/>
            </w:tcMar>
            <w:vAlign w:val="center"/>
          </w:tcPr>
          <w:p w14:paraId="52D2F4EE" w14:textId="5CFCEE0B" w:rsidR="003D0967" w:rsidRPr="002C3C81" w:rsidRDefault="003D0967" w:rsidP="003D0967">
            <w:pPr>
              <w:spacing w:before="0" w:after="0" w:line="240" w:lineRule="auto"/>
              <w:jc w:val="center"/>
              <w:rPr>
                <w:rFonts w:ascii="Times New Roman" w:hAnsi="Times New Roman" w:cs="Times New Roman"/>
                <w:sz w:val="20"/>
                <w:szCs w:val="20"/>
                <w:lang w:val="en-GB"/>
              </w:rPr>
            </w:pPr>
            <w:r w:rsidRPr="002C3C81">
              <w:rPr>
                <w:rFonts w:ascii="Times New Roman" w:hAnsi="Times New Roman" w:cs="Times New Roman"/>
                <w:sz w:val="20"/>
                <w:szCs w:val="20"/>
                <w:lang w:val="en-GB"/>
              </w:rPr>
              <w:t>-</w:t>
            </w:r>
          </w:p>
        </w:tc>
        <w:tc>
          <w:tcPr>
            <w:tcW w:w="1052" w:type="dxa"/>
            <w:tcBorders>
              <w:top w:val="single" w:sz="4" w:space="0" w:color="000000" w:themeColor="text1"/>
              <w:bottom w:val="single" w:sz="12" w:space="0" w:color="auto"/>
              <w:right w:val="single" w:sz="12" w:space="0" w:color="auto"/>
            </w:tcBorders>
            <w:tcMar>
              <w:top w:w="28" w:type="dxa"/>
              <w:bottom w:w="28" w:type="dxa"/>
            </w:tcMar>
            <w:vAlign w:val="center"/>
          </w:tcPr>
          <w:p w14:paraId="020B2F6C" w14:textId="6E44F695" w:rsidR="003D0967" w:rsidRPr="002C3C81" w:rsidRDefault="003D0967" w:rsidP="003D096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C3C81">
              <w:rPr>
                <w:rFonts w:ascii="Times New Roman" w:hAnsi="Times New Roman" w:cs="Times New Roman"/>
                <w:sz w:val="20"/>
                <w:szCs w:val="20"/>
                <w:lang w:val="en-GB"/>
              </w:rPr>
              <w:t>54-81 ***</w:t>
            </w:r>
          </w:p>
        </w:tc>
      </w:tr>
    </w:tbl>
    <w:p w14:paraId="12A62FA3" w14:textId="08E12412" w:rsidR="002C3C81" w:rsidRDefault="00D25DC5" w:rsidP="00D25DC5">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Pr="004722FF">
        <w:rPr>
          <w:rFonts w:ascii="Times New Roman" w:hAnsi="Times New Roman" w:cs="Times New Roman"/>
          <w:b/>
          <w:sz w:val="20"/>
          <w:szCs w:val="20"/>
          <w:highlight w:val="lightGray"/>
          <w:lang w:val="en-GB"/>
        </w:rPr>
        <w:t>All data refer to direct comparisons, except the comparison between BKZ / IXE, and BKZ / RIS, which uses trials vs. placebo</w:t>
      </w:r>
      <w:r w:rsidRPr="004722FF">
        <w:rPr>
          <w:rFonts w:ascii="Times New Roman" w:hAnsi="Times New Roman" w:cs="Times New Roman"/>
          <w:b/>
          <w:sz w:val="20"/>
          <w:szCs w:val="20"/>
          <w:lang w:val="en-GB"/>
        </w:rPr>
        <w:t>. (ii)</w:t>
      </w:r>
      <w:r w:rsidR="002C3C81" w:rsidRPr="002C3C81">
        <w:rPr>
          <w:rFonts w:ascii="Times New Roman" w:hAnsi="Times New Roman" w:cs="Times New Roman"/>
          <w:sz w:val="20"/>
          <w:szCs w:val="20"/>
          <w:lang w:val="en-GB"/>
        </w:rPr>
        <w:t xml:space="preserve"> </w:t>
      </w:r>
      <w:r w:rsidR="002C3C81" w:rsidRPr="00BC3B9D">
        <w:rPr>
          <w:rFonts w:ascii="Times New Roman" w:hAnsi="Times New Roman" w:cs="Times New Roman"/>
          <w:sz w:val="20"/>
          <w:szCs w:val="20"/>
          <w:lang w:val="en-GB"/>
        </w:rPr>
        <w:t>Data of trials that reflect the posology applied in the technical product specification have been prioritized</w:t>
      </w:r>
      <w:r w:rsidRPr="004722FF">
        <w:rPr>
          <w:rFonts w:ascii="Times New Roman" w:hAnsi="Times New Roman" w:cs="Times New Roman"/>
          <w:sz w:val="20"/>
          <w:szCs w:val="20"/>
          <w:lang w:val="en-GB"/>
        </w:rPr>
        <w:t xml:space="preserve">. P-SIM: Questionnaire to measure the Impact and Symptoms of Psoriasis. Each item is evaluated based on an 11-point scale, where 0 means absence of symptoms, signs or impact. Responses were defined as the proportion of patients who achieved a 4-point reduction in one item of the P-SIM (clinically significant improvement). PSS: Psoriasis Symptom Scale. It is an eight-item questionnaire, which aims to assess the severity of the main symptoms, signs and impact of psoriasis. Each item is evaluated based on an 11-point scale, where 0 means absence of symptoms, signs or impact. The results range from 0 to 40 (Symptoms), and 0 to 30 (Signs), where higher scores indicate greater severity. DLQI: Dermatology Quality of Life Index. The result of the questionnaire can range from 0 to 30, where a score of 0-1 represents no involvement of the disease in the patient's </w:t>
      </w:r>
      <w:r w:rsidR="002C3C81">
        <w:rPr>
          <w:rFonts w:ascii="Times New Roman" w:hAnsi="Times New Roman" w:cs="Times New Roman"/>
          <w:sz w:val="20"/>
          <w:szCs w:val="20"/>
          <w:lang w:val="en-GB"/>
        </w:rPr>
        <w:t>Health-Related Quality of Life (</w:t>
      </w:r>
      <w:r w:rsidRPr="004722FF">
        <w:rPr>
          <w:rFonts w:ascii="Times New Roman" w:hAnsi="Times New Roman" w:cs="Times New Roman"/>
          <w:sz w:val="20"/>
          <w:szCs w:val="20"/>
          <w:lang w:val="en-GB"/>
        </w:rPr>
        <w:t>HRQoL</w:t>
      </w:r>
      <w:r w:rsidR="002C3C81">
        <w:rPr>
          <w:rFonts w:ascii="Times New Roman" w:hAnsi="Times New Roman" w:cs="Times New Roman"/>
          <w:sz w:val="20"/>
          <w:szCs w:val="20"/>
          <w:lang w:val="en-GB"/>
        </w:rPr>
        <w:t>)</w:t>
      </w:r>
      <w:r w:rsidRPr="004722FF">
        <w:rPr>
          <w:rFonts w:ascii="Times New Roman" w:hAnsi="Times New Roman" w:cs="Times New Roman"/>
          <w:sz w:val="20"/>
          <w:szCs w:val="20"/>
          <w:lang w:val="en-GB"/>
        </w:rPr>
        <w:t xml:space="preserve"> and a score of 21-30 represents a very high impact of the disease on HRQoL. A 4</w:t>
      </w:r>
      <w:r w:rsidR="002C3C81">
        <w:rPr>
          <w:rFonts w:ascii="Times New Roman" w:hAnsi="Times New Roman" w:cs="Times New Roman"/>
          <w:sz w:val="20"/>
          <w:szCs w:val="20"/>
          <w:lang w:val="en-GB"/>
        </w:rPr>
        <w:t>-</w:t>
      </w:r>
      <w:r w:rsidRPr="004722FF">
        <w:rPr>
          <w:rFonts w:ascii="Times New Roman" w:hAnsi="Times New Roman" w:cs="Times New Roman"/>
          <w:sz w:val="20"/>
          <w:szCs w:val="20"/>
          <w:lang w:val="en-GB"/>
        </w:rPr>
        <w:t xml:space="preserve">point change in this indicator represents a minimal clinically significant difference. (*) data from patients who were in the bimekizumab group in the induction period and switched to placebo in the maintenance period. (**) patients with ADA </w:t>
      </w:r>
      <w:r w:rsidR="002C3C81">
        <w:rPr>
          <w:rFonts w:ascii="Times New Roman" w:hAnsi="Times New Roman" w:cs="Times New Roman"/>
          <w:sz w:val="20"/>
          <w:szCs w:val="20"/>
          <w:lang w:val="en-GB"/>
        </w:rPr>
        <w:t>W</w:t>
      </w:r>
      <w:r w:rsidRPr="004722FF">
        <w:rPr>
          <w:rFonts w:ascii="Times New Roman" w:hAnsi="Times New Roman" w:cs="Times New Roman"/>
          <w:sz w:val="20"/>
          <w:szCs w:val="20"/>
          <w:lang w:val="en-GB"/>
        </w:rPr>
        <w:t xml:space="preserve">0-24 and BKZ </w:t>
      </w:r>
      <w:r w:rsidR="002C3C81">
        <w:rPr>
          <w:rFonts w:ascii="Times New Roman" w:hAnsi="Times New Roman" w:cs="Times New Roman"/>
          <w:sz w:val="20"/>
          <w:szCs w:val="20"/>
          <w:lang w:val="en-GB"/>
        </w:rPr>
        <w:t>W</w:t>
      </w:r>
      <w:r w:rsidRPr="004722FF">
        <w:rPr>
          <w:rFonts w:ascii="Times New Roman" w:hAnsi="Times New Roman" w:cs="Times New Roman"/>
          <w:sz w:val="20"/>
          <w:szCs w:val="20"/>
          <w:lang w:val="en-GB"/>
        </w:rPr>
        <w:t>24-56. (***)</w:t>
      </w:r>
      <w:r w:rsidR="002C3C81">
        <w:rPr>
          <w:rFonts w:ascii="Times New Roman" w:hAnsi="Times New Roman" w:cs="Times New Roman"/>
          <w:sz w:val="20"/>
          <w:szCs w:val="20"/>
          <w:lang w:val="en-GB"/>
        </w:rPr>
        <w:t xml:space="preserve"> </w:t>
      </w:r>
      <w:r w:rsidRPr="004722FF">
        <w:rPr>
          <w:rFonts w:ascii="Times New Roman" w:hAnsi="Times New Roman" w:cs="Times New Roman"/>
          <w:sz w:val="20"/>
          <w:szCs w:val="20"/>
          <w:lang w:val="en-GB"/>
        </w:rPr>
        <w:t xml:space="preserve">% improvement compared to the start of treatment. BKZ: Bimekizumab. PBO: placebo. ADA: Adalimumab. UST: Ustekinumab. SEC: Secukinumab. IXE: Ixekizumab. RIS: Risankizumab. </w:t>
      </w:r>
    </w:p>
    <w:p w14:paraId="403187E0" w14:textId="77777777" w:rsidR="002C3C81" w:rsidRDefault="002C3C81" w:rsidP="00D25DC5">
      <w:pPr>
        <w:spacing w:before="120" w:line="240" w:lineRule="auto"/>
        <w:ind w:left="709"/>
        <w:rPr>
          <w:rFonts w:ascii="Times New Roman" w:hAnsi="Times New Roman" w:cs="Times New Roman"/>
          <w:sz w:val="20"/>
          <w:szCs w:val="20"/>
          <w:lang w:val="en-GB"/>
        </w:rPr>
      </w:pPr>
    </w:p>
    <w:p w14:paraId="6177EBA1" w14:textId="77777777" w:rsidR="002C3C81" w:rsidRDefault="002C3C81" w:rsidP="00D25DC5">
      <w:pPr>
        <w:spacing w:before="120" w:line="240" w:lineRule="auto"/>
        <w:ind w:left="709"/>
        <w:rPr>
          <w:rFonts w:ascii="Times New Roman" w:hAnsi="Times New Roman" w:cs="Times New Roman"/>
          <w:sz w:val="20"/>
          <w:szCs w:val="20"/>
          <w:lang w:val="en-GB"/>
        </w:rPr>
      </w:pPr>
    </w:p>
    <w:p w14:paraId="4B7AD22B" w14:textId="4D63CDF6" w:rsidR="00B20C73" w:rsidRPr="004722FF" w:rsidRDefault="00B20C73" w:rsidP="00D25DC5">
      <w:pPr>
        <w:spacing w:before="120" w:line="240" w:lineRule="auto"/>
        <w:ind w:left="709"/>
        <w:rPr>
          <w:rFonts w:ascii="Times New Roman" w:hAnsi="Times New Roman" w:cs="Times New Roman"/>
          <w:sz w:val="20"/>
          <w:szCs w:val="20"/>
          <w:lang w:val="en-GB"/>
        </w:rPr>
      </w:pPr>
    </w:p>
    <w:p w14:paraId="41DD85F3" w14:textId="00CFCA00" w:rsidR="00981165" w:rsidRPr="002C3C81" w:rsidRDefault="00981165" w:rsidP="0093037A">
      <w:pPr>
        <w:pStyle w:val="TITULOTABLASYFIGURAS"/>
        <w:ind w:left="709"/>
        <w:rPr>
          <w:rFonts w:ascii="Times New Roman" w:hAnsi="Times New Roman" w:cs="Times New Roman"/>
          <w:b/>
          <w:bCs/>
          <w:smallCaps w:val="0"/>
          <w:color w:val="auto"/>
          <w:sz w:val="22"/>
          <w:szCs w:val="56"/>
          <w:lang w:val="en-GB"/>
        </w:rPr>
      </w:pPr>
      <w:bookmarkStart w:id="112" w:name="_Toc89078656"/>
      <w:r w:rsidRPr="002C3C81">
        <w:rPr>
          <w:rFonts w:ascii="Times New Roman" w:hAnsi="Times New Roman" w:cs="Times New Roman"/>
          <w:b/>
          <w:bCs/>
          <w:smallCaps w:val="0"/>
          <w:color w:val="auto"/>
          <w:sz w:val="22"/>
          <w:szCs w:val="56"/>
          <w:lang w:val="en-GB"/>
        </w:rPr>
        <w:lastRenderedPageBreak/>
        <w:t xml:space="preserve">Table </w:t>
      </w:r>
      <w:r w:rsidR="00416FBA">
        <w:rPr>
          <w:rFonts w:ascii="Times New Roman" w:hAnsi="Times New Roman" w:cs="Times New Roman"/>
          <w:b/>
          <w:bCs/>
          <w:smallCaps w:val="0"/>
          <w:color w:val="auto"/>
          <w:sz w:val="22"/>
          <w:szCs w:val="56"/>
          <w:lang w:val="en-GB"/>
        </w:rPr>
        <w:t>(S1).</w:t>
      </w:r>
      <w:r w:rsidRPr="002C3C81">
        <w:rPr>
          <w:rFonts w:ascii="Times New Roman" w:hAnsi="Times New Roman" w:cs="Times New Roman"/>
          <w:b/>
          <w:bCs/>
          <w:smallCaps w:val="0"/>
          <w:color w:val="auto"/>
          <w:sz w:val="22"/>
          <w:szCs w:val="56"/>
          <w:lang w:val="en-GB"/>
        </w:rPr>
        <w:fldChar w:fldCharType="begin"/>
      </w:r>
      <w:r w:rsidRPr="002C3C81">
        <w:rPr>
          <w:rFonts w:ascii="Times New Roman" w:hAnsi="Times New Roman" w:cs="Times New Roman"/>
          <w:b/>
          <w:bCs/>
          <w:smallCaps w:val="0"/>
          <w:color w:val="auto"/>
          <w:sz w:val="22"/>
          <w:szCs w:val="56"/>
          <w:lang w:val="en-GB"/>
        </w:rPr>
        <w:instrText xml:space="preserve"> SEQ Tabla \* ARABIC </w:instrText>
      </w:r>
      <w:r w:rsidRPr="002C3C81">
        <w:rPr>
          <w:rFonts w:ascii="Times New Roman" w:hAnsi="Times New Roman" w:cs="Times New Roman"/>
          <w:b/>
          <w:bCs/>
          <w:smallCaps w:val="0"/>
          <w:color w:val="auto"/>
          <w:sz w:val="22"/>
          <w:szCs w:val="56"/>
          <w:lang w:val="en-GB"/>
        </w:rPr>
        <w:fldChar w:fldCharType="separate"/>
      </w:r>
      <w:r w:rsidR="00A35209" w:rsidRPr="002C3C81">
        <w:rPr>
          <w:rFonts w:ascii="Times New Roman" w:hAnsi="Times New Roman" w:cs="Times New Roman"/>
          <w:b/>
          <w:bCs/>
          <w:smallCaps w:val="0"/>
          <w:noProof/>
          <w:color w:val="auto"/>
          <w:sz w:val="22"/>
          <w:szCs w:val="56"/>
          <w:lang w:val="en-GB"/>
        </w:rPr>
        <w:t>10</w:t>
      </w:r>
      <w:r w:rsidRPr="002C3C81">
        <w:rPr>
          <w:rFonts w:ascii="Times New Roman" w:hAnsi="Times New Roman" w:cs="Times New Roman"/>
          <w:b/>
          <w:bCs/>
          <w:smallCaps w:val="0"/>
          <w:color w:val="auto"/>
          <w:sz w:val="22"/>
          <w:szCs w:val="56"/>
          <w:lang w:val="en-GB"/>
        </w:rPr>
        <w:fldChar w:fldCharType="end"/>
      </w:r>
      <w:r w:rsidRPr="002C3C81">
        <w:rPr>
          <w:rFonts w:ascii="Times New Roman" w:hAnsi="Times New Roman" w:cs="Times New Roman"/>
          <w:b/>
          <w:bCs/>
          <w:smallCaps w:val="0"/>
          <w:color w:val="auto"/>
          <w:sz w:val="22"/>
          <w:szCs w:val="56"/>
          <w:lang w:val="en-GB"/>
        </w:rPr>
        <w:t>: Convenience, number of times the drug is administered per year (in parentheses, number of injections per year), n</w:t>
      </w:r>
      <w:bookmarkEnd w:id="112"/>
    </w:p>
    <w:tbl>
      <w:tblPr>
        <w:tblStyle w:val="Tabladelista3"/>
        <w:tblW w:w="12476" w:type="dxa"/>
        <w:tblInd w:w="687" w:type="dxa"/>
        <w:tblLook w:val="00A0" w:firstRow="1" w:lastRow="0" w:firstColumn="1" w:lastColumn="0" w:noHBand="0" w:noVBand="0"/>
      </w:tblPr>
      <w:tblGrid>
        <w:gridCol w:w="2293"/>
        <w:gridCol w:w="1454"/>
        <w:gridCol w:w="1455"/>
        <w:gridCol w:w="1455"/>
        <w:gridCol w:w="1454"/>
        <w:gridCol w:w="1455"/>
        <w:gridCol w:w="1455"/>
        <w:gridCol w:w="1455"/>
      </w:tblGrid>
      <w:tr w:rsidR="004722FF" w:rsidRPr="006229DD" w14:paraId="33E608E2" w14:textId="77777777" w:rsidTr="006229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93" w:type="dxa"/>
            <w:tcMar>
              <w:top w:w="28" w:type="dxa"/>
              <w:bottom w:w="28" w:type="dxa"/>
            </w:tcMar>
            <w:vAlign w:val="center"/>
          </w:tcPr>
          <w:p w14:paraId="6A689C4F" w14:textId="77777777" w:rsidR="007C4B2B" w:rsidRPr="006229DD" w:rsidRDefault="007C4B2B" w:rsidP="00677C01">
            <w:pPr>
              <w:spacing w:before="0" w:after="0" w:line="240" w:lineRule="auto"/>
              <w:jc w:val="left"/>
              <w:rPr>
                <w:rFonts w:ascii="Times New Roman" w:hAnsi="Times New Roman" w:cs="Times New Roman"/>
                <w:color w:val="auto"/>
                <w:sz w:val="20"/>
                <w:szCs w:val="20"/>
                <w:lang w:val="en-GB"/>
              </w:rPr>
            </w:pPr>
            <w:r w:rsidRPr="006229DD">
              <w:rPr>
                <w:rFonts w:ascii="Times New Roman" w:hAnsi="Times New Roman" w:cs="Times New Roman"/>
                <w:color w:val="auto"/>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454" w:type="dxa"/>
            <w:tcMar>
              <w:top w:w="28" w:type="dxa"/>
              <w:bottom w:w="28" w:type="dxa"/>
            </w:tcMar>
            <w:vAlign w:val="center"/>
          </w:tcPr>
          <w:p w14:paraId="4A416528" w14:textId="77777777" w:rsidR="007C4B2B" w:rsidRPr="006229DD" w:rsidRDefault="008136F8" w:rsidP="00677C01">
            <w:pPr>
              <w:spacing w:before="0" w:after="0" w:line="240" w:lineRule="auto"/>
              <w:jc w:val="center"/>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BKZ</w:t>
            </w:r>
          </w:p>
        </w:tc>
        <w:tc>
          <w:tcPr>
            <w:tcW w:w="1455" w:type="dxa"/>
            <w:tcMar>
              <w:top w:w="28" w:type="dxa"/>
              <w:bottom w:w="28" w:type="dxa"/>
            </w:tcMar>
            <w:vAlign w:val="center"/>
          </w:tcPr>
          <w:p w14:paraId="49D27CEF" w14:textId="77777777" w:rsidR="007C4B2B" w:rsidRPr="006229DD" w:rsidRDefault="007C4B2B"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2B0FA8A7" w14:textId="77777777" w:rsidR="007C4B2B" w:rsidRPr="006229DD" w:rsidRDefault="007C4B2B" w:rsidP="00677C01">
            <w:pPr>
              <w:spacing w:before="0" w:after="0" w:line="240" w:lineRule="auto"/>
              <w:jc w:val="center"/>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ADA</w:t>
            </w:r>
          </w:p>
        </w:tc>
        <w:tc>
          <w:tcPr>
            <w:tcW w:w="1454" w:type="dxa"/>
            <w:tcMar>
              <w:top w:w="28" w:type="dxa"/>
              <w:bottom w:w="28" w:type="dxa"/>
            </w:tcMar>
            <w:vAlign w:val="center"/>
          </w:tcPr>
          <w:p w14:paraId="12C5E19E" w14:textId="77777777" w:rsidR="007C4B2B" w:rsidRPr="006229DD" w:rsidRDefault="007C4B2B"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4C6D20CC" w14:textId="77777777" w:rsidR="007C4B2B" w:rsidRPr="006229DD" w:rsidRDefault="007C4B2B" w:rsidP="00677C01">
            <w:pPr>
              <w:spacing w:before="0" w:after="0" w:line="240" w:lineRule="auto"/>
              <w:jc w:val="center"/>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SEC</w:t>
            </w:r>
          </w:p>
        </w:tc>
        <w:tc>
          <w:tcPr>
            <w:tcW w:w="1455" w:type="dxa"/>
            <w:tcMar>
              <w:top w:w="28" w:type="dxa"/>
              <w:bottom w:w="28" w:type="dxa"/>
            </w:tcMar>
            <w:vAlign w:val="center"/>
          </w:tcPr>
          <w:p w14:paraId="11900702" w14:textId="77777777" w:rsidR="007C4B2B" w:rsidRPr="006229DD" w:rsidRDefault="007C4B2B"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5D69837C" w14:textId="77777777" w:rsidR="007C4B2B" w:rsidRPr="006229DD" w:rsidRDefault="007C4B2B" w:rsidP="00677C01">
            <w:pPr>
              <w:spacing w:before="0" w:after="0" w:line="240" w:lineRule="auto"/>
              <w:jc w:val="center"/>
              <w:rPr>
                <w:rFonts w:ascii="Times New Roman" w:hAnsi="Times New Roman" w:cs="Times New Roman"/>
                <w:b w:val="0"/>
                <w:bCs w:val="0"/>
                <w:color w:val="auto"/>
                <w:sz w:val="20"/>
                <w:szCs w:val="20"/>
                <w:lang w:val="en-GB"/>
              </w:rPr>
            </w:pPr>
            <w:r w:rsidRPr="006229DD">
              <w:rPr>
                <w:rFonts w:ascii="Times New Roman" w:hAnsi="Times New Roman" w:cs="Times New Roman"/>
                <w:color w:val="auto"/>
                <w:sz w:val="20"/>
                <w:szCs w:val="20"/>
                <w:lang w:val="en-GB"/>
              </w:rPr>
              <w:t>RIS</w:t>
            </w:r>
          </w:p>
        </w:tc>
      </w:tr>
      <w:tr w:rsidR="004722FF" w:rsidRPr="006229DD" w14:paraId="6946EF88" w14:textId="77777777" w:rsidTr="006229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3" w:type="dxa"/>
            <w:tcMar>
              <w:top w:w="28" w:type="dxa"/>
              <w:bottom w:w="28" w:type="dxa"/>
            </w:tcMar>
            <w:vAlign w:val="center"/>
          </w:tcPr>
          <w:p w14:paraId="1AEFA1F7" w14:textId="77777777" w:rsidR="007C4B2B" w:rsidRPr="006229DD" w:rsidRDefault="007C4B2B" w:rsidP="00677C01">
            <w:pPr>
              <w:spacing w:before="0" w:after="0" w:line="240" w:lineRule="auto"/>
              <w:jc w:val="left"/>
              <w:rPr>
                <w:rFonts w:ascii="Times New Roman" w:hAnsi="Times New Roman" w:cs="Times New Roman"/>
                <w:b w:val="0"/>
                <w:bCs w:val="0"/>
                <w:sz w:val="20"/>
                <w:szCs w:val="20"/>
                <w:lang w:val="en-GB"/>
              </w:rPr>
            </w:pPr>
            <w:r w:rsidRPr="006229DD">
              <w:rPr>
                <w:rFonts w:ascii="Times New Roman" w:hAnsi="Times New Roman" w:cs="Times New Roman"/>
                <w:b w:val="0"/>
                <w:bCs w:val="0"/>
                <w:sz w:val="20"/>
                <w:szCs w:val="20"/>
                <w:lang w:val="en-GB"/>
              </w:rPr>
              <w:t>Year 1</w:t>
            </w:r>
          </w:p>
        </w:tc>
        <w:tc>
          <w:tcPr>
            <w:cnfStyle w:val="000010000000" w:firstRow="0" w:lastRow="0" w:firstColumn="0" w:lastColumn="0" w:oddVBand="1" w:evenVBand="0" w:oddHBand="0" w:evenHBand="0" w:firstRowFirstColumn="0" w:firstRowLastColumn="0" w:lastRowFirstColumn="0" w:lastRowLastColumn="0"/>
            <w:tcW w:w="1454" w:type="dxa"/>
            <w:tcMar>
              <w:top w:w="28" w:type="dxa"/>
              <w:bottom w:w="28" w:type="dxa"/>
            </w:tcMar>
            <w:vAlign w:val="center"/>
          </w:tcPr>
          <w:p w14:paraId="76254EBA" w14:textId="77777777" w:rsidR="007C4B2B" w:rsidRPr="006229DD" w:rsidRDefault="004127E3"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9 (18)</w:t>
            </w:r>
          </w:p>
        </w:tc>
        <w:tc>
          <w:tcPr>
            <w:tcW w:w="1455" w:type="dxa"/>
            <w:tcMar>
              <w:top w:w="28" w:type="dxa"/>
              <w:bottom w:w="28" w:type="dxa"/>
            </w:tcMar>
            <w:vAlign w:val="center"/>
          </w:tcPr>
          <w:p w14:paraId="104A3926" w14:textId="77777777" w:rsidR="007C4B2B" w:rsidRPr="006229DD" w:rsidRDefault="005A47AC"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6229DD">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0A7F18C9" w14:textId="77777777" w:rsidR="007C4B2B" w:rsidRPr="006229DD" w:rsidRDefault="004127E3"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27 (28)</w:t>
            </w:r>
          </w:p>
        </w:tc>
        <w:tc>
          <w:tcPr>
            <w:tcW w:w="1454" w:type="dxa"/>
            <w:tcMar>
              <w:top w:w="28" w:type="dxa"/>
              <w:bottom w:w="28" w:type="dxa"/>
            </w:tcMar>
            <w:vAlign w:val="center"/>
          </w:tcPr>
          <w:p w14:paraId="48E6906A" w14:textId="77777777" w:rsidR="007C4B2B" w:rsidRPr="006229DD" w:rsidRDefault="004127E3"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6229DD">
              <w:rPr>
                <w:rFonts w:ascii="Times New Roman" w:hAnsi="Times New Roman" w:cs="Times New Roman"/>
                <w:sz w:val="20"/>
                <w:szCs w:val="20"/>
                <w:lang w:val="en-GB"/>
              </w:rPr>
              <w:t>6 (6)</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503F1197" w14:textId="77777777" w:rsidR="007C4B2B" w:rsidRPr="006229DD" w:rsidRDefault="004127E3"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17 (34)</w:t>
            </w:r>
          </w:p>
        </w:tc>
        <w:tc>
          <w:tcPr>
            <w:tcW w:w="1455" w:type="dxa"/>
            <w:tcMar>
              <w:top w:w="28" w:type="dxa"/>
              <w:bottom w:w="28" w:type="dxa"/>
            </w:tcMar>
            <w:vAlign w:val="center"/>
          </w:tcPr>
          <w:p w14:paraId="1E92BAF4" w14:textId="77777777" w:rsidR="007C4B2B" w:rsidRPr="006229DD" w:rsidRDefault="001F4A10" w:rsidP="00677C0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6229DD">
              <w:rPr>
                <w:rFonts w:ascii="Times New Roman" w:hAnsi="Times New Roman" w:cs="Times New Roman"/>
                <w:sz w:val="20"/>
                <w:szCs w:val="20"/>
                <w:lang w:val="en-GB"/>
              </w:rPr>
              <w:t>17 (18)</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7E1AE818" w14:textId="77777777" w:rsidR="007C4B2B" w:rsidRPr="006229DD" w:rsidRDefault="004127E3"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6 (12)</w:t>
            </w:r>
          </w:p>
        </w:tc>
      </w:tr>
      <w:tr w:rsidR="004722FF" w:rsidRPr="006229DD" w14:paraId="1390D437" w14:textId="77777777" w:rsidTr="006229DD">
        <w:trPr>
          <w:trHeight w:val="273"/>
        </w:trPr>
        <w:tc>
          <w:tcPr>
            <w:cnfStyle w:val="001000000000" w:firstRow="0" w:lastRow="0" w:firstColumn="1" w:lastColumn="0" w:oddVBand="0" w:evenVBand="0" w:oddHBand="0" w:evenHBand="0" w:firstRowFirstColumn="0" w:firstRowLastColumn="0" w:lastRowFirstColumn="0" w:lastRowLastColumn="0"/>
            <w:tcW w:w="2293" w:type="dxa"/>
            <w:tcMar>
              <w:top w:w="28" w:type="dxa"/>
              <w:bottom w:w="28" w:type="dxa"/>
            </w:tcMar>
            <w:vAlign w:val="center"/>
          </w:tcPr>
          <w:p w14:paraId="61601656" w14:textId="77777777" w:rsidR="007C4B2B" w:rsidRPr="006229DD" w:rsidRDefault="007C4B2B" w:rsidP="00677C01">
            <w:pPr>
              <w:spacing w:before="0" w:after="0" w:line="240" w:lineRule="auto"/>
              <w:jc w:val="left"/>
              <w:rPr>
                <w:rFonts w:ascii="Times New Roman" w:hAnsi="Times New Roman" w:cs="Times New Roman"/>
                <w:b w:val="0"/>
                <w:bCs w:val="0"/>
                <w:sz w:val="20"/>
                <w:szCs w:val="20"/>
                <w:lang w:val="en-GB"/>
              </w:rPr>
            </w:pPr>
            <w:r w:rsidRPr="006229DD">
              <w:rPr>
                <w:rFonts w:ascii="Times New Roman" w:hAnsi="Times New Roman" w:cs="Times New Roman"/>
                <w:b w:val="0"/>
                <w:bCs w:val="0"/>
                <w:sz w:val="20"/>
                <w:szCs w:val="20"/>
                <w:lang w:val="en-GB"/>
              </w:rPr>
              <w:t>Year 2 and following</w:t>
            </w:r>
          </w:p>
        </w:tc>
        <w:tc>
          <w:tcPr>
            <w:cnfStyle w:val="000010000000" w:firstRow="0" w:lastRow="0" w:firstColumn="0" w:lastColumn="0" w:oddVBand="1" w:evenVBand="0" w:oddHBand="0" w:evenHBand="0" w:firstRowFirstColumn="0" w:firstRowLastColumn="0" w:lastRowFirstColumn="0" w:lastRowLastColumn="0"/>
            <w:tcW w:w="1454" w:type="dxa"/>
            <w:tcMar>
              <w:top w:w="28" w:type="dxa"/>
              <w:bottom w:w="28" w:type="dxa"/>
            </w:tcMar>
            <w:vAlign w:val="center"/>
          </w:tcPr>
          <w:p w14:paraId="3E45CA97" w14:textId="4D122331" w:rsidR="007C4B2B" w:rsidRPr="006229DD" w:rsidRDefault="003D0967" w:rsidP="00677C01">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6.5</w:t>
            </w:r>
            <w:r w:rsidR="00D8729C" w:rsidRPr="006229DD">
              <w:rPr>
                <w:rFonts w:ascii="Times New Roman" w:hAnsi="Times New Roman" w:cs="Times New Roman"/>
                <w:sz w:val="20"/>
                <w:szCs w:val="20"/>
                <w:lang w:val="en-GB"/>
              </w:rPr>
              <w:t xml:space="preserve"> (</w:t>
            </w:r>
            <w:r>
              <w:rPr>
                <w:rFonts w:ascii="Times New Roman" w:hAnsi="Times New Roman" w:cs="Times New Roman"/>
                <w:sz w:val="20"/>
                <w:szCs w:val="20"/>
                <w:lang w:val="en-GB"/>
              </w:rPr>
              <w:t>13</w:t>
            </w:r>
            <w:r w:rsidR="00D8729C" w:rsidRPr="006229DD">
              <w:rPr>
                <w:rFonts w:ascii="Times New Roman" w:hAnsi="Times New Roman" w:cs="Times New Roman"/>
                <w:sz w:val="20"/>
                <w:szCs w:val="20"/>
                <w:lang w:val="en-GB"/>
              </w:rPr>
              <w:t>)</w:t>
            </w:r>
          </w:p>
        </w:tc>
        <w:tc>
          <w:tcPr>
            <w:tcW w:w="1455" w:type="dxa"/>
            <w:tcMar>
              <w:top w:w="28" w:type="dxa"/>
              <w:bottom w:w="28" w:type="dxa"/>
            </w:tcMar>
            <w:vAlign w:val="center"/>
          </w:tcPr>
          <w:p w14:paraId="1679EB88" w14:textId="77777777" w:rsidR="007C4B2B" w:rsidRPr="006229DD" w:rsidRDefault="005A47AC"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6229DD">
              <w:rPr>
                <w:rFonts w:ascii="Times New Roman" w:hAnsi="Times New Roman" w:cs="Times New Roman"/>
                <w:sz w:val="20"/>
                <w:szCs w:val="20"/>
                <w:lang w:val="en-GB"/>
              </w:rPr>
              <w:t>0</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5E4D90BA" w14:textId="77777777" w:rsidR="007C4B2B" w:rsidRPr="006229DD" w:rsidRDefault="005F5792"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26 (26)</w:t>
            </w:r>
          </w:p>
        </w:tc>
        <w:tc>
          <w:tcPr>
            <w:tcW w:w="1454" w:type="dxa"/>
            <w:tcMar>
              <w:top w:w="28" w:type="dxa"/>
              <w:bottom w:w="28" w:type="dxa"/>
            </w:tcMar>
            <w:vAlign w:val="center"/>
          </w:tcPr>
          <w:p w14:paraId="60B624FB" w14:textId="11C78A88" w:rsidR="007C4B2B" w:rsidRPr="006229DD" w:rsidRDefault="004127E3"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6229DD">
              <w:rPr>
                <w:rFonts w:ascii="Times New Roman" w:hAnsi="Times New Roman" w:cs="Times New Roman"/>
                <w:sz w:val="20"/>
                <w:szCs w:val="20"/>
                <w:lang w:val="en-GB"/>
              </w:rPr>
              <w:t>4</w:t>
            </w:r>
            <w:r w:rsidR="003D0967">
              <w:rPr>
                <w:rFonts w:ascii="Times New Roman" w:hAnsi="Times New Roman" w:cs="Times New Roman"/>
                <w:sz w:val="20"/>
                <w:szCs w:val="20"/>
                <w:lang w:val="en-GB"/>
              </w:rPr>
              <w:t>.3</w:t>
            </w:r>
            <w:r w:rsidRPr="006229DD">
              <w:rPr>
                <w:rFonts w:ascii="Times New Roman" w:hAnsi="Times New Roman" w:cs="Times New Roman"/>
                <w:sz w:val="20"/>
                <w:szCs w:val="20"/>
                <w:lang w:val="en-GB"/>
              </w:rPr>
              <w:t xml:space="preserve"> (4</w:t>
            </w:r>
            <w:r w:rsidR="003D0967">
              <w:rPr>
                <w:rFonts w:ascii="Times New Roman" w:hAnsi="Times New Roman" w:cs="Times New Roman"/>
                <w:sz w:val="20"/>
                <w:szCs w:val="20"/>
                <w:lang w:val="en-GB"/>
              </w:rPr>
              <w:t>.3</w:t>
            </w:r>
            <w:r w:rsidRPr="006229DD">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46B5A339" w14:textId="61B26D77" w:rsidR="007C4B2B" w:rsidRPr="006229DD" w:rsidRDefault="003D0967" w:rsidP="00677C01">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12</w:t>
            </w:r>
            <w:r w:rsidR="005F5792" w:rsidRPr="006229DD">
              <w:rPr>
                <w:rFonts w:ascii="Times New Roman" w:hAnsi="Times New Roman" w:cs="Times New Roman"/>
                <w:sz w:val="20"/>
                <w:szCs w:val="20"/>
                <w:lang w:val="en-GB"/>
              </w:rPr>
              <w:t xml:space="preserve"> (</w:t>
            </w:r>
            <w:r>
              <w:rPr>
                <w:rFonts w:ascii="Times New Roman" w:hAnsi="Times New Roman" w:cs="Times New Roman"/>
                <w:sz w:val="20"/>
                <w:szCs w:val="20"/>
                <w:lang w:val="en-GB"/>
              </w:rPr>
              <w:t>24</w:t>
            </w:r>
            <w:r w:rsidR="005F5792" w:rsidRPr="006229DD">
              <w:rPr>
                <w:rFonts w:ascii="Times New Roman" w:hAnsi="Times New Roman" w:cs="Times New Roman"/>
                <w:sz w:val="20"/>
                <w:szCs w:val="20"/>
                <w:lang w:val="en-GB"/>
              </w:rPr>
              <w:t>)</w:t>
            </w:r>
          </w:p>
        </w:tc>
        <w:tc>
          <w:tcPr>
            <w:tcW w:w="1455" w:type="dxa"/>
            <w:tcMar>
              <w:top w:w="28" w:type="dxa"/>
              <w:bottom w:w="28" w:type="dxa"/>
            </w:tcMar>
            <w:vAlign w:val="center"/>
          </w:tcPr>
          <w:p w14:paraId="4143AD14" w14:textId="6DE38558" w:rsidR="007C4B2B" w:rsidRPr="006229DD" w:rsidRDefault="003D0967" w:rsidP="00677C0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12</w:t>
            </w:r>
            <w:r w:rsidR="005F5792" w:rsidRPr="006229DD">
              <w:rPr>
                <w:rFonts w:ascii="Times New Roman" w:hAnsi="Times New Roman" w:cs="Times New Roman"/>
                <w:sz w:val="20"/>
                <w:szCs w:val="20"/>
                <w:lang w:val="en-GB"/>
              </w:rPr>
              <w:t xml:space="preserve"> (</w:t>
            </w:r>
            <w:r>
              <w:rPr>
                <w:rFonts w:ascii="Times New Roman" w:hAnsi="Times New Roman" w:cs="Times New Roman"/>
                <w:sz w:val="20"/>
                <w:szCs w:val="20"/>
                <w:lang w:val="en-GB"/>
              </w:rPr>
              <w:t>12</w:t>
            </w:r>
            <w:r w:rsidR="005F5792" w:rsidRPr="006229DD">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455" w:type="dxa"/>
            <w:tcMar>
              <w:top w:w="28" w:type="dxa"/>
              <w:bottom w:w="28" w:type="dxa"/>
            </w:tcMar>
            <w:vAlign w:val="center"/>
          </w:tcPr>
          <w:p w14:paraId="5C53BD44" w14:textId="7068AEC5" w:rsidR="007C4B2B" w:rsidRPr="006229DD" w:rsidRDefault="004127E3" w:rsidP="00677C01">
            <w:pPr>
              <w:spacing w:before="0" w:after="0" w:line="240" w:lineRule="auto"/>
              <w:jc w:val="center"/>
              <w:rPr>
                <w:rFonts w:ascii="Times New Roman" w:hAnsi="Times New Roman" w:cs="Times New Roman"/>
                <w:sz w:val="20"/>
                <w:szCs w:val="20"/>
                <w:lang w:val="en-GB"/>
              </w:rPr>
            </w:pPr>
            <w:r w:rsidRPr="006229DD">
              <w:rPr>
                <w:rFonts w:ascii="Times New Roman" w:hAnsi="Times New Roman" w:cs="Times New Roman"/>
                <w:sz w:val="20"/>
                <w:szCs w:val="20"/>
                <w:lang w:val="en-GB"/>
              </w:rPr>
              <w:t>4</w:t>
            </w:r>
            <w:r w:rsidR="003D0967">
              <w:rPr>
                <w:rFonts w:ascii="Times New Roman" w:hAnsi="Times New Roman" w:cs="Times New Roman"/>
                <w:sz w:val="20"/>
                <w:szCs w:val="20"/>
                <w:lang w:val="en-GB"/>
              </w:rPr>
              <w:t>.3</w:t>
            </w:r>
            <w:r w:rsidRPr="006229DD">
              <w:rPr>
                <w:rFonts w:ascii="Times New Roman" w:hAnsi="Times New Roman" w:cs="Times New Roman"/>
                <w:sz w:val="20"/>
                <w:szCs w:val="20"/>
                <w:lang w:val="en-GB"/>
              </w:rPr>
              <w:t xml:space="preserve"> (8</w:t>
            </w:r>
            <w:r w:rsidR="003D0967">
              <w:rPr>
                <w:rFonts w:ascii="Times New Roman" w:hAnsi="Times New Roman" w:cs="Times New Roman"/>
                <w:sz w:val="20"/>
                <w:szCs w:val="20"/>
                <w:lang w:val="en-GB"/>
              </w:rPr>
              <w:t>.6</w:t>
            </w:r>
            <w:r w:rsidRPr="006229DD">
              <w:rPr>
                <w:rFonts w:ascii="Times New Roman" w:hAnsi="Times New Roman" w:cs="Times New Roman"/>
                <w:sz w:val="20"/>
                <w:szCs w:val="20"/>
                <w:lang w:val="en-GB"/>
              </w:rPr>
              <w:t>)</w:t>
            </w:r>
          </w:p>
        </w:tc>
      </w:tr>
    </w:tbl>
    <w:p w14:paraId="4B07B2CE" w14:textId="2BDDFB39" w:rsidR="00BB590B" w:rsidRPr="004722FF" w:rsidRDefault="00BB590B" w:rsidP="00BB590B">
      <w:pPr>
        <w:spacing w:before="60" w:after="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Many of these treatments require the dose to be administered in 2 separate injections, therefore the number of injections per year is often </w:t>
      </w:r>
      <w:r w:rsidR="00C739D9">
        <w:rPr>
          <w:rFonts w:ascii="Times New Roman" w:hAnsi="Times New Roman" w:cs="Times New Roman"/>
          <w:sz w:val="20"/>
          <w:szCs w:val="20"/>
          <w:lang w:val="en-GB"/>
        </w:rPr>
        <w:t>twice</w:t>
      </w:r>
      <w:r w:rsidRPr="004722FF">
        <w:rPr>
          <w:rFonts w:ascii="Times New Roman" w:hAnsi="Times New Roman" w:cs="Times New Roman"/>
          <w:sz w:val="20"/>
          <w:szCs w:val="20"/>
          <w:lang w:val="en-GB"/>
        </w:rPr>
        <w:t xml:space="preserve"> </w:t>
      </w:r>
      <w:r w:rsidR="00C739D9">
        <w:rPr>
          <w:rFonts w:ascii="Times New Roman" w:hAnsi="Times New Roman" w:cs="Times New Roman"/>
          <w:sz w:val="20"/>
          <w:szCs w:val="20"/>
          <w:lang w:val="en-GB"/>
        </w:rPr>
        <w:t xml:space="preserve">the </w:t>
      </w:r>
      <w:r w:rsidRPr="004722FF">
        <w:rPr>
          <w:rFonts w:ascii="Times New Roman" w:hAnsi="Times New Roman" w:cs="Times New Roman"/>
          <w:sz w:val="20"/>
          <w:szCs w:val="20"/>
          <w:lang w:val="en-GB"/>
        </w:rPr>
        <w:t xml:space="preserve">number of times the drug is administered to the patient per year. </w:t>
      </w:r>
      <w:r w:rsidR="00C739D9">
        <w:rPr>
          <w:rFonts w:ascii="Times New Roman" w:hAnsi="Times New Roman" w:cs="Times New Roman"/>
          <w:sz w:val="20"/>
          <w:szCs w:val="20"/>
          <w:lang w:val="en-GB"/>
        </w:rPr>
        <w:t>(ii</w:t>
      </w:r>
      <w:r w:rsidRPr="004722FF">
        <w:rPr>
          <w:rFonts w:ascii="Times New Roman" w:hAnsi="Times New Roman" w:cs="Times New Roman"/>
          <w:sz w:val="20"/>
          <w:szCs w:val="20"/>
          <w:lang w:val="en-GB"/>
        </w:rPr>
        <w:t xml:space="preserve">) have considered </w:t>
      </w:r>
      <w:r w:rsidR="00C739D9">
        <w:rPr>
          <w:rFonts w:ascii="Times New Roman" w:hAnsi="Times New Roman" w:cs="Times New Roman"/>
          <w:sz w:val="20"/>
          <w:szCs w:val="20"/>
          <w:lang w:val="en-GB"/>
        </w:rPr>
        <w:t>data related to the technical product sheet</w:t>
      </w:r>
      <w:r w:rsidRPr="004722FF">
        <w:rPr>
          <w:rFonts w:ascii="Times New Roman" w:hAnsi="Times New Roman" w:cs="Times New Roman"/>
          <w:sz w:val="20"/>
          <w:szCs w:val="20"/>
          <w:lang w:val="en-GB"/>
        </w:rPr>
        <w:t xml:space="preserve">. iii) For bimekizumab, doses were considered every 4 weeks in the induction period (16 weeks), and every 8 weeks in the maintenance period (from week 16). It should be noted that, foreseeably, in 1 or 2 years a presentation of 360 mg of bimekizumab in a single injection </w:t>
      </w:r>
      <w:r w:rsidR="00C739D9">
        <w:rPr>
          <w:rFonts w:ascii="Times New Roman" w:hAnsi="Times New Roman" w:cs="Times New Roman"/>
          <w:sz w:val="20"/>
          <w:szCs w:val="20"/>
          <w:lang w:val="en-GB"/>
        </w:rPr>
        <w:t>might</w:t>
      </w:r>
      <w:r w:rsidRPr="004722FF">
        <w:rPr>
          <w:rFonts w:ascii="Times New Roman" w:hAnsi="Times New Roman" w:cs="Times New Roman"/>
          <w:sz w:val="20"/>
          <w:szCs w:val="20"/>
          <w:lang w:val="en-GB"/>
        </w:rPr>
        <w:t xml:space="preserve"> be approved, which will allow the number of injections to be reduced by half.</w:t>
      </w:r>
    </w:p>
    <w:p w14:paraId="01635531" w14:textId="1C500EB4" w:rsidR="00B20C73" w:rsidRPr="004722FF" w:rsidRDefault="007C4B2B" w:rsidP="00123E66">
      <w:pPr>
        <w:spacing w:before="60"/>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Source: AEMPS (2021)</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{"citationID":"to8Im0VO","properties":{"formattedCitation":"\\super 46\\nosupersub{}","plainCitation":"46","noteIndex":0},"citationItems":[{"id":18102,"uris":["http://zotero.org/groups/337550/items/CWQJPCU6"],"uri":["http://zotero.org/groups/337550/items/CWQJPCU6"],"itemData":{"id":18102,"type":"webpage","title":"Centro de Información online de Medicamentos de la AEMPS (CIMA)","URL":"https://www.aemps.gob.es/cima/fichasTecnicas.do?metodo=buscar","author":[{"family":"AEMPS","given":""}]}}],"schema":"https://github.com/citation-style-language/schema/raw/master/csl-citation.json"}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46</w:t>
      </w:r>
      <w:r w:rsidRPr="004722FF">
        <w:rPr>
          <w:rFonts w:ascii="Times New Roman" w:hAnsi="Times New Roman" w:cs="Times New Roman"/>
          <w:sz w:val="20"/>
          <w:szCs w:val="20"/>
          <w:lang w:val="en-GB"/>
        </w:rPr>
        <w:fldChar w:fldCharType="end"/>
      </w:r>
    </w:p>
    <w:p w14:paraId="5AC7EFCC" w14:textId="77777777" w:rsidR="00767B1F" w:rsidRPr="004722FF" w:rsidRDefault="00767B1F" w:rsidP="00123E66">
      <w:pPr>
        <w:spacing w:before="60"/>
        <w:ind w:left="709"/>
        <w:rPr>
          <w:rFonts w:ascii="Times New Roman" w:hAnsi="Times New Roman" w:cs="Times New Roman"/>
          <w:sz w:val="20"/>
          <w:szCs w:val="20"/>
          <w:lang w:val="en-GB"/>
        </w:rPr>
      </w:pPr>
    </w:p>
    <w:p w14:paraId="43474B63" w14:textId="77777777" w:rsidR="00767B1F" w:rsidRPr="004722FF" w:rsidRDefault="00767B1F" w:rsidP="00123E66">
      <w:pPr>
        <w:spacing w:before="60"/>
        <w:ind w:left="709"/>
        <w:rPr>
          <w:rFonts w:ascii="Times New Roman" w:hAnsi="Times New Roman" w:cs="Times New Roman"/>
          <w:sz w:val="20"/>
          <w:szCs w:val="20"/>
          <w:lang w:val="en-GB"/>
        </w:rPr>
      </w:pPr>
    </w:p>
    <w:p w14:paraId="2123F7F3" w14:textId="77777777" w:rsidR="00767B1F" w:rsidRPr="004722FF" w:rsidRDefault="00767B1F" w:rsidP="00123E66">
      <w:pPr>
        <w:spacing w:before="60"/>
        <w:ind w:left="709"/>
        <w:rPr>
          <w:rFonts w:ascii="Times New Roman" w:hAnsi="Times New Roman" w:cs="Times New Roman"/>
          <w:sz w:val="20"/>
          <w:szCs w:val="20"/>
          <w:lang w:val="en-GB"/>
        </w:rPr>
      </w:pPr>
    </w:p>
    <w:p w14:paraId="7BEBD6BA" w14:textId="77777777" w:rsidR="00767B1F" w:rsidRPr="004722FF" w:rsidRDefault="00767B1F" w:rsidP="00123E66">
      <w:pPr>
        <w:spacing w:before="60"/>
        <w:ind w:left="709"/>
        <w:rPr>
          <w:rFonts w:ascii="Times New Roman" w:hAnsi="Times New Roman" w:cs="Times New Roman"/>
          <w:sz w:val="20"/>
          <w:szCs w:val="20"/>
          <w:lang w:val="en-GB"/>
        </w:rPr>
      </w:pPr>
    </w:p>
    <w:p w14:paraId="21999947" w14:textId="77777777" w:rsidR="00767B1F" w:rsidRPr="004722FF" w:rsidRDefault="00767B1F" w:rsidP="00123E66">
      <w:pPr>
        <w:spacing w:before="60"/>
        <w:ind w:left="709"/>
        <w:rPr>
          <w:rFonts w:ascii="Times New Roman" w:hAnsi="Times New Roman" w:cs="Times New Roman"/>
          <w:sz w:val="20"/>
          <w:szCs w:val="20"/>
          <w:lang w:val="en-GB"/>
        </w:rPr>
      </w:pPr>
    </w:p>
    <w:p w14:paraId="1C9A0E70" w14:textId="77777777" w:rsidR="00767B1F" w:rsidRPr="004722FF" w:rsidRDefault="00767B1F" w:rsidP="00123E66">
      <w:pPr>
        <w:spacing w:before="60"/>
        <w:ind w:left="709"/>
        <w:rPr>
          <w:rFonts w:ascii="Times New Roman" w:hAnsi="Times New Roman" w:cs="Times New Roman"/>
          <w:sz w:val="20"/>
          <w:szCs w:val="20"/>
          <w:lang w:val="en-GB"/>
        </w:rPr>
      </w:pPr>
    </w:p>
    <w:p w14:paraId="5D28A9C4" w14:textId="77777777" w:rsidR="00767B1F" w:rsidRPr="004722FF" w:rsidRDefault="00767B1F" w:rsidP="00123E66">
      <w:pPr>
        <w:spacing w:before="60"/>
        <w:ind w:left="709"/>
        <w:rPr>
          <w:rFonts w:ascii="Times New Roman" w:hAnsi="Times New Roman" w:cs="Times New Roman"/>
          <w:sz w:val="20"/>
          <w:szCs w:val="20"/>
          <w:lang w:val="en-GB"/>
        </w:rPr>
      </w:pPr>
    </w:p>
    <w:p w14:paraId="7C059E30" w14:textId="77777777" w:rsidR="00767B1F" w:rsidRPr="004722FF" w:rsidRDefault="00767B1F" w:rsidP="00123E66">
      <w:pPr>
        <w:spacing w:before="60"/>
        <w:ind w:left="709"/>
        <w:rPr>
          <w:rFonts w:ascii="Times New Roman" w:hAnsi="Times New Roman" w:cs="Times New Roman"/>
          <w:sz w:val="20"/>
          <w:szCs w:val="20"/>
          <w:lang w:val="en-GB"/>
        </w:rPr>
      </w:pPr>
    </w:p>
    <w:p w14:paraId="7E929D68" w14:textId="77777777" w:rsidR="00767B1F" w:rsidRPr="004722FF" w:rsidRDefault="00767B1F" w:rsidP="00123E66">
      <w:pPr>
        <w:spacing w:before="60"/>
        <w:ind w:left="709"/>
        <w:rPr>
          <w:rFonts w:ascii="Times New Roman" w:hAnsi="Times New Roman" w:cs="Times New Roman"/>
          <w:sz w:val="20"/>
          <w:szCs w:val="20"/>
          <w:lang w:val="en-GB"/>
        </w:rPr>
      </w:pPr>
    </w:p>
    <w:p w14:paraId="59AD964A" w14:textId="77777777" w:rsidR="00767B1F" w:rsidRPr="004722FF" w:rsidRDefault="00767B1F" w:rsidP="00123E66">
      <w:pPr>
        <w:spacing w:before="60"/>
        <w:ind w:left="709"/>
        <w:rPr>
          <w:rFonts w:ascii="Times New Roman" w:hAnsi="Times New Roman" w:cs="Times New Roman"/>
          <w:sz w:val="20"/>
          <w:szCs w:val="20"/>
          <w:lang w:val="en-GB"/>
        </w:rPr>
      </w:pPr>
    </w:p>
    <w:p w14:paraId="736B8A4B" w14:textId="1176787D" w:rsidR="00767B1F" w:rsidRDefault="00767B1F" w:rsidP="00123E66">
      <w:pPr>
        <w:spacing w:before="60"/>
        <w:ind w:left="709"/>
        <w:rPr>
          <w:rFonts w:ascii="Times New Roman" w:hAnsi="Times New Roman" w:cs="Times New Roman"/>
          <w:sz w:val="20"/>
          <w:szCs w:val="20"/>
          <w:lang w:val="en-GB"/>
        </w:rPr>
      </w:pPr>
    </w:p>
    <w:p w14:paraId="08F91DF8" w14:textId="57FF5C4E" w:rsidR="00A0365F" w:rsidRDefault="00A0365F" w:rsidP="00123E66">
      <w:pPr>
        <w:spacing w:before="60"/>
        <w:ind w:left="709"/>
        <w:rPr>
          <w:rFonts w:ascii="Times New Roman" w:hAnsi="Times New Roman" w:cs="Times New Roman"/>
          <w:sz w:val="20"/>
          <w:szCs w:val="20"/>
          <w:lang w:val="en-GB"/>
        </w:rPr>
      </w:pPr>
    </w:p>
    <w:p w14:paraId="7A84F26D" w14:textId="5955347C" w:rsidR="00A0365F" w:rsidRDefault="00A0365F" w:rsidP="00123E66">
      <w:pPr>
        <w:spacing w:before="60"/>
        <w:ind w:left="709"/>
        <w:rPr>
          <w:rFonts w:ascii="Times New Roman" w:hAnsi="Times New Roman" w:cs="Times New Roman"/>
          <w:sz w:val="20"/>
          <w:szCs w:val="20"/>
          <w:lang w:val="en-GB"/>
        </w:rPr>
      </w:pPr>
    </w:p>
    <w:p w14:paraId="34CB60AC" w14:textId="77777777" w:rsidR="00A0365F" w:rsidRPr="004722FF" w:rsidRDefault="00A0365F" w:rsidP="00123E66">
      <w:pPr>
        <w:spacing w:before="60"/>
        <w:ind w:left="709"/>
        <w:rPr>
          <w:rFonts w:ascii="Times New Roman" w:hAnsi="Times New Roman" w:cs="Times New Roman"/>
          <w:sz w:val="20"/>
          <w:szCs w:val="20"/>
          <w:lang w:val="en-GB"/>
        </w:rPr>
      </w:pPr>
    </w:p>
    <w:p w14:paraId="7FA55149" w14:textId="77777777" w:rsidR="00767B1F" w:rsidRPr="004722FF" w:rsidRDefault="00767B1F" w:rsidP="00123E66">
      <w:pPr>
        <w:spacing w:before="60"/>
        <w:ind w:left="709"/>
        <w:rPr>
          <w:rFonts w:ascii="Times New Roman" w:hAnsi="Times New Roman" w:cs="Times New Roman"/>
          <w:sz w:val="20"/>
          <w:szCs w:val="20"/>
          <w:lang w:val="en-GB"/>
        </w:rPr>
      </w:pPr>
    </w:p>
    <w:p w14:paraId="042C490C" w14:textId="4EC73DD6" w:rsidR="001D179C" w:rsidRPr="00A0365F" w:rsidRDefault="006D324E" w:rsidP="00A0365F">
      <w:pPr>
        <w:pStyle w:val="Ttulo1"/>
        <w:shd w:val="clear" w:color="auto" w:fill="A6A6A6" w:themeFill="background1" w:themeFillShade="A6"/>
        <w:spacing w:before="120" w:after="120"/>
        <w:ind w:left="709"/>
        <w:jc w:val="left"/>
        <w:rPr>
          <w:rStyle w:val="TEXTOGENERALCar"/>
          <w:rFonts w:ascii="Times New Roman" w:hAnsi="Times New Roman" w:cs="Times New Roman"/>
          <w:bCs/>
          <w:color w:val="FFFFFF" w:themeColor="background1"/>
          <w:sz w:val="32"/>
          <w:szCs w:val="32"/>
        </w:rPr>
      </w:pPr>
      <w:bookmarkStart w:id="113" w:name="_Toc74645724"/>
      <w:bookmarkStart w:id="114" w:name="_Toc89351168"/>
      <w:r w:rsidRPr="00A0365F">
        <w:rPr>
          <w:rStyle w:val="TEXTOGENERALCar"/>
          <w:rFonts w:ascii="Times New Roman" w:hAnsi="Times New Roman" w:cs="Times New Roman"/>
          <w:b/>
          <w:bCs/>
          <w:color w:val="FFFFFF" w:themeColor="background1"/>
          <w:sz w:val="32"/>
          <w:szCs w:val="32"/>
        </w:rPr>
        <w:lastRenderedPageBreak/>
        <w:t>3</w:t>
      </w:r>
      <w:r w:rsidR="00A0365F">
        <w:rPr>
          <w:rStyle w:val="TEXTOGENERALCar"/>
          <w:rFonts w:ascii="Times New Roman" w:hAnsi="Times New Roman" w:cs="Times New Roman"/>
          <w:b/>
          <w:bCs/>
          <w:color w:val="FFFFFF" w:themeColor="background1"/>
          <w:sz w:val="32"/>
          <w:szCs w:val="32"/>
        </w:rPr>
        <w:t>.</w:t>
      </w:r>
      <w:r w:rsidR="001D179C" w:rsidRPr="00A0365F">
        <w:rPr>
          <w:rStyle w:val="TEXTOGENERALCar"/>
          <w:rFonts w:ascii="Times New Roman" w:hAnsi="Times New Roman" w:cs="Times New Roman"/>
          <w:b/>
          <w:bCs/>
          <w:color w:val="FFFFFF" w:themeColor="background1"/>
          <w:sz w:val="32"/>
          <w:szCs w:val="32"/>
        </w:rPr>
        <w:t xml:space="preserve"> </w:t>
      </w:r>
      <w:bookmarkEnd w:id="113"/>
      <w:r w:rsidR="00A0365F">
        <w:rPr>
          <w:rStyle w:val="TEXTOGENERALCar"/>
          <w:rFonts w:ascii="Times New Roman" w:hAnsi="Times New Roman" w:cs="Times New Roman"/>
          <w:b/>
          <w:bCs/>
          <w:color w:val="FFFFFF" w:themeColor="background1"/>
          <w:sz w:val="32"/>
          <w:szCs w:val="32"/>
        </w:rPr>
        <w:t>Type of benefit</w:t>
      </w:r>
      <w:r w:rsidR="0036141F">
        <w:rPr>
          <w:rStyle w:val="TEXTOGENERALCar"/>
          <w:rFonts w:ascii="Times New Roman" w:hAnsi="Times New Roman" w:cs="Times New Roman"/>
          <w:b/>
          <w:bCs/>
          <w:color w:val="FFFFFF" w:themeColor="background1"/>
          <w:sz w:val="32"/>
          <w:szCs w:val="32"/>
        </w:rPr>
        <w:t xml:space="preserve"> of the intervention</w:t>
      </w:r>
      <w:bookmarkEnd w:id="114"/>
    </w:p>
    <w:p w14:paraId="31FAF7A6" w14:textId="77777777" w:rsidR="001D179C" w:rsidRPr="004722FF" w:rsidRDefault="001D179C" w:rsidP="00B406C9">
      <w:pPr>
        <w:pStyle w:val="Prrafodelista"/>
        <w:numPr>
          <w:ilvl w:val="0"/>
          <w:numId w:val="1"/>
        </w:numPr>
        <w:spacing w:before="120" w:line="240" w:lineRule="auto"/>
        <w:ind w:left="709" w:firstLine="0"/>
        <w:contextualSpacing w:val="0"/>
        <w:jc w:val="left"/>
        <w:outlineLvl w:val="1"/>
        <w:rPr>
          <w:rFonts w:ascii="Times New Roman" w:eastAsiaTheme="majorEastAsia" w:hAnsi="Times New Roman" w:cs="Times New Roman"/>
          <w:smallCaps/>
          <w:vanish/>
          <w:spacing w:val="5"/>
          <w:sz w:val="32"/>
          <w:szCs w:val="60"/>
          <w:lang w:val="en-GB"/>
        </w:rPr>
      </w:pPr>
      <w:bookmarkStart w:id="115" w:name="_Toc73538772"/>
      <w:bookmarkStart w:id="116" w:name="_Toc73538899"/>
      <w:bookmarkStart w:id="117" w:name="_Toc73538942"/>
      <w:bookmarkStart w:id="118" w:name="_Toc73539166"/>
      <w:bookmarkStart w:id="119" w:name="_Toc73541273"/>
      <w:bookmarkStart w:id="120" w:name="_Toc73602803"/>
      <w:bookmarkStart w:id="121" w:name="_Toc74314116"/>
      <w:bookmarkStart w:id="122" w:name="_Toc74639563"/>
      <w:bookmarkStart w:id="123" w:name="_Toc74645725"/>
      <w:bookmarkStart w:id="124" w:name="_Toc89076821"/>
      <w:bookmarkStart w:id="125" w:name="_Toc89077567"/>
      <w:bookmarkStart w:id="126" w:name="_Toc89077675"/>
      <w:bookmarkStart w:id="127" w:name="_Toc89077706"/>
      <w:bookmarkStart w:id="128" w:name="_Toc89077941"/>
      <w:bookmarkStart w:id="129" w:name="_Toc89077966"/>
      <w:bookmarkStart w:id="130" w:name="_Toc89078001"/>
      <w:bookmarkStart w:id="131" w:name="_Toc89078063"/>
      <w:bookmarkStart w:id="132" w:name="_Toc89078118"/>
      <w:bookmarkStart w:id="133" w:name="_Toc89078208"/>
      <w:bookmarkStart w:id="134" w:name="_Toc89078410"/>
      <w:bookmarkStart w:id="135" w:name="_Toc89351169"/>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03FB6E2E" w14:textId="77777777" w:rsidR="009D6033" w:rsidRPr="0036141F" w:rsidRDefault="001D179C" w:rsidP="00767B1F">
      <w:pPr>
        <w:pStyle w:val="Ttulo2"/>
        <w:numPr>
          <w:ilvl w:val="1"/>
          <w:numId w:val="1"/>
        </w:numPr>
        <w:spacing w:before="120" w:line="240" w:lineRule="auto"/>
        <w:ind w:left="992" w:firstLine="0"/>
        <w:rPr>
          <w:rFonts w:ascii="Times New Roman" w:hAnsi="Times New Roman" w:cs="Times New Roman"/>
          <w:b/>
          <w:bCs/>
          <w:smallCaps w:val="0"/>
          <w:color w:val="auto"/>
          <w:sz w:val="22"/>
          <w:szCs w:val="20"/>
          <w:lang w:val="en-GB"/>
        </w:rPr>
      </w:pPr>
      <w:bookmarkStart w:id="136" w:name="_Toc74645726"/>
      <w:bookmarkStart w:id="137" w:name="_Toc89351170"/>
      <w:r w:rsidRPr="0036141F">
        <w:rPr>
          <w:rFonts w:ascii="Times New Roman" w:hAnsi="Times New Roman" w:cs="Times New Roman"/>
          <w:b/>
          <w:bCs/>
          <w:smallCaps w:val="0"/>
          <w:color w:val="auto"/>
          <w:sz w:val="22"/>
          <w:szCs w:val="24"/>
          <w:lang w:val="en-GB"/>
        </w:rPr>
        <w:t>Type of therapeutic benefit</w:t>
      </w:r>
      <w:bookmarkStart w:id="138" w:name="_Toc74645727"/>
      <w:bookmarkEnd w:id="136"/>
      <w:bookmarkEnd w:id="137"/>
    </w:p>
    <w:p w14:paraId="5FBE8A24" w14:textId="25A4F72F" w:rsidR="00767B1F" w:rsidRDefault="00123E66" w:rsidP="0036141F">
      <w:pPr>
        <w:spacing w:before="120"/>
        <w:ind w:left="993"/>
        <w:rPr>
          <w:rFonts w:ascii="Times New Roman" w:hAnsi="Times New Roman" w:cs="Times New Roman"/>
          <w:lang w:val="en-GB"/>
        </w:rPr>
      </w:pPr>
      <w:r w:rsidRPr="0036141F">
        <w:rPr>
          <w:rFonts w:ascii="Times New Roman" w:hAnsi="Times New Roman" w:cs="Times New Roman"/>
          <w:lang w:val="en-GB"/>
        </w:rPr>
        <w:t xml:space="preserve">This is an absolute </w:t>
      </w:r>
      <w:r w:rsidR="0036141F" w:rsidRPr="0036141F">
        <w:rPr>
          <w:rFonts w:ascii="Times New Roman" w:hAnsi="Times New Roman" w:cs="Times New Roman"/>
          <w:lang w:val="en-GB"/>
        </w:rPr>
        <w:t>criterion;</w:t>
      </w:r>
      <w:r w:rsidRPr="0036141F">
        <w:rPr>
          <w:rFonts w:ascii="Times New Roman" w:hAnsi="Times New Roman" w:cs="Times New Roman"/>
          <w:lang w:val="en-GB"/>
        </w:rPr>
        <w:t xml:space="preserve"> </w:t>
      </w:r>
      <w:r w:rsidR="0036141F" w:rsidRPr="0036141F">
        <w:rPr>
          <w:rFonts w:ascii="Times New Roman" w:hAnsi="Times New Roman" w:cs="Times New Roman"/>
          <w:lang w:val="en-GB"/>
        </w:rPr>
        <w:t>therefore,</w:t>
      </w:r>
      <w:r w:rsidRPr="0036141F">
        <w:rPr>
          <w:rFonts w:ascii="Times New Roman" w:hAnsi="Times New Roman" w:cs="Times New Roman"/>
          <w:lang w:val="en-GB"/>
        </w:rPr>
        <w:t xml:space="preserve"> it only refers to the therapeutic benefit of bimekizumab. Bimekizumab has no curative effect. However, the therapeutic benefits of the drug translate into a high degree of clearance, </w:t>
      </w:r>
      <w:r w:rsidR="0036141F">
        <w:rPr>
          <w:rFonts w:ascii="Times New Roman" w:hAnsi="Times New Roman" w:cs="Times New Roman"/>
          <w:lang w:val="en-GB"/>
        </w:rPr>
        <w:t>rapidity</w:t>
      </w:r>
      <w:r w:rsidRPr="0036141F">
        <w:rPr>
          <w:rFonts w:ascii="Times New Roman" w:hAnsi="Times New Roman" w:cs="Times New Roman"/>
          <w:lang w:val="en-GB"/>
        </w:rPr>
        <w:t xml:space="preserve"> of action and persistence of the clearance achieved. In addition, they are associated with improv</w:t>
      </w:r>
      <w:r w:rsidR="0036141F">
        <w:rPr>
          <w:rFonts w:ascii="Times New Roman" w:hAnsi="Times New Roman" w:cs="Times New Roman"/>
          <w:lang w:val="en-GB"/>
        </w:rPr>
        <w:t>ements</w:t>
      </w:r>
      <w:r w:rsidRPr="0036141F">
        <w:rPr>
          <w:rFonts w:ascii="Times New Roman" w:hAnsi="Times New Roman" w:cs="Times New Roman"/>
          <w:lang w:val="en-GB"/>
        </w:rPr>
        <w:t xml:space="preserve"> </w:t>
      </w:r>
      <w:r w:rsidR="0036141F">
        <w:rPr>
          <w:rFonts w:ascii="Times New Roman" w:hAnsi="Times New Roman" w:cs="Times New Roman"/>
          <w:lang w:val="en-GB"/>
        </w:rPr>
        <w:t xml:space="preserve">in </w:t>
      </w:r>
      <w:r w:rsidRPr="0036141F">
        <w:rPr>
          <w:rFonts w:ascii="Times New Roman" w:hAnsi="Times New Roman" w:cs="Times New Roman"/>
          <w:lang w:val="en-GB"/>
        </w:rPr>
        <w:t xml:space="preserve">the quality of life of patients and </w:t>
      </w:r>
      <w:r w:rsidR="0036141F">
        <w:rPr>
          <w:rFonts w:ascii="Times New Roman" w:hAnsi="Times New Roman" w:cs="Times New Roman"/>
          <w:lang w:val="en-GB"/>
        </w:rPr>
        <w:t xml:space="preserve">in the </w:t>
      </w:r>
      <w:r w:rsidRPr="0036141F">
        <w:rPr>
          <w:rFonts w:ascii="Times New Roman" w:hAnsi="Times New Roman" w:cs="Times New Roman"/>
          <w:lang w:val="en-GB"/>
        </w:rPr>
        <w:t>alleviati</w:t>
      </w:r>
      <w:r w:rsidR="0036141F">
        <w:rPr>
          <w:rFonts w:ascii="Times New Roman" w:hAnsi="Times New Roman" w:cs="Times New Roman"/>
          <w:lang w:val="en-GB"/>
        </w:rPr>
        <w:t>on</w:t>
      </w:r>
      <w:r w:rsidRPr="0036141F">
        <w:rPr>
          <w:rFonts w:ascii="Times New Roman" w:hAnsi="Times New Roman" w:cs="Times New Roman"/>
          <w:lang w:val="en-GB"/>
        </w:rPr>
        <w:t xml:space="preserve"> </w:t>
      </w:r>
      <w:r w:rsidR="0036141F">
        <w:rPr>
          <w:rFonts w:ascii="Times New Roman" w:hAnsi="Times New Roman" w:cs="Times New Roman"/>
          <w:lang w:val="en-GB"/>
        </w:rPr>
        <w:t xml:space="preserve">of </w:t>
      </w:r>
      <w:r w:rsidRPr="0036141F">
        <w:rPr>
          <w:rFonts w:ascii="Times New Roman" w:hAnsi="Times New Roman" w:cs="Times New Roman"/>
          <w:lang w:val="en-GB"/>
        </w:rPr>
        <w:t xml:space="preserve">their main symptoms, such as pain, itching and </w:t>
      </w:r>
      <w:r w:rsidR="0036141F">
        <w:rPr>
          <w:rFonts w:ascii="Times New Roman" w:hAnsi="Times New Roman" w:cs="Times New Roman"/>
          <w:lang w:val="en-GB"/>
        </w:rPr>
        <w:t>scaling</w:t>
      </w:r>
      <w:r w:rsidRPr="0036141F">
        <w:rPr>
          <w:rFonts w:ascii="Times New Roman" w:hAnsi="Times New Roman" w:cs="Times New Roman"/>
          <w:lang w:val="en-GB"/>
        </w:rPr>
        <w:t>, effects that are maintained over time.</w:t>
      </w:r>
    </w:p>
    <w:p w14:paraId="44AB86BD" w14:textId="035CD123" w:rsidR="00416FBA" w:rsidRDefault="00416FBA" w:rsidP="0036141F">
      <w:pPr>
        <w:spacing w:before="120"/>
        <w:ind w:left="993"/>
        <w:rPr>
          <w:rFonts w:ascii="Times New Roman" w:hAnsi="Times New Roman" w:cs="Times New Roman"/>
          <w:lang w:val="en-GB"/>
        </w:rPr>
      </w:pPr>
    </w:p>
    <w:p w14:paraId="1ACFE257" w14:textId="77777777" w:rsidR="00416FBA" w:rsidRPr="0036141F" w:rsidRDefault="00416FBA" w:rsidP="0036141F">
      <w:pPr>
        <w:spacing w:before="120"/>
        <w:ind w:left="993"/>
        <w:rPr>
          <w:rFonts w:ascii="Times New Roman" w:hAnsi="Times New Roman" w:cs="Times New Roman"/>
          <w:lang w:val="en-GB"/>
        </w:rPr>
      </w:pPr>
    </w:p>
    <w:p w14:paraId="2BC66018"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74614A76"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53729796"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6E2E461B"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00447A3D"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5E123686"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7BC28DA4"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71C0C86F"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0BD62DE8"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32ABE031"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06C49983"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3F41E4AC"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5DEE6928"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1E451919"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5BE08755"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4FB4AB02"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6111517A" w14:textId="746DD1EA" w:rsidR="004127E3" w:rsidRDefault="004127E3" w:rsidP="00B406C9">
      <w:pPr>
        <w:spacing w:before="120" w:line="240" w:lineRule="auto"/>
        <w:ind w:left="993"/>
        <w:jc w:val="left"/>
        <w:rPr>
          <w:rFonts w:ascii="Times New Roman" w:hAnsi="Times New Roman" w:cs="Times New Roman"/>
          <w:sz w:val="20"/>
          <w:szCs w:val="20"/>
          <w:lang w:val="en-GB"/>
        </w:rPr>
      </w:pPr>
    </w:p>
    <w:p w14:paraId="341B04F4" w14:textId="77777777" w:rsidR="00416FBA" w:rsidRPr="004722FF" w:rsidRDefault="00416FBA" w:rsidP="00B406C9">
      <w:pPr>
        <w:spacing w:before="120" w:line="240" w:lineRule="auto"/>
        <w:ind w:left="993"/>
        <w:jc w:val="left"/>
        <w:rPr>
          <w:rFonts w:ascii="Times New Roman" w:hAnsi="Times New Roman" w:cs="Times New Roman"/>
          <w:sz w:val="20"/>
          <w:szCs w:val="20"/>
          <w:lang w:val="en-GB"/>
        </w:rPr>
      </w:pPr>
    </w:p>
    <w:p w14:paraId="706FA8C8" w14:textId="77777777" w:rsidR="004127E3" w:rsidRPr="004722FF" w:rsidRDefault="004127E3" w:rsidP="00B406C9">
      <w:pPr>
        <w:spacing w:before="120" w:line="240" w:lineRule="auto"/>
        <w:ind w:left="993"/>
        <w:jc w:val="left"/>
        <w:rPr>
          <w:rFonts w:ascii="Times New Roman" w:hAnsi="Times New Roman" w:cs="Times New Roman"/>
          <w:sz w:val="20"/>
          <w:szCs w:val="20"/>
          <w:lang w:val="en-GB"/>
        </w:rPr>
      </w:pPr>
    </w:p>
    <w:p w14:paraId="06AAFD57" w14:textId="77777777" w:rsidR="004127E3" w:rsidRPr="004722FF" w:rsidRDefault="004127E3" w:rsidP="00B406C9">
      <w:pPr>
        <w:spacing w:before="120" w:line="240" w:lineRule="auto"/>
        <w:ind w:left="993"/>
        <w:jc w:val="left"/>
        <w:rPr>
          <w:rFonts w:ascii="Times New Roman" w:hAnsi="Times New Roman" w:cs="Times New Roman"/>
          <w:bCs/>
          <w:sz w:val="20"/>
          <w:szCs w:val="20"/>
          <w:lang w:val="en-GB"/>
        </w:rPr>
      </w:pPr>
    </w:p>
    <w:p w14:paraId="68C5AFAB" w14:textId="2C6C8F78" w:rsidR="00A35209" w:rsidRPr="00416FBA" w:rsidRDefault="00C129B1" w:rsidP="00D7564A">
      <w:pPr>
        <w:pStyle w:val="Ttulo2"/>
        <w:numPr>
          <w:ilvl w:val="1"/>
          <w:numId w:val="1"/>
        </w:numPr>
        <w:spacing w:line="240" w:lineRule="auto"/>
        <w:ind w:left="992" w:firstLine="0"/>
        <w:rPr>
          <w:rFonts w:ascii="Times New Roman" w:hAnsi="Times New Roman" w:cs="Times New Roman"/>
          <w:b/>
          <w:bCs/>
          <w:smallCaps w:val="0"/>
          <w:color w:val="auto"/>
          <w:sz w:val="22"/>
          <w:szCs w:val="22"/>
          <w:lang w:val="en-GB"/>
        </w:rPr>
      </w:pPr>
      <w:bookmarkStart w:id="139" w:name="_Toc89351171"/>
      <w:r w:rsidRPr="00416FBA">
        <w:rPr>
          <w:rFonts w:ascii="Times New Roman" w:hAnsi="Times New Roman" w:cs="Times New Roman"/>
          <w:b/>
          <w:bCs/>
          <w:smallCaps w:val="0"/>
          <w:color w:val="auto"/>
          <w:sz w:val="22"/>
          <w:szCs w:val="22"/>
          <w:lang w:val="en-GB"/>
        </w:rPr>
        <w:lastRenderedPageBreak/>
        <w:t xml:space="preserve">Consistency of </w:t>
      </w:r>
      <w:bookmarkEnd w:id="138"/>
      <w:r w:rsidR="009D0E81">
        <w:rPr>
          <w:rFonts w:ascii="Times New Roman" w:hAnsi="Times New Roman" w:cs="Times New Roman"/>
          <w:b/>
          <w:bCs/>
          <w:smallCaps w:val="0"/>
          <w:color w:val="auto"/>
          <w:sz w:val="22"/>
          <w:szCs w:val="22"/>
          <w:lang w:val="en-GB"/>
        </w:rPr>
        <w:t>the effect</w:t>
      </w:r>
      <w:bookmarkEnd w:id="139"/>
    </w:p>
    <w:p w14:paraId="02F134C0" w14:textId="5901B134" w:rsidR="00C129B1" w:rsidRPr="00416FBA" w:rsidRDefault="00A35209" w:rsidP="00416FBA">
      <w:pPr>
        <w:spacing w:before="120"/>
        <w:ind w:left="993"/>
        <w:jc w:val="left"/>
        <w:rPr>
          <w:rFonts w:ascii="Times New Roman" w:hAnsi="Times New Roman" w:cs="Times New Roman"/>
          <w:i/>
          <w:iCs/>
          <w:lang w:val="en-GB"/>
        </w:rPr>
      </w:pPr>
      <w:r w:rsidRPr="00416FBA">
        <w:rPr>
          <w:rFonts w:ascii="Times New Roman" w:hAnsi="Times New Roman" w:cs="Times New Roman"/>
          <w:i/>
          <w:iCs/>
          <w:lang w:val="en-GB"/>
        </w:rPr>
        <w:t xml:space="preserve">How effective is bimekizumab compared to </w:t>
      </w:r>
      <w:r w:rsidR="00416FBA">
        <w:rPr>
          <w:rFonts w:ascii="Times New Roman" w:hAnsi="Times New Roman" w:cs="Times New Roman"/>
          <w:i/>
          <w:iCs/>
          <w:lang w:val="en-GB"/>
        </w:rPr>
        <w:t>the other drugs,</w:t>
      </w:r>
      <w:r w:rsidRPr="00416FBA">
        <w:rPr>
          <w:rFonts w:ascii="Times New Roman" w:hAnsi="Times New Roman" w:cs="Times New Roman"/>
          <w:i/>
          <w:iCs/>
          <w:lang w:val="en-GB"/>
        </w:rPr>
        <w:t xml:space="preserve"> taking into account the development of psoriatic arthritis (as it is the most prevalent comorbidity)</w:t>
      </w:r>
      <w:r w:rsidR="00416FBA">
        <w:rPr>
          <w:rFonts w:ascii="Times New Roman" w:hAnsi="Times New Roman" w:cs="Times New Roman"/>
          <w:i/>
          <w:iCs/>
          <w:lang w:val="en-GB"/>
        </w:rPr>
        <w:t xml:space="preserve"> and</w:t>
      </w:r>
      <w:r w:rsidRPr="00416FBA">
        <w:rPr>
          <w:rFonts w:ascii="Times New Roman" w:hAnsi="Times New Roman" w:cs="Times New Roman"/>
          <w:i/>
          <w:iCs/>
          <w:lang w:val="en-GB"/>
        </w:rPr>
        <w:t xml:space="preserve"> psoriasis in special locations (such as the scalp, hands and feet </w:t>
      </w:r>
      <w:r w:rsidR="00416FBA">
        <w:rPr>
          <w:rFonts w:ascii="Times New Roman" w:hAnsi="Times New Roman" w:cs="Times New Roman"/>
          <w:i/>
          <w:iCs/>
          <w:lang w:val="en-GB"/>
        </w:rPr>
        <w:t>[</w:t>
      </w:r>
      <w:r w:rsidRPr="00416FBA">
        <w:rPr>
          <w:rFonts w:ascii="Times New Roman" w:hAnsi="Times New Roman" w:cs="Times New Roman"/>
          <w:i/>
          <w:iCs/>
          <w:lang w:val="en-GB"/>
        </w:rPr>
        <w:t>palmoplantar</w:t>
      </w:r>
      <w:r w:rsidR="00416FBA">
        <w:rPr>
          <w:rFonts w:ascii="Times New Roman" w:hAnsi="Times New Roman" w:cs="Times New Roman"/>
          <w:i/>
          <w:iCs/>
          <w:lang w:val="en-GB"/>
        </w:rPr>
        <w:t>]</w:t>
      </w:r>
      <w:r w:rsidRPr="00416FBA">
        <w:rPr>
          <w:rFonts w:ascii="Times New Roman" w:hAnsi="Times New Roman" w:cs="Times New Roman"/>
          <w:i/>
          <w:iCs/>
          <w:lang w:val="en-GB"/>
        </w:rPr>
        <w:t>?</w:t>
      </w:r>
    </w:p>
    <w:p w14:paraId="7A81665D" w14:textId="030BB909" w:rsidR="00A35209" w:rsidRPr="00416FBA" w:rsidRDefault="00A35209" w:rsidP="00A35209">
      <w:pPr>
        <w:pStyle w:val="TITULOTABLASYFIGURAS"/>
        <w:spacing w:before="120"/>
        <w:ind w:left="709"/>
        <w:rPr>
          <w:rFonts w:ascii="Times New Roman" w:hAnsi="Times New Roman" w:cs="Times New Roman"/>
          <w:b/>
          <w:bCs/>
          <w:smallCaps w:val="0"/>
          <w:color w:val="auto"/>
          <w:sz w:val="22"/>
          <w:szCs w:val="56"/>
          <w:lang w:val="en-GB"/>
        </w:rPr>
      </w:pPr>
      <w:bookmarkStart w:id="140" w:name="_Toc89078657"/>
      <w:r w:rsidRPr="00416FBA">
        <w:rPr>
          <w:rFonts w:ascii="Times New Roman" w:hAnsi="Times New Roman" w:cs="Times New Roman"/>
          <w:b/>
          <w:bCs/>
          <w:smallCaps w:val="0"/>
          <w:color w:val="auto"/>
          <w:sz w:val="22"/>
          <w:szCs w:val="56"/>
          <w:lang w:val="en-GB"/>
        </w:rPr>
        <w:t xml:space="preserve">Table </w:t>
      </w:r>
      <w:r w:rsidR="00416FBA" w:rsidRPr="00416FBA">
        <w:rPr>
          <w:rFonts w:ascii="Times New Roman" w:hAnsi="Times New Roman" w:cs="Times New Roman"/>
          <w:b/>
          <w:bCs/>
          <w:smallCaps w:val="0"/>
          <w:color w:val="auto"/>
          <w:sz w:val="22"/>
          <w:szCs w:val="56"/>
          <w:lang w:val="en-GB"/>
        </w:rPr>
        <w:t>(S1).</w:t>
      </w:r>
      <w:r w:rsidRPr="00416FBA">
        <w:rPr>
          <w:rFonts w:ascii="Times New Roman" w:hAnsi="Times New Roman" w:cs="Times New Roman"/>
          <w:b/>
          <w:bCs/>
          <w:smallCaps w:val="0"/>
          <w:color w:val="auto"/>
          <w:sz w:val="22"/>
          <w:szCs w:val="56"/>
          <w:lang w:val="en-GB"/>
        </w:rPr>
        <w:fldChar w:fldCharType="begin"/>
      </w:r>
      <w:r w:rsidRPr="00416FBA">
        <w:rPr>
          <w:rFonts w:ascii="Times New Roman" w:hAnsi="Times New Roman" w:cs="Times New Roman"/>
          <w:b/>
          <w:bCs/>
          <w:smallCaps w:val="0"/>
          <w:color w:val="auto"/>
          <w:sz w:val="22"/>
          <w:szCs w:val="56"/>
          <w:lang w:val="en-GB"/>
        </w:rPr>
        <w:instrText xml:space="preserve"> SEQ Tabla \* ARABIC </w:instrText>
      </w:r>
      <w:r w:rsidRPr="00416FBA">
        <w:rPr>
          <w:rFonts w:ascii="Times New Roman" w:hAnsi="Times New Roman" w:cs="Times New Roman"/>
          <w:b/>
          <w:bCs/>
          <w:smallCaps w:val="0"/>
          <w:color w:val="auto"/>
          <w:sz w:val="22"/>
          <w:szCs w:val="56"/>
          <w:lang w:val="en-GB"/>
        </w:rPr>
        <w:fldChar w:fldCharType="separate"/>
      </w:r>
      <w:r w:rsidR="00416FBA" w:rsidRPr="00416FBA">
        <w:rPr>
          <w:rFonts w:ascii="Times New Roman" w:hAnsi="Times New Roman" w:cs="Times New Roman"/>
          <w:b/>
          <w:bCs/>
          <w:smallCaps w:val="0"/>
          <w:noProof/>
          <w:color w:val="auto"/>
          <w:sz w:val="22"/>
          <w:szCs w:val="56"/>
          <w:lang w:val="en-GB"/>
        </w:rPr>
        <w:t>11</w:t>
      </w:r>
      <w:r w:rsidRPr="00416FBA">
        <w:rPr>
          <w:rFonts w:ascii="Times New Roman" w:hAnsi="Times New Roman" w:cs="Times New Roman"/>
          <w:b/>
          <w:bCs/>
          <w:smallCaps w:val="0"/>
          <w:color w:val="auto"/>
          <w:sz w:val="22"/>
          <w:szCs w:val="56"/>
          <w:lang w:val="en-GB"/>
        </w:rPr>
        <w:fldChar w:fldCharType="end"/>
      </w:r>
      <w:r w:rsidRPr="00416FBA">
        <w:rPr>
          <w:rFonts w:ascii="Times New Roman" w:hAnsi="Times New Roman" w:cs="Times New Roman"/>
          <w:b/>
          <w:bCs/>
          <w:smallCaps w:val="0"/>
          <w:color w:val="auto"/>
          <w:sz w:val="22"/>
          <w:szCs w:val="56"/>
          <w:lang w:val="en-GB"/>
        </w:rPr>
        <w:t xml:space="preserve">: Consistency of </w:t>
      </w:r>
      <w:r w:rsidR="009D0E81">
        <w:rPr>
          <w:rFonts w:ascii="Times New Roman" w:hAnsi="Times New Roman" w:cs="Times New Roman"/>
          <w:b/>
          <w:bCs/>
          <w:smallCaps w:val="0"/>
          <w:color w:val="auto"/>
          <w:sz w:val="22"/>
          <w:szCs w:val="56"/>
          <w:lang w:val="en-GB"/>
        </w:rPr>
        <w:t>the effect</w:t>
      </w:r>
      <w:r w:rsidRPr="00416FBA">
        <w:rPr>
          <w:rFonts w:ascii="Times New Roman" w:hAnsi="Times New Roman" w:cs="Times New Roman"/>
          <w:b/>
          <w:bCs/>
          <w:smallCaps w:val="0"/>
          <w:color w:val="auto"/>
          <w:sz w:val="22"/>
          <w:szCs w:val="56"/>
          <w:lang w:val="en-GB"/>
        </w:rPr>
        <w:t xml:space="preserve"> in patients with psoriasis and psoriatic arthritis,</w:t>
      </w:r>
      <w:r w:rsidR="00416FBA">
        <w:rPr>
          <w:rFonts w:ascii="Times New Roman" w:hAnsi="Times New Roman" w:cs="Times New Roman"/>
          <w:b/>
          <w:bCs/>
          <w:smallCaps w:val="0"/>
          <w:color w:val="auto"/>
          <w:sz w:val="22"/>
          <w:szCs w:val="56"/>
          <w:lang w:val="en-GB"/>
        </w:rPr>
        <w:t xml:space="preserve"> </w:t>
      </w:r>
      <w:r w:rsidRPr="00416FBA">
        <w:rPr>
          <w:rFonts w:ascii="Times New Roman" w:hAnsi="Times New Roman" w:cs="Times New Roman"/>
          <w:b/>
          <w:bCs/>
          <w:smallCaps w:val="0"/>
          <w:color w:val="auto"/>
          <w:sz w:val="22"/>
          <w:szCs w:val="56"/>
          <w:lang w:val="en-GB"/>
        </w:rPr>
        <w:t>% of patients, weeks 12-24</w:t>
      </w:r>
      <w:bookmarkEnd w:id="140"/>
      <w:r w:rsidRPr="00416FBA">
        <w:rPr>
          <w:rFonts w:ascii="Times New Roman" w:hAnsi="Times New Roman" w:cs="Times New Roman"/>
          <w:b/>
          <w:bCs/>
          <w:smallCaps w:val="0"/>
          <w:color w:val="auto"/>
          <w:sz w:val="22"/>
          <w:szCs w:val="56"/>
          <w:lang w:val="en-GB"/>
        </w:rPr>
        <w:t xml:space="preserve"> </w:t>
      </w:r>
    </w:p>
    <w:tbl>
      <w:tblPr>
        <w:tblStyle w:val="Tabladelista3"/>
        <w:tblW w:w="15808" w:type="dxa"/>
        <w:tblInd w:w="271" w:type="dxa"/>
        <w:tblLook w:val="00A0" w:firstRow="1" w:lastRow="0" w:firstColumn="1" w:lastColumn="0" w:noHBand="0" w:noVBand="0"/>
      </w:tblPr>
      <w:tblGrid>
        <w:gridCol w:w="2404"/>
        <w:gridCol w:w="1097"/>
        <w:gridCol w:w="1097"/>
        <w:gridCol w:w="1098"/>
        <w:gridCol w:w="1097"/>
        <w:gridCol w:w="1097"/>
        <w:gridCol w:w="1334"/>
        <w:gridCol w:w="1097"/>
        <w:gridCol w:w="1097"/>
        <w:gridCol w:w="1098"/>
        <w:gridCol w:w="1097"/>
        <w:gridCol w:w="1097"/>
        <w:gridCol w:w="1098"/>
      </w:tblGrid>
      <w:tr w:rsidR="009D0E81" w:rsidRPr="007B4152" w14:paraId="43C25903" w14:textId="77777777" w:rsidTr="002813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4" w:type="dxa"/>
            <w:tcMar>
              <w:top w:w="28" w:type="dxa"/>
              <w:bottom w:w="28" w:type="dxa"/>
            </w:tcMar>
            <w:vAlign w:val="center"/>
          </w:tcPr>
          <w:p w14:paraId="5140FBF7" w14:textId="77777777" w:rsidR="00A35209" w:rsidRPr="00416FBA" w:rsidRDefault="00A35209" w:rsidP="00D06CBB">
            <w:pPr>
              <w:spacing w:before="0" w:after="0" w:line="240" w:lineRule="auto"/>
              <w:jc w:val="left"/>
              <w:rPr>
                <w:rFonts w:ascii="Times New Roman" w:hAnsi="Times New Roman" w:cs="Times New Roman"/>
                <w:color w:val="auto"/>
                <w:sz w:val="20"/>
                <w:szCs w:val="20"/>
                <w:lang w:val="en-GB"/>
              </w:rPr>
            </w:pPr>
            <w:r w:rsidRPr="00416FBA">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94" w:type="dxa"/>
            <w:gridSpan w:val="2"/>
            <w:tcBorders>
              <w:bottom w:val="single" w:sz="12" w:space="0" w:color="auto"/>
            </w:tcBorders>
            <w:tcMar>
              <w:top w:w="28" w:type="dxa"/>
              <w:bottom w:w="28" w:type="dxa"/>
            </w:tcMar>
            <w:vAlign w:val="center"/>
          </w:tcPr>
          <w:p w14:paraId="450F1F27" w14:textId="1CB5E8C2" w:rsidR="00A35209" w:rsidRPr="00416FBA" w:rsidRDefault="00A35209" w:rsidP="00D06CBB">
            <w:pPr>
              <w:spacing w:before="0" w:after="0" w:line="240" w:lineRule="auto"/>
              <w:jc w:val="center"/>
              <w:rPr>
                <w:rFonts w:ascii="Times New Roman" w:hAnsi="Times New Roman" w:cs="Times New Roman"/>
                <w:color w:val="auto"/>
                <w:sz w:val="20"/>
                <w:szCs w:val="20"/>
                <w:highlight w:val="yellow"/>
                <w:lang w:val="en-GB"/>
              </w:rPr>
            </w:pPr>
            <w:r w:rsidRPr="00416FBA">
              <w:rPr>
                <w:rFonts w:ascii="Times New Roman" w:hAnsi="Times New Roman" w:cs="Times New Roman"/>
                <w:color w:val="auto"/>
                <w:sz w:val="20"/>
                <w:szCs w:val="20"/>
                <w:lang w:val="en-GB"/>
              </w:rPr>
              <w:t>Ritchlin (2020)</w:t>
            </w:r>
            <w:r w:rsidRPr="00416FBA">
              <w:rPr>
                <w:rFonts w:ascii="Times New Roman" w:hAnsi="Times New Roman" w:cs="Times New Roman"/>
                <w:sz w:val="20"/>
                <w:szCs w:val="20"/>
                <w:lang w:val="en-GB"/>
              </w:rPr>
              <w:fldChar w:fldCharType="begin"/>
            </w:r>
            <w:r w:rsidR="00BC3B9D" w:rsidRPr="00416FBA">
              <w:rPr>
                <w:rFonts w:ascii="Times New Roman" w:hAnsi="Times New Roman" w:cs="Times New Roman"/>
                <w:color w:val="auto"/>
                <w:sz w:val="20"/>
                <w:szCs w:val="20"/>
                <w:lang w:val="en-GB"/>
              </w:rPr>
              <w:instrText xml:space="preserve"> ADDIN ZOTERO_ITEM CSL_CITATION {"citationID":"oQ6dJBWl","properties":{"formattedCitation":"\\super 47\\nosupersub{}","plainCitation":"47","noteIndex":0},"citationItems":[{"id":"nkw1F4RA/NDQcNidu","uris":["http://zotero.org/groups/337550/items/V9ZF5YXU"],"uri":["http://zotero.org/groups/337550/items/V9ZF5YXU"],"itemData":{"id":59317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47</w:t>
            </w:r>
            <w:r w:rsidRPr="00416FBA">
              <w:rPr>
                <w:rFonts w:ascii="Times New Roman" w:hAnsi="Times New Roman" w:cs="Times New Roman"/>
                <w:sz w:val="20"/>
                <w:szCs w:val="20"/>
                <w:lang w:val="en-GB"/>
              </w:rPr>
              <w:fldChar w:fldCharType="end"/>
            </w:r>
          </w:p>
        </w:tc>
        <w:tc>
          <w:tcPr>
            <w:tcW w:w="2195" w:type="dxa"/>
            <w:gridSpan w:val="2"/>
            <w:tcBorders>
              <w:bottom w:val="single" w:sz="12" w:space="0" w:color="auto"/>
            </w:tcBorders>
            <w:tcMar>
              <w:top w:w="28" w:type="dxa"/>
              <w:bottom w:w="28" w:type="dxa"/>
            </w:tcMar>
            <w:vAlign w:val="center"/>
          </w:tcPr>
          <w:p w14:paraId="702AEEA3" w14:textId="78392B7C" w:rsidR="00A35209" w:rsidRPr="00416FBA" w:rsidRDefault="00A35209"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highlight w:val="yellow"/>
                <w:lang w:val="en-GB"/>
              </w:rPr>
            </w:pPr>
            <w:r w:rsidRPr="00416FBA">
              <w:rPr>
                <w:rFonts w:ascii="Times New Roman" w:hAnsi="Times New Roman" w:cs="Times New Roman"/>
                <w:color w:val="auto"/>
                <w:sz w:val="20"/>
                <w:szCs w:val="20"/>
                <w:lang w:val="en-GB"/>
              </w:rPr>
              <w:t>Ritchlin (2020)</w:t>
            </w:r>
            <w:r w:rsidRPr="00416FBA">
              <w:rPr>
                <w:rFonts w:ascii="Times New Roman" w:hAnsi="Times New Roman" w:cs="Times New Roman"/>
                <w:sz w:val="20"/>
                <w:szCs w:val="20"/>
                <w:lang w:val="en-GB"/>
              </w:rPr>
              <w:fldChar w:fldCharType="begin"/>
            </w:r>
            <w:r w:rsidR="00BC3B9D" w:rsidRPr="00416FBA">
              <w:rPr>
                <w:rFonts w:ascii="Times New Roman" w:hAnsi="Times New Roman" w:cs="Times New Roman"/>
                <w:color w:val="auto"/>
                <w:sz w:val="20"/>
                <w:szCs w:val="20"/>
                <w:lang w:val="en-GB"/>
              </w:rPr>
              <w:instrText xml:space="preserve"> ADDIN ZOTERO_ITEM CSL_CITATION {"citationID":"jrzIcb5v","properties":{"formattedCitation":"\\super 47\\nosupersub{}","plainCitation":"47","noteIndex":0},"citationItems":[{"id":"nkw1F4RA/NDQcNidu","uris":["http://zotero.org/groups/337550/items/V9ZF5YXU"],"uri":["http://zotero.org/groups/337550/items/V9ZF5YXU"],"itemData":{"id":59317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47</w:t>
            </w:r>
            <w:r w:rsidRPr="00416FBA">
              <w:rPr>
                <w:rFonts w:ascii="Times New Roman" w:hAnsi="Times New Roman" w:cs="Times New Roman"/>
                <w:sz w:val="20"/>
                <w:szCs w:val="20"/>
                <w:lang w:val="en-GB"/>
              </w:rPr>
              <w:fldChar w:fldCharType="end"/>
            </w:r>
            <w:r w:rsidRPr="00416FBA">
              <w:rPr>
                <w:rFonts w:ascii="Times New Roman" w:hAnsi="Times New Roman" w:cs="Times New Roman"/>
                <w:color w:val="auto"/>
                <w:sz w:val="20"/>
                <w:szCs w:val="20"/>
                <w:lang w:val="en-GB"/>
              </w:rPr>
              <w:t xml:space="preserve"> and Mease (2005)</w:t>
            </w:r>
            <w:r w:rsidRPr="00416FBA">
              <w:rPr>
                <w:rFonts w:ascii="Times New Roman" w:hAnsi="Times New Roman" w:cs="Times New Roman"/>
                <w:sz w:val="20"/>
                <w:szCs w:val="20"/>
                <w:lang w:val="en-GB"/>
              </w:rPr>
              <w:fldChar w:fldCharType="begin"/>
            </w:r>
            <w:r w:rsidR="007A0A45" w:rsidRPr="00416FBA">
              <w:rPr>
                <w:rFonts w:ascii="Times New Roman" w:hAnsi="Times New Roman" w:cs="Times New Roman"/>
                <w:color w:val="auto"/>
                <w:sz w:val="20"/>
                <w:szCs w:val="20"/>
                <w:lang w:val="en-GB"/>
              </w:rPr>
              <w:instrText xml:space="preserve"> ADDIN ZOTERO_ITEM CSL_CITATION {"citationID":"IDVfOmNb","properties":{"formattedCitation":"\\super 48\\nosupersub{}","plainCitation":"48","noteIndex":0},"citationItems":[{"id":57201,"uris":["http://zotero.org/groups/337550/items/4HBP739L"],"uri":["http://zotero.org/groups/337550/items/4HBP739L"],"itemData":{"id":57201,"type":"article-journal","abstract":"OBJECTIVE: Adalimumab, a fully human, anti-tumor necrosis factor monoclonal antibody, was evaluated for its safety and efficacy compared with placebo in the treatment of active psoriatic arthritis (PsA).\nMETHODS: Patients with moderately to severely active PsA and a history of inadequate response to nonsteroidal antiinflammatory drugs were randomized to receive 40 mg adalimumab or placebo subcutaneously every other week for 24 weeks. Study visits were at baseline, weeks 2 and 4, and every 4 weeks thereafter. The primary efficacy end points were the American College of Rheumatology 20% improvement (ACR20) response at week 12 and the change in the modified total Sharp score of structural damage at week 24. Secondary end points were measures of joint disease, disability, and quality of life in all patients, as well as the severity of skin disease in those patients with psoriasis involving at least 3% of body surface area.\nRESULTS: At week 12, 58% of the adalimumab-treated patients (87 of 151) achieved an ACR20 response, compared with 14% of the placebo-treated patients (23 of 162) (P &lt; 0.001). At week 24, similar ACR20 response rates were maintained and the mean change in the modified total Sharp score was -0.2 in patients receiving adalimumab and 1.0 in those receiving placebo (P &lt; 0.001). Among the 69 adalimumab-treated patients evaluated with the Psoriasis Area and Severity Index (PASI), 59% achieved a 75% PASI improvement response at 24 weeks, compared with 1% of the 69 placebo-treated patients evaluated (P &lt; 0.001). Disability and quality of life measures were also significantly improved with adalimumab treatment compared with placebo. Adalimumab was generally safe and well-tolerated.\nCONCLUSION: Adalimumab significantly improved joint and skin manifestations, inhibited structural changes on radiographs, lessened disability due to joint damage, and improved quality of life in patients with moderately to severely active PsA.","container-title":"Arthritis and Rheumatism","DOI":"10.1002/art.21306","ISSN":"0004-3591","issue":"10","journalAbbreviation":"Arthritis Rheum","language":"eng","note":"PMID: 16200601","page":"3279-3289","source":"PubMed","title":"Adalimumab for the treatment of patients with moderately to severely active psoriatic arthritis: results of a double-blind, randomized, placebo-controlled trial","title-short":"Adalimumab for the treatment of patients with moderately to severely active psoriatic arthritis","volume":"52","author":[{"family":"Mease","given":"Philip J."},{"family":"Gladman","given":"Dafna D."},{"family":"Ritchlin","given":"Christopher T."},{"family":"Ruderman","given":"Eric M."},{"family":"Steinfeld","given":"Serge D."},{"family":"Choy","given":"Ernest H. S."},{"family":"Sharp","given":"John T."},{"family":"Ory","given":"Peter A."},{"family":"Perdok","given":"Renee J."},{"family":"Weinberg","given":"Mark A."},{"literal":"Adalimumab Effectiveness in Psoriatic Arthritis Trial Study Group"}],"issued":{"date-parts":[["2005"]]}}}],"schema":"https://github.com/citation-style-language/schema/raw/master/csl-citation.json"}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48</w:t>
            </w:r>
            <w:r w:rsidRPr="00416FBA">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431" w:type="dxa"/>
            <w:gridSpan w:val="2"/>
            <w:tcBorders>
              <w:bottom w:val="single" w:sz="12" w:space="0" w:color="auto"/>
            </w:tcBorders>
            <w:tcMar>
              <w:top w:w="28" w:type="dxa"/>
              <w:bottom w:w="28" w:type="dxa"/>
            </w:tcMar>
            <w:vAlign w:val="center"/>
          </w:tcPr>
          <w:p w14:paraId="3A11CA64" w14:textId="44E673E5" w:rsidR="00A35209" w:rsidRPr="00416FBA" w:rsidRDefault="00A35209" w:rsidP="00D06CBB">
            <w:pPr>
              <w:spacing w:before="0" w:after="0" w:line="240" w:lineRule="auto"/>
              <w:jc w:val="center"/>
              <w:rPr>
                <w:rFonts w:ascii="Times New Roman" w:hAnsi="Times New Roman" w:cs="Times New Roman"/>
                <w:color w:val="auto"/>
                <w:sz w:val="20"/>
                <w:szCs w:val="20"/>
                <w:highlight w:val="yellow"/>
                <w:lang w:val="en-GB"/>
              </w:rPr>
            </w:pPr>
            <w:r w:rsidRPr="00416FBA">
              <w:rPr>
                <w:rFonts w:ascii="Times New Roman" w:hAnsi="Times New Roman" w:cs="Times New Roman"/>
                <w:color w:val="auto"/>
                <w:sz w:val="20"/>
                <w:szCs w:val="20"/>
                <w:lang w:val="en-GB"/>
              </w:rPr>
              <w:t>Ritchlin (2020)</w:t>
            </w:r>
            <w:r w:rsidRPr="00416FBA">
              <w:rPr>
                <w:rFonts w:ascii="Times New Roman" w:hAnsi="Times New Roman" w:cs="Times New Roman"/>
                <w:sz w:val="20"/>
                <w:szCs w:val="20"/>
                <w:lang w:val="en-GB"/>
              </w:rPr>
              <w:fldChar w:fldCharType="begin"/>
            </w:r>
            <w:r w:rsidR="00BC3B9D" w:rsidRPr="00416FBA">
              <w:rPr>
                <w:rFonts w:ascii="Times New Roman" w:hAnsi="Times New Roman" w:cs="Times New Roman"/>
                <w:color w:val="auto"/>
                <w:sz w:val="20"/>
                <w:szCs w:val="20"/>
                <w:lang w:val="en-GB"/>
              </w:rPr>
              <w:instrText xml:space="preserve"> ADDIN ZOTERO_ITEM CSL_CITATION {"citationID":"GPONdJ5v","properties":{"formattedCitation":"\\super 47\\nosupersub{}","plainCitation":"47","noteIndex":0},"citationItems":[{"id":"nkw1F4RA/NDQcNidu","uris":["http://zotero.org/groups/337550/items/V9ZF5YXU"],"uri":["http://zotero.org/groups/337550/items/V9ZF5YXU"],"itemData":{"id":59317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47</w:t>
            </w:r>
            <w:r w:rsidRPr="00416FBA">
              <w:rPr>
                <w:rFonts w:ascii="Times New Roman" w:hAnsi="Times New Roman" w:cs="Times New Roman"/>
                <w:sz w:val="20"/>
                <w:szCs w:val="20"/>
                <w:lang w:val="en-GB"/>
              </w:rPr>
              <w:fldChar w:fldCharType="end"/>
            </w:r>
            <w:r w:rsidRPr="00416FBA">
              <w:rPr>
                <w:rFonts w:ascii="Times New Roman" w:hAnsi="Times New Roman" w:cs="Times New Roman"/>
                <w:color w:val="auto"/>
                <w:sz w:val="20"/>
                <w:szCs w:val="20"/>
                <w:lang w:val="en-GB"/>
              </w:rPr>
              <w:t xml:space="preserve"> and McInnes (2013)</w:t>
            </w:r>
            <w:r w:rsidRPr="00416FBA">
              <w:rPr>
                <w:rFonts w:ascii="Times New Roman" w:hAnsi="Times New Roman" w:cs="Times New Roman"/>
                <w:sz w:val="20"/>
                <w:szCs w:val="20"/>
                <w:lang w:val="en-GB"/>
              </w:rPr>
              <w:fldChar w:fldCharType="begin"/>
            </w:r>
            <w:r w:rsidR="007A0A45" w:rsidRPr="00416FBA">
              <w:rPr>
                <w:rFonts w:ascii="Times New Roman" w:hAnsi="Times New Roman" w:cs="Times New Roman"/>
                <w:color w:val="auto"/>
                <w:sz w:val="20"/>
                <w:szCs w:val="20"/>
                <w:lang w:val="en-GB"/>
              </w:rPr>
              <w:instrText xml:space="preserve"> ADDIN ZOTERO_ITEM CSL_CITATION {"citationID":"iEkoUJHu","properties":{"formattedCitation":"\\super 49\\nosupersub{}","plainCitation":"49","noteIndex":0},"citationItems":[{"id":57213,"uris":["http://zotero.org/groups/337550/items/VFL9XPYY"],"uri":["http://zotero.org/groups/337550/items/VFL9XPYY"],"itemData":{"id":57213,"type":"article-journal","abstract":"BACKGROUND: Many patients with psoriasis develop psoriatic arthritis, a chronic inflammatory disease that afflicts peripheral synovial, axial, and entheseal structures. The fully human monoclonal antibody ustekinumab is an efficacious treatment for moderate-to-severe plaque psoriasis. We did a randomised, placebo-controlled, phase 3 trial to assess the safety and efficacy of ustekinumab in patients with active psoriatic arthritis.\nMETHODS: In this phase 3, multicentre, double-blind, placebo-controlled trial at 104 sites in Europe, North America, and Asia-Pacific, adults with active psoriatic arthritis (≥5 tender and ≥5 swollen joints, C-reactive protein ≥3·0 mg/L) were randomly assigned (1:1:1, by dynamic central randomisation based on an algorithm implemented by an interactive voice-web response system) to 45 mg ustekinumab, 90 mg ustekinumab, or placebo at week 0, week 4, and every 12 weeks thereafter. At week 16, patients with less than 5% improvement in both tender and swollen joint counts entered masked early-escape and were given 45 mg ustekinumab (if in the placebo group) or 90 mg ustekinumab (if in the 45 mg group). At week 24, all remaining patients in the placebo group received ustekinumab 45 mg, which they continued at week 28 and every 12 weeks thereafter. Our primary endpoint was 20% or greater improvement in American College of Rheumatology (ACR20) criteria at week 24. This trial is registered with ClinicalTrials.gov (NCT01009086) and EudraCT (2009-012264-14).\nFINDINGS: Between Nov 30, 2009, and March 30, 2011, 615 patients were randomly assigned-206 to placebo, 205 to 45 mg ustekinumab, and 204 to 90 mg ustekinumab. More ustekinumab-treated (87 of 205 [42·4%] in the 45 mg group and 101 of 204 [49·5%] in the 90 mg group) than placebo-treated (47 of 206 [22·8%]) patients achieved ACR20 at week 24 (p&lt;0·0001 for both comparisons); responses were maintained at week 52. At week 16, proportions of patients with adverse events were similar in the ustekinumab and placebo groups (171 of 409 [41·8%] vs 86 of 205 [42·0%]).\nINTERPRETATION: Ustekinumab significantly improved active psoriatic arthritis compared with placebo, and might offer an alternative therapeutic mechanism of action to approved biological treatments.\nFUNDING: Janssen Research &amp; Development.","container-title":"Lancet (London, England)","DOI":"10.1016/S0140-6736(13)60594-2","ISSN":"1474-547X","issue":"9894","journalAbbreviation":"Lancet","language":"eng","note":"PMID: 23769296","page":"780-789","source":"PubMed","title":"Efficacy and safety of ustekinumab in patients with active psoriatic arthritis: 1 year results of the phase 3, multicentre, double-blind, placebo-controlled PSUMMIT 1 trial","title-short":"Efficacy and safety of ustekinumab in patients with active psoriatic arthritis","volume":"382","author":[{"family":"McInnes","given":"Iain B."},{"family":"Kavanaugh","given":"Arthur"},{"family":"Gottlieb","given":"Alice B."},{"family":"Puig","given":"Lluís"},{"family":"Rahman","given":"Proton"},{"family":"Ritchlin","given":"Christopher"},{"family":"Brodmerkel","given":"Carrie"},{"family":"Li","given":"Shu"},{"family":"Wang","given":"Yuhua"},{"family":"Mendelsohn","given":"Alan M."},{"family":"Doyle","given":"Mittie K."},{"literal":"PSUMMIT 1 Study Group"}],"issued":{"date-parts":[["2013"]]}}}],"schema":"https://github.com/citation-style-language/schema/raw/master/csl-citation.json"}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49</w:t>
            </w:r>
            <w:r w:rsidRPr="00416FBA">
              <w:rPr>
                <w:rFonts w:ascii="Times New Roman" w:hAnsi="Times New Roman" w:cs="Times New Roman"/>
                <w:sz w:val="20"/>
                <w:szCs w:val="20"/>
                <w:lang w:val="en-GB"/>
              </w:rPr>
              <w:fldChar w:fldCharType="end"/>
            </w:r>
          </w:p>
        </w:tc>
        <w:tc>
          <w:tcPr>
            <w:tcW w:w="2194" w:type="dxa"/>
            <w:gridSpan w:val="2"/>
            <w:tcBorders>
              <w:bottom w:val="single" w:sz="12" w:space="0" w:color="auto"/>
            </w:tcBorders>
            <w:tcMar>
              <w:top w:w="28" w:type="dxa"/>
              <w:bottom w:w="28" w:type="dxa"/>
            </w:tcMar>
            <w:vAlign w:val="center"/>
          </w:tcPr>
          <w:p w14:paraId="578E3CD0" w14:textId="113E40F7" w:rsidR="00A35209" w:rsidRPr="00356D86" w:rsidRDefault="00A35209"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highlight w:val="yellow"/>
                <w:lang w:val="en-GB"/>
              </w:rPr>
            </w:pPr>
            <w:r w:rsidRPr="00356D86">
              <w:rPr>
                <w:rFonts w:ascii="Times New Roman" w:hAnsi="Times New Roman" w:cs="Times New Roman"/>
                <w:color w:val="auto"/>
                <w:sz w:val="20"/>
                <w:szCs w:val="20"/>
                <w:lang w:val="en-GB"/>
              </w:rPr>
              <w:t>Ritchlin (2020)</w:t>
            </w:r>
            <w:r w:rsidRPr="00356D86">
              <w:rPr>
                <w:rFonts w:ascii="Times New Roman" w:hAnsi="Times New Roman" w:cs="Times New Roman"/>
                <w:sz w:val="20"/>
                <w:szCs w:val="20"/>
                <w:lang w:val="en-GB"/>
              </w:rPr>
              <w:fldChar w:fldCharType="begin"/>
            </w:r>
            <w:r w:rsidR="00BC3B9D" w:rsidRPr="00356D86">
              <w:rPr>
                <w:rFonts w:ascii="Times New Roman" w:hAnsi="Times New Roman" w:cs="Times New Roman"/>
                <w:color w:val="auto"/>
                <w:sz w:val="20"/>
                <w:szCs w:val="20"/>
                <w:lang w:val="en-GB"/>
              </w:rPr>
              <w:instrText xml:space="preserve"> ADDIN ZOTERO_ITEM CSL_CITATION {"citationID":"LTC97BYT","properties":{"formattedCitation":"\\super 47\\nosupersub{}","plainCitation":"47","noteIndex":0},"citationItems":[{"id":"nkw1F4RA/NDQcNidu","uris":["http://zotero.org/groups/337550/items/V9ZF5YXU"],"uri":["http://zotero.org/groups/337550/items/V9ZF5YXU"],"itemData":{"id":57087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356D86">
              <w:rPr>
                <w:rFonts w:ascii="Times New Roman" w:hAnsi="Times New Roman" w:cs="Times New Roman"/>
                <w:sz w:val="20"/>
                <w:szCs w:val="20"/>
                <w:lang w:val="en-GB"/>
              </w:rPr>
              <w:fldChar w:fldCharType="separate"/>
            </w:r>
            <w:r w:rsidR="007A0A45" w:rsidRPr="00356D86">
              <w:rPr>
                <w:rFonts w:ascii="Times New Roman" w:hAnsi="Times New Roman" w:cs="Times New Roman"/>
                <w:sz w:val="20"/>
                <w:szCs w:val="20"/>
                <w:vertAlign w:val="superscript"/>
              </w:rPr>
              <w:t>47</w:t>
            </w:r>
            <w:r w:rsidRPr="00356D86">
              <w:rPr>
                <w:rFonts w:ascii="Times New Roman" w:hAnsi="Times New Roman" w:cs="Times New Roman"/>
                <w:sz w:val="20"/>
                <w:szCs w:val="20"/>
                <w:lang w:val="en-GB"/>
              </w:rPr>
              <w:fldChar w:fldCharType="end"/>
            </w:r>
            <w:r w:rsidRPr="00356D86">
              <w:rPr>
                <w:rFonts w:ascii="Times New Roman" w:hAnsi="Times New Roman" w:cs="Times New Roman"/>
                <w:color w:val="auto"/>
                <w:sz w:val="20"/>
                <w:szCs w:val="20"/>
                <w:lang w:val="en-GB"/>
              </w:rPr>
              <w:t>, Mease (2018)</w:t>
            </w:r>
            <w:r w:rsidR="00356D86" w:rsidRPr="00356D86">
              <w:rPr>
                <w:rFonts w:ascii="Times New Roman" w:hAnsi="Times New Roman" w:cs="Times New Roman"/>
                <w:sz w:val="20"/>
                <w:szCs w:val="20"/>
              </w:rPr>
              <w:fldChar w:fldCharType="begin"/>
            </w:r>
            <w:r w:rsidR="00356D86" w:rsidRPr="00356D86">
              <w:rPr>
                <w:rFonts w:ascii="Times New Roman" w:hAnsi="Times New Roman" w:cs="Times New Roman"/>
                <w:color w:val="auto"/>
                <w:sz w:val="20"/>
                <w:szCs w:val="20"/>
              </w:rPr>
              <w:instrText xml:space="preserve"> ADDIN ZOTERO_ITEM CSL_CITATION {"citationID":"V3tAx1D4","properties":{"formattedCitation":"\\super 50\\nosupersub{}","plainCitation":"50","noteIndex":0},"citationItems":[{"id":57584,"uris":["http://zotero.org/groups/337550/items/WIJTYBIX"],"uri":["http://zotero.org/groups/337550/items/WIJTYBIX"],"itemData":{"id":57584,"type":"article-journal","abstract":"OBJECTIVES: To evaluate the effect of subcutaneous (s.c.) secukinumab, an interleukin-17A inhibitor, on clinical signs and symptoms and radiographic progression in patients with psoriatic arthritis (PsA).\nMETHODS: Adults (n=996) with active PsA were randomised 2:2:2:3 to s.c. secukinumab 300 mg or 150 mg with loading dose (LD), 150 mg without LD or placebo. All groups received secukinumab or placebo at baseline, weeks 1, 2 and 3 and then every 4 weeks from week 4. The primary endpoint was the proportion of patients achieving an American College of Rheumatology 20 (ACR20) response at week 16.\nRESULTS: Significantly more patients achieved an ACR20 response at week 16 with secukinumab 300 mg with LD (62.6%), 150 mg with LD (55.5%) or 150 mg without LD (59.5%) than placebo (27.4%) (p&lt;0.0001 for all; non-responder imputation). Radiographic progression, as measured by van der Heijde-modified total Sharp score, was significantly inhibited at week 24 in all secukinumab arms versus placebo (p&lt;0.01 for 300 mg with LD and 150 mg without LD and p&lt;0.05 for 150 mg with LD; linear extrapolation). Adverse event rates at week 24 were similar across treatment arms: 63.1% (300 mg with LD), 62.7% (150 mg with LD), 61.1% (150 mg without LD) and 62.0% (placebo). No deaths or new safety signals were reported.\nCONCLUSION: S.c. secukinumab 300 mg and 150 mg with and without LD significantly improved clinical signs and symptoms and inhibited radiographic structural progression versus placebo at week 24 in patients with PsA.\nTRIAL REGISTRATION NUMBER: NCT02404350; Results.","container-title":"Annals of the Rheumatic Diseases","DOI":"10.1136/annrheumdis-2017-212687","ISSN":"1468-2060","issue":"6","journalAbbreviation":"Ann Rheum Dis","language":"eng","note":"PMID: 29550766\nPMCID: PMC5965348","page":"890-897","source":"PubMed","title":"Secukinumab improves active psoriatic arthritis symptoms and inhibits radiographic progression: primary results from the randomised, double-blind, phase III FUTURE 5 study","title-short":"Secukinumab improves active psoriatic arthritis symptoms and inhibits radiographic progression","volume":"77","author":[{"family":"Mease","given":"Philip"},{"family":"Heijde","given":"Désirée","non-dropping-particle":"van der"},{"family":"Landewé","given":"Robert"},{"family":"Mpofu","given":"Shephard"},{"family":"Rahman","given":"Proton"},{"family":"Tahir","given":"Hasan"},{"family":"Singhal","given":"Atul"},{"family":"Boettcher","given":"Elke"},{"family":"Navarra","given":"Sandra"},{"family":"Meiser","given":"Karin"},{"family":"Readie","given":"Aimee"},{"family":"Pricop","given":"Luminita"},{"family":"Abrams","given":"Ken"}],"issued":{"date-parts":[["2018"]]}}}],"schema":"https://github.com/citation-style-language/schema/raw/master/csl-citation.json"} </w:instrText>
            </w:r>
            <w:r w:rsidR="00356D86" w:rsidRPr="00356D86">
              <w:rPr>
                <w:rFonts w:ascii="Times New Roman" w:hAnsi="Times New Roman" w:cs="Times New Roman"/>
                <w:sz w:val="20"/>
                <w:szCs w:val="20"/>
              </w:rPr>
              <w:fldChar w:fldCharType="separate"/>
            </w:r>
            <w:r w:rsidR="00356D86" w:rsidRPr="00356D86">
              <w:rPr>
                <w:rFonts w:ascii="Times New Roman" w:hAnsi="Times New Roman" w:cs="Times New Roman"/>
                <w:sz w:val="20"/>
                <w:szCs w:val="20"/>
                <w:vertAlign w:val="superscript"/>
              </w:rPr>
              <w:t>50</w:t>
            </w:r>
            <w:r w:rsidR="00356D86" w:rsidRPr="00356D86">
              <w:rPr>
                <w:rFonts w:ascii="Times New Roman" w:hAnsi="Times New Roman" w:cs="Times New Roman"/>
                <w:sz w:val="20"/>
                <w:szCs w:val="20"/>
              </w:rPr>
              <w:fldChar w:fldCharType="end"/>
            </w:r>
            <w:r w:rsidRPr="00356D86">
              <w:rPr>
                <w:rFonts w:ascii="Times New Roman" w:hAnsi="Times New Roman" w:cs="Times New Roman"/>
                <w:sz w:val="20"/>
                <w:szCs w:val="20"/>
                <w:lang w:val="en-GB"/>
              </w:rPr>
              <w:fldChar w:fldCharType="begin"/>
            </w:r>
            <w:r w:rsidR="00356D86" w:rsidRPr="00356D86">
              <w:rPr>
                <w:rFonts w:ascii="Times New Roman" w:hAnsi="Times New Roman" w:cs="Times New Roman"/>
                <w:color w:val="auto"/>
                <w:sz w:val="20"/>
                <w:szCs w:val="20"/>
                <w:lang w:val="en-GB"/>
              </w:rPr>
              <w:instrText xml:space="preserve"> ADDIN ZOTERO_ITEM CSL_CITATION {"citationID":"NE76UxSn","properties":{"formattedCitation":"\\super 50\\nosupersub{}","plainCitation":"50","dontUpdate":true,"noteIndex":0},"citationItems":[{"id":57584,"uris":["http://zotero.org/groups/337550/items/WIJTYBIX"],"uri":["http://zotero.org/groups/337550/items/WIJTYBIX"],"itemData":{"id":57584,"type":"article-journal","abstract":"OBJECTIVES: To evaluate the effect of subcutaneous (s.c.) secukinumab, an interleukin-17A inhibitor, on clinical signs and symptoms and radiographic progression in patients with psoriatic arthritis (PsA).\nMETHODS: Adults (n=996) with active PsA were randomised 2:2:2:3 to s.c. secukinumab 300 mg or 150 mg with loading dose (LD), 150 mg without LD or placebo. All groups received secukinumab or placebo at baseline, weeks 1, 2 and 3 and then every 4 weeks from week 4. The primary endpoint was the proportion of patients achieving an American College of Rheumatology 20 (ACR20) response at week 16.\nRESULTS: Significantly more patients achieved an ACR20 response at week 16 with secukinumab 300 mg with LD (62.6%), 150 mg with LD (55.5%) or 150 mg without LD (59.5%) than placebo (27.4%) (p&lt;0.0001 for all; non-responder imputation). Radiographic progression, as measured by van der Heijde-modified total Sharp score, was significantly inhibited at week 24 in all secukinumab arms versus placebo (p&lt;0.01 for 300 mg with LD and 150 mg without LD and p&lt;0.05 for 150 mg with LD; linear extrapolation). Adverse event rates at week 24 were similar across treatment arms: 63.1% (300 mg with LD), 62.7% (150 mg with LD), 61.1% (150 mg without LD) and 62.0% (placebo). No deaths or new safety signals were reported.\nCONCLUSION: S.c. secukinumab 300 mg and 150 mg with and without LD significantly improved clinical signs and symptoms and inhibited radiographic structural progression versus placebo at week 24 in patients with PsA.\nTRIAL REGISTRATION NUMBER: NCT02404350; Results.","container-title":"Annals of the Rheumatic Diseases","DOI":"10.1136/annrheumdis-2017-212687","ISSN":"1468-2060","issue":"6","journalAbbreviation":"Ann Rheum Dis","language":"eng","note":"PMID: 29550766\nPMCID: PMC5965348","page":"890-897","source":"PubMed","title":"Secukinumab improves active psoriatic arthritis symptoms and inhibits radiographic progression: primary results from the randomised, double-blind, phase III FUTURE 5 study","title-short":"Secukinumab improves active psoriatic arthritis symptoms and inhibits radiographic progression","volume":"77","author":[{"family":"Mease","given":"Philip"},{"family":"Heijde","given":"Désirée","non-dropping-particle":"van der"},{"family":"Landewé","given":"Robert"},{"family":"Mpofu","given":"Shephard"},{"family":"Rahman","given":"Proton"},{"family":"Tahir","given":"Hasan"},{"family":"Singhal","given":"Atul"},{"family":"Boettcher","given":"Elke"},{"family":"Navarra","given":"Sandra"},{"family":"Meiser","given":"Karin"},{"family":"Readie","given":"Aimee"},{"family":"Pricop","given":"Luminita"},{"family":"Abrams","given":"Ken"}],"issued":{"date-parts":[["2018"]]}}}],"schema":"https://github.com/citation-style-language/schema/raw/master/csl-citation.json"} </w:instrText>
            </w:r>
            <w:r w:rsidRPr="00356D86">
              <w:rPr>
                <w:rFonts w:ascii="Times New Roman" w:hAnsi="Times New Roman" w:cs="Times New Roman"/>
                <w:sz w:val="20"/>
                <w:szCs w:val="20"/>
                <w:lang w:val="en-GB"/>
              </w:rPr>
              <w:fldChar w:fldCharType="end"/>
            </w:r>
            <w:r w:rsidRPr="00356D86">
              <w:rPr>
                <w:rFonts w:ascii="Times New Roman" w:hAnsi="Times New Roman" w:cs="Times New Roman"/>
                <w:color w:val="auto"/>
                <w:sz w:val="20"/>
                <w:szCs w:val="20"/>
                <w:lang w:val="en-GB"/>
              </w:rPr>
              <w:t xml:space="preserve"> And Kivitz (2019)</w:t>
            </w:r>
            <w:r w:rsidRPr="00356D86">
              <w:rPr>
                <w:rFonts w:ascii="Times New Roman" w:hAnsi="Times New Roman" w:cs="Times New Roman"/>
                <w:sz w:val="20"/>
                <w:szCs w:val="20"/>
                <w:lang w:val="en-GB"/>
              </w:rPr>
              <w:fldChar w:fldCharType="begin"/>
            </w:r>
            <w:r w:rsidR="007A0A45" w:rsidRPr="00356D86">
              <w:rPr>
                <w:rFonts w:ascii="Times New Roman" w:hAnsi="Times New Roman" w:cs="Times New Roman"/>
                <w:color w:val="auto"/>
                <w:sz w:val="20"/>
                <w:szCs w:val="20"/>
                <w:lang w:val="en-GB"/>
              </w:rPr>
              <w:instrText xml:space="preserve"> ADDIN ZOTERO_ITEM CSL_CITATION {"citationID":"4hCFASg0","properties":{"formattedCitation":"\\super 51\\nosupersub{}","plainCitation":"51","noteIndex":0},"citationItems":[{"id":57587,"uris":["http://zotero.org/groups/337550/items/3U44K2M6"],"uri":["http://zotero.org/groups/337550/items/3U44K2M6"],"itemData":{"id":57587,"type":"article-journal","abstract":"INTRODUCTION: To assess the efficacy and safety of the subcutaneous (s.c.) secukinumab 150 mg with loading (150 mg) or without loading (150 mg no-load) regimen through 104 weeks in patients with active psoriatic arthritis (PsA) in the FUTURE 4 (NCT02294227) study.\nMETHODS: Patients with PsA (N = 341) were randomized to s.c. secukinumab 150 mg, 150 mg no-load or placebo at baseline, weeks 1, 2, 3 and every 4 weeks thereafter. All placebo patients were reassigned to secukinumab 150 mg no-load at either week 16 (non-responders) or week 24 (responders). The primary end point was ACR20 at week 16. Patients could have their dose escalated from 150 to 300 mg based on their physician's decision starting at week 36. Pre- and post-escalation ACR and PASI responses were also assessed.\nRESULTS: A total of 95.6% (326/341), 84.5% (288/341) and 79.8% (272/341) patients completed 16, 52 and 104 weeks of treatment, respectively. The primary end point was met; ACR20 response rate at week 16 was 41.2% and 39.8% with the 150 mg and 150 mg no-load groups, respectively, versus placebo (18.4%; adjusted P value = 0.0003 for both treatment arms). Efficacy responses observed at week 16 in both treatment regimens were sustained up to week 52 and 104, with many patients continuing to show improvements up to week 104. After dose escalation to 300 mg, the proportion of patients with non-/low-level ACR/PASI response decreased with increasing proportions of patients having higher ACR/PASI responses. No new or unexpected safety signals were reported.\nCONCLUSION: The secukinumab 150 mg or 150 mg no-load regimen demonstrated significant and sustained improvements in the signs and symptoms of psoriatic arthritis through 104 weeks; the loading regimen was associated with numerically higher and earlier responses for some high-hurdle end points. Improved efficacy was observed upon dose escalation from 150 to 300 mg. The safety profile was consistent with previous reports.\nTRIAL REGISTRATION: ClinicalTrials.gov identifier, NCT02294227.\nFUNDING: Novartis Pharma AG, Basel, Switzerland.","container-title":"Rheumatology and Therapy","DOI":"10.1007/s40744-019-0163-5","ISSN":"2198-6576","issue":"3","journalAbbreviation":"Rheumatol Ther","language":"eng","note":"PMID: 31228101\nPMCID: PMC6702584","page":"393-407","source":"PubMed","title":"Efficacy and Safety of Subcutaneous Secukinumab 150 mg with or Without Loading Regimen in Psoriatic Arthritis: Results from the FUTURE 4 Study","title-short":"Efficacy and Safety of Subcutaneous Secukinumab 150 mg with or Without Loading Regimen in Psoriatic Arthritis","volume":"6","author":[{"family":"Kivitz","given":"Alan J."},{"family":"Nash","given":"Peter"},{"family":"Tahir","given":"Hasan"},{"family":"Everding","given":"Andrea"},{"family":"Mann","given":"Heřman"},{"family":"Kaszuba","given":"Andrzej"},{"family":"Pellet","given":"Pascale"},{"family":"Widmer","given":"Albert"},{"family":"Pricop","given":"Luminita"},{"family":"Abrams","given":"Ken"}],"issued":{"date-parts":[["2019"]]}}}],"schema":"https://github.com/citation-style-language/schema/raw/master/csl-citation.json"} </w:instrText>
            </w:r>
            <w:r w:rsidRPr="00356D86">
              <w:rPr>
                <w:rFonts w:ascii="Times New Roman" w:hAnsi="Times New Roman" w:cs="Times New Roman"/>
                <w:sz w:val="20"/>
                <w:szCs w:val="20"/>
                <w:lang w:val="en-GB"/>
              </w:rPr>
              <w:fldChar w:fldCharType="separate"/>
            </w:r>
            <w:r w:rsidR="007A0A45" w:rsidRPr="00356D86">
              <w:rPr>
                <w:rFonts w:ascii="Times New Roman" w:hAnsi="Times New Roman" w:cs="Times New Roman"/>
                <w:sz w:val="20"/>
                <w:szCs w:val="20"/>
                <w:vertAlign w:val="superscript"/>
              </w:rPr>
              <w:t>51</w:t>
            </w:r>
            <w:r w:rsidRPr="00356D86">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95" w:type="dxa"/>
            <w:gridSpan w:val="2"/>
            <w:tcBorders>
              <w:bottom w:val="single" w:sz="12" w:space="0" w:color="auto"/>
            </w:tcBorders>
            <w:tcMar>
              <w:top w:w="28" w:type="dxa"/>
              <w:bottom w:w="28" w:type="dxa"/>
            </w:tcMar>
            <w:vAlign w:val="center"/>
          </w:tcPr>
          <w:p w14:paraId="06BFD347" w14:textId="70F028FC" w:rsidR="00A35209" w:rsidRPr="00416FBA" w:rsidRDefault="00A35209" w:rsidP="00D06CBB">
            <w:pPr>
              <w:spacing w:before="0" w:after="0" w:line="240" w:lineRule="auto"/>
              <w:jc w:val="center"/>
              <w:rPr>
                <w:rFonts w:ascii="Times New Roman" w:hAnsi="Times New Roman" w:cs="Times New Roman"/>
                <w:color w:val="auto"/>
                <w:sz w:val="20"/>
                <w:szCs w:val="20"/>
                <w:highlight w:val="yellow"/>
                <w:lang w:val="en-GB"/>
              </w:rPr>
            </w:pPr>
            <w:r w:rsidRPr="00416FBA">
              <w:rPr>
                <w:rFonts w:ascii="Times New Roman" w:hAnsi="Times New Roman" w:cs="Times New Roman"/>
                <w:color w:val="auto"/>
                <w:sz w:val="20"/>
                <w:szCs w:val="20"/>
                <w:lang w:val="en-GB"/>
              </w:rPr>
              <w:t>Ritchlin (2020)</w:t>
            </w:r>
            <w:r w:rsidRPr="00416FBA">
              <w:rPr>
                <w:rFonts w:ascii="Times New Roman" w:hAnsi="Times New Roman" w:cs="Times New Roman"/>
                <w:sz w:val="20"/>
                <w:szCs w:val="20"/>
                <w:lang w:val="en-GB"/>
              </w:rPr>
              <w:fldChar w:fldCharType="begin"/>
            </w:r>
            <w:r w:rsidR="00BC3B9D" w:rsidRPr="00416FBA">
              <w:rPr>
                <w:rFonts w:ascii="Times New Roman" w:hAnsi="Times New Roman" w:cs="Times New Roman"/>
                <w:color w:val="auto"/>
                <w:sz w:val="20"/>
                <w:szCs w:val="20"/>
                <w:lang w:val="en-GB"/>
              </w:rPr>
              <w:instrText xml:space="preserve"> ADDIN ZOTERO_ITEM CSL_CITATION {"citationID":"Dvb8DNif","properties":{"formattedCitation":"\\super 47\\nosupersub{}","plainCitation":"47","noteIndex":0},"citationItems":[{"id":"nkw1F4RA/NDQcNidu","uris":["http://zotero.org/groups/337550/items/V9ZF5YXU"],"uri":["http://zotero.org/groups/337550/items/V9ZF5YXU"],"itemData":{"id":57087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47</w:t>
            </w:r>
            <w:r w:rsidRPr="00416FBA">
              <w:rPr>
                <w:rFonts w:ascii="Times New Roman" w:hAnsi="Times New Roman" w:cs="Times New Roman"/>
                <w:sz w:val="20"/>
                <w:szCs w:val="20"/>
                <w:lang w:val="en-GB"/>
              </w:rPr>
              <w:fldChar w:fldCharType="end"/>
            </w:r>
            <w:r w:rsidRPr="00416FBA">
              <w:rPr>
                <w:rFonts w:ascii="Times New Roman" w:hAnsi="Times New Roman" w:cs="Times New Roman"/>
                <w:color w:val="auto"/>
                <w:sz w:val="20"/>
                <w:szCs w:val="20"/>
                <w:lang w:val="en-GB"/>
              </w:rPr>
              <w:t xml:space="preserve"> and Mease (2017)</w:t>
            </w:r>
            <w:r w:rsidRPr="00416FBA">
              <w:rPr>
                <w:rFonts w:ascii="Times New Roman" w:hAnsi="Times New Roman" w:cs="Times New Roman"/>
                <w:sz w:val="20"/>
                <w:szCs w:val="20"/>
                <w:lang w:val="en-GB"/>
              </w:rPr>
              <w:fldChar w:fldCharType="begin"/>
            </w:r>
            <w:r w:rsidR="007A0A45" w:rsidRPr="00416FBA">
              <w:rPr>
                <w:rFonts w:ascii="Times New Roman" w:hAnsi="Times New Roman" w:cs="Times New Roman"/>
                <w:color w:val="auto"/>
                <w:sz w:val="20"/>
                <w:szCs w:val="20"/>
                <w:lang w:val="en-GB"/>
              </w:rPr>
              <w:instrText xml:space="preserve"> ADDIN ZOTERO_ITEM CSL_CITATION {"citationID":"v7F2NG0C","properties":{"formattedCitation":"\\super 52\\nosupersub{}","plainCitation":"52","noteIndex":0},"citationItems":[{"id":57726,"uris":["http://zotero.org/groups/337550/items/QNP4ZM9I"],"uri":["http://zotero.org/groups/337550/items/QNP4ZM9I"],"itemData":{"id":57726,"type":"article-journal","abstract":"OBJECTIVE: To assess the safety and efficacy of ixekizumab, a monoclonal antibody that inhibits interleukin-17A, in a double-blind phase III trial enrolling patients with active psoriatic arthritis (PsA).\nMETHODS: Patients naive to biologic therapy with active PsA were randomised to subcutaneous injections of placebo (N=106), adalimumab 40 mg once every 2 weeks (active reference; N=101), ixekizumab 80 mg once every 2 weeks (IXEQ2W) (N=103), or ixekizumab 80 mg once every 4 weeks (IXEQ4W) (N=107). Both ixekizumab regimens included a 160-mg starting dose. The primary objective was to assess the superiority of IXEQ2W or IXEQ4W versus placebo as measured by the proportion of patients achieving an American College of Rheumatology 20 (ACR20) response at week 24.\nRESULTS: Significantly more patients treated with ixekizumab achieved an ACR20 response with IXEQ2W (62.1%) or IXEQ4W (57.9%) than placebo (30.2%) (p≤0.001; non-responder imputation method). Disease activity and functional disability were significantly improved with both ixekizumab doses versus placebo at weeks 12 and 24, and there was significantly less progression of structural damage at week 24 (p≤0.01). Clearance of plaque psoriasis was greater with ixekizumab than placebo (p≤0.001). Efficacy results with adalimumab, the active reference arm, showed significant improvements versus placebo. Treatment-emergent adverse events were more frequent with ixekizumab (65.7-66.4%) and adalimumab (64.4%) than placebo (47.2%) (p&lt;0.05).\nCONCLUSIONS: In biologic-naive patients with active PsA, ixekizumab treatment resulted in improvements in disease activity and physical function, as well as in the inhibition of structural damage progression. Overall, adverse events were more frequent in all active groups compared with placebo.\nTRIAL REGISTRATION NUMBER: NCT01695239; EudraCT2011-002326-49; Results.","container-title":"Annals of the Rheumatic Diseases","DOI":"10.1136/annrheumdis-2016-209709","ISSN":"1468-2060","issue":"1","journalAbbreviation":"Ann Rheum Dis","language":"eng","note":"PMID: 27553214\nPMCID: PMC5264219","page":"79-87","source":"PubMed","title":"Ixekizumab, an interleukin-17A specific monoclonal antibody, for the treatment of biologic-naive patients with active psoriatic arthritis: results from the 24-week randomised, double-blind, placebo-controlled and active (adalimumab)-controlled period of the phase III trial SPIRIT-P1","title-short":"Ixekizumab, an interleukin-17A specific monoclonal antibody, for the treatment of biologic-naive patients with active psoriatic arthritis","volume":"76","author":[{"family":"Mease","given":"Philip J."},{"family":"Heijde","given":"Désirée","non-dropping-particle":"van der"},{"family":"Ritchlin","given":"Christopher T."},{"family":"Okada","given":"Masato"},{"family":"Cuchacovich","given":"Raquel S."},{"family":"Shuler","given":"Catherine L."},{"family":"Lin","given":"Chen-Yen"},{"family":"Braun","given":"Daniel K."},{"family":"Lee","given":"Chin H."},{"family":"Gladman","given":"Dafna D."},{"literal":"SPIRIT-P1 Study Group"}],"issued":{"date-parts":[["2017"]]}},"locator":"1"}],"schema":"https://github.com/citation-style-language/schema/raw/master/csl-citation.json"}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416FBA">
              <w:rPr>
                <w:rFonts w:ascii="Times New Roman" w:hAnsi="Times New Roman" w:cs="Times New Roman"/>
                <w:sz w:val="20"/>
                <w:szCs w:val="20"/>
                <w:vertAlign w:val="superscript"/>
              </w:rPr>
              <w:t>52</w:t>
            </w:r>
            <w:r w:rsidRPr="00416FBA">
              <w:rPr>
                <w:rFonts w:ascii="Times New Roman" w:hAnsi="Times New Roman" w:cs="Times New Roman"/>
                <w:sz w:val="20"/>
                <w:szCs w:val="20"/>
                <w:lang w:val="en-GB"/>
              </w:rPr>
              <w:fldChar w:fldCharType="end"/>
            </w:r>
          </w:p>
        </w:tc>
        <w:tc>
          <w:tcPr>
            <w:tcW w:w="2195" w:type="dxa"/>
            <w:gridSpan w:val="2"/>
            <w:tcBorders>
              <w:bottom w:val="single" w:sz="12" w:space="0" w:color="auto"/>
            </w:tcBorders>
            <w:tcMar>
              <w:top w:w="28" w:type="dxa"/>
              <w:bottom w:w="28" w:type="dxa"/>
            </w:tcMar>
            <w:vAlign w:val="center"/>
          </w:tcPr>
          <w:p w14:paraId="08190ADC" w14:textId="337173F5" w:rsidR="00A35209" w:rsidRPr="00416FBA" w:rsidRDefault="00A35209"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highlight w:val="yellow"/>
                <w:lang w:val="en-GB"/>
              </w:rPr>
            </w:pPr>
            <w:r w:rsidRPr="00416FBA">
              <w:rPr>
                <w:rFonts w:ascii="Times New Roman" w:hAnsi="Times New Roman" w:cs="Times New Roman"/>
                <w:color w:val="auto"/>
                <w:sz w:val="20"/>
                <w:szCs w:val="20"/>
                <w:lang w:val="en-GB"/>
              </w:rPr>
              <w:t>Ritchlin (2020)</w:t>
            </w:r>
            <w:r w:rsidRPr="00416FBA">
              <w:rPr>
                <w:rFonts w:ascii="Times New Roman" w:hAnsi="Times New Roman" w:cs="Times New Roman"/>
                <w:sz w:val="20"/>
                <w:szCs w:val="20"/>
                <w:lang w:val="en-GB"/>
              </w:rPr>
              <w:fldChar w:fldCharType="begin"/>
            </w:r>
            <w:r w:rsidR="00BC3B9D" w:rsidRPr="00416FBA">
              <w:rPr>
                <w:rFonts w:ascii="Times New Roman" w:hAnsi="Times New Roman" w:cs="Times New Roman"/>
                <w:color w:val="auto"/>
                <w:sz w:val="20"/>
                <w:szCs w:val="20"/>
                <w:lang w:val="en-GB"/>
              </w:rPr>
              <w:instrText xml:space="preserve"> ADDIN ZOTERO_ITEM CSL_CITATION {"citationID":"Kz6OMBSQ","properties":{"formattedCitation":"\\super 47\\nosupersub{}","plainCitation":"47","noteIndex":0},"citationItems":[{"id":"nkw1F4RA/NDQcNidu","uris":["http://zotero.org/groups/337550/items/V9ZF5YXU"],"uri":["http://zotero.org/groups/337550/items/V9ZF5YXU"],"itemData":{"id":57087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GB"/>
              </w:rPr>
              <w:t>47</w:t>
            </w:r>
            <w:r w:rsidRPr="00416FBA">
              <w:rPr>
                <w:rFonts w:ascii="Times New Roman" w:hAnsi="Times New Roman" w:cs="Times New Roman"/>
                <w:sz w:val="20"/>
                <w:szCs w:val="20"/>
                <w:lang w:val="en-GB"/>
              </w:rPr>
              <w:fldChar w:fldCharType="end"/>
            </w:r>
            <w:r w:rsidRPr="00416FBA">
              <w:rPr>
                <w:rFonts w:ascii="Times New Roman" w:hAnsi="Times New Roman" w:cs="Times New Roman"/>
                <w:color w:val="auto"/>
                <w:sz w:val="20"/>
                <w:szCs w:val="20"/>
                <w:lang w:val="en-GB"/>
              </w:rPr>
              <w:t xml:space="preserve"> and UCB (2021)</w:t>
            </w:r>
            <w:r w:rsidRPr="00416FBA">
              <w:rPr>
                <w:rFonts w:ascii="Times New Roman" w:hAnsi="Times New Roman" w:cs="Times New Roman"/>
                <w:sz w:val="20"/>
                <w:szCs w:val="20"/>
                <w:lang w:val="en-GB"/>
              </w:rPr>
              <w:fldChar w:fldCharType="begin"/>
            </w:r>
            <w:r w:rsidR="007A0A45" w:rsidRPr="00416FBA">
              <w:rPr>
                <w:rFonts w:ascii="Times New Roman" w:hAnsi="Times New Roman" w:cs="Times New Roman"/>
                <w:color w:val="auto"/>
                <w:sz w:val="20"/>
                <w:szCs w:val="20"/>
                <w:lang w:val="en-GB"/>
              </w:rPr>
              <w:instrText xml:space="preserve"> ADDIN ZOTERO_ITEM CSL_CITATION {"citationID":"oZu3U71V","properties":{"formattedCitation":"\\super 53\\nosupersub{}","plainCitation":"53","noteIndex":0},"citationItems":[{"id":57792,"uris":["http://zotero.org/groups/337550/items/U4C9S3PV"],"uri":["http://zotero.org/groups/337550/items/U4C9S3PV"],"itemData":{"id":57792,"type":"post-weblog","title":"Risankizumab (SKYRIZI®) Phase 3 Results Demonstrate Improvements in Disease Activity Across Joint and Skin Symptoms Among Psoriatic Arthritis Patients","URL":"https://news.abbvie.com/news/press-releases/risankizumab-skyrizi-phase-3-results-demonstrate-improvements-in-disease-activity-across-joint-and-skin-symptoms-among-psoriatic-arthritis-patients.htm","author":[{"family":"Abbvie","given":""}],"issued":{"date-parts":[["2021"]]}}}],"schema":"https://github.com/citation-style-language/schema/raw/master/csl-citation.json"} </w:instrText>
            </w:r>
            <w:r w:rsidRPr="00416FBA">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0"/>
                <w:vertAlign w:val="superscript"/>
                <w:lang w:val="en-GB"/>
              </w:rPr>
              <w:t>53</w:t>
            </w:r>
            <w:r w:rsidRPr="00416FBA">
              <w:rPr>
                <w:rFonts w:ascii="Times New Roman" w:hAnsi="Times New Roman" w:cs="Times New Roman"/>
                <w:sz w:val="20"/>
                <w:szCs w:val="20"/>
                <w:lang w:val="en-GB"/>
              </w:rPr>
              <w:fldChar w:fldCharType="end"/>
            </w:r>
          </w:p>
        </w:tc>
      </w:tr>
      <w:tr w:rsidR="005F7BBC" w:rsidRPr="007B4152" w14:paraId="7C2F923C"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shd w:val="clear" w:color="auto" w:fill="BFBFBF" w:themeFill="background1" w:themeFillShade="BF"/>
            <w:tcMar>
              <w:top w:w="28" w:type="dxa"/>
              <w:bottom w:w="28" w:type="dxa"/>
            </w:tcMar>
            <w:vAlign w:val="center"/>
          </w:tcPr>
          <w:p w14:paraId="364FC014" w14:textId="77777777" w:rsidR="00A35209" w:rsidRPr="00416FBA" w:rsidRDefault="00A35209" w:rsidP="00D06CBB">
            <w:pPr>
              <w:spacing w:before="0" w:after="0" w:line="240" w:lineRule="auto"/>
              <w:jc w:val="left"/>
              <w:rPr>
                <w:rFonts w:ascii="Times New Roman" w:hAnsi="Times New Roman" w:cs="Times New Roman"/>
                <w:sz w:val="20"/>
                <w:szCs w:val="20"/>
                <w:lang w:val="en-GB"/>
              </w:rPr>
            </w:pPr>
            <w:r w:rsidRPr="00416FBA">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97"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2C887FC8"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097"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0B9ADE32"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98"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4F4AE307"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097"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06F46C99"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97"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69F6D005"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334"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3C9730A0"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0F3137AE"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097"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6E31C19C"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98"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05DD6EBE"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097"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1AEE2640"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97" w:type="dxa"/>
            <w:tcBorders>
              <w:top w:val="single" w:sz="12" w:space="0" w:color="auto"/>
              <w:left w:val="single" w:sz="12" w:space="0" w:color="auto"/>
            </w:tcBorders>
            <w:shd w:val="clear" w:color="auto" w:fill="BFBFBF" w:themeFill="background1" w:themeFillShade="BF"/>
            <w:tcMar>
              <w:top w:w="28" w:type="dxa"/>
              <w:bottom w:w="28" w:type="dxa"/>
            </w:tcMar>
            <w:vAlign w:val="center"/>
          </w:tcPr>
          <w:p w14:paraId="3D3E13B5" w14:textId="77777777" w:rsidR="00A35209" w:rsidRPr="00416FBA" w:rsidRDefault="00A35209" w:rsidP="00D06CBB">
            <w:pPr>
              <w:spacing w:before="0" w:after="0" w:line="240" w:lineRule="auto"/>
              <w:jc w:val="center"/>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BKZ</w:t>
            </w:r>
          </w:p>
        </w:tc>
        <w:tc>
          <w:tcPr>
            <w:tcW w:w="1098" w:type="dxa"/>
            <w:tcBorders>
              <w:top w:val="single" w:sz="12" w:space="0" w:color="auto"/>
              <w:right w:val="single" w:sz="12" w:space="0" w:color="auto"/>
            </w:tcBorders>
            <w:shd w:val="clear" w:color="auto" w:fill="BFBFBF" w:themeFill="background1" w:themeFillShade="BF"/>
            <w:tcMar>
              <w:top w:w="28" w:type="dxa"/>
              <w:bottom w:w="28" w:type="dxa"/>
            </w:tcMar>
            <w:vAlign w:val="center"/>
          </w:tcPr>
          <w:p w14:paraId="1186D1E9"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416FBA">
              <w:rPr>
                <w:rFonts w:ascii="Times New Roman" w:hAnsi="Times New Roman" w:cs="Times New Roman"/>
                <w:b/>
                <w:bCs/>
                <w:sz w:val="20"/>
                <w:szCs w:val="20"/>
                <w:lang w:val="en-GB"/>
              </w:rPr>
              <w:t>RIS</w:t>
            </w:r>
          </w:p>
        </w:tc>
      </w:tr>
      <w:tr w:rsidR="009D0E81" w:rsidRPr="007B4152" w14:paraId="3D2BCBFB"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480A09A6" w14:textId="11AFC558"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ACR 50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420F6E7"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FACCE57"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374B1F3"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EDBA906"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36</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BEFF451"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F7C968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9A871D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E2538E6"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504B4EF"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09E0573"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40</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943D156"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46</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9C2B1C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26-33</w:t>
            </w:r>
          </w:p>
        </w:tc>
      </w:tr>
      <w:tr w:rsidR="009D0E81" w:rsidRPr="007B4152" w14:paraId="073EBC62"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543D332D" w14:textId="1F326FE0"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ACR 50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AE11AC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38CCADBE"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1F32120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5EE9DB93"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C99721D"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right w:val="single" w:sz="12" w:space="0" w:color="auto"/>
            </w:tcBorders>
            <w:tcMar>
              <w:top w:w="28" w:type="dxa"/>
              <w:bottom w:w="28" w:type="dxa"/>
            </w:tcMar>
            <w:vAlign w:val="center"/>
          </w:tcPr>
          <w:p w14:paraId="35BBA8F7"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7B4DCAD1"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726AB1E1"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40</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0236EB9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0FF9CF03"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7D876BE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right w:val="single" w:sz="12" w:space="0" w:color="auto"/>
            </w:tcBorders>
            <w:tcMar>
              <w:top w:w="28" w:type="dxa"/>
              <w:bottom w:w="28" w:type="dxa"/>
            </w:tcMar>
            <w:vAlign w:val="center"/>
          </w:tcPr>
          <w:p w14:paraId="4F4438AA"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596E40ED" w14:textId="77777777" w:rsidTr="002813AB">
        <w:trPr>
          <w:trHeight w:val="273"/>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0CCDC14A" w14:textId="6CFAB2F9"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ACR 50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C7CE483"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E574B01"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5E5684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CDDB8C4"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1061CA9"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28630C6"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25-28</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109EA4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46E8C06"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FFEAC48"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824016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8578012"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FD92BB3"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57DEF7BC" w14:textId="77777777" w:rsidTr="002813AB">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75BDA833" w14:textId="68B0E90D"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100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07EAA025" w14:textId="64BC3ACE"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097" w:type="dxa"/>
            <w:tcBorders>
              <w:right w:val="single" w:sz="12" w:space="0" w:color="auto"/>
            </w:tcBorders>
            <w:tcMar>
              <w:top w:w="28" w:type="dxa"/>
              <w:bottom w:w="28" w:type="dxa"/>
            </w:tcMar>
            <w:vAlign w:val="center"/>
          </w:tcPr>
          <w:p w14:paraId="4F0E6968"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76EE9CEF" w14:textId="247EEFD2"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097" w:type="dxa"/>
            <w:tcBorders>
              <w:right w:val="single" w:sz="12" w:space="0" w:color="auto"/>
            </w:tcBorders>
            <w:tcMar>
              <w:top w:w="28" w:type="dxa"/>
              <w:bottom w:w="28" w:type="dxa"/>
            </w:tcMar>
            <w:vAlign w:val="center"/>
          </w:tcPr>
          <w:p w14:paraId="3B077B14"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29098AA7" w14:textId="6547D448"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334" w:type="dxa"/>
            <w:tcBorders>
              <w:right w:val="single" w:sz="12" w:space="0" w:color="auto"/>
            </w:tcBorders>
            <w:tcMar>
              <w:top w:w="28" w:type="dxa"/>
              <w:bottom w:w="28" w:type="dxa"/>
            </w:tcMar>
            <w:vAlign w:val="center"/>
          </w:tcPr>
          <w:p w14:paraId="6E190115"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504B695B" w14:textId="15EF338D"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097" w:type="dxa"/>
            <w:tcBorders>
              <w:right w:val="single" w:sz="12" w:space="0" w:color="auto"/>
            </w:tcBorders>
            <w:tcMar>
              <w:top w:w="28" w:type="dxa"/>
              <w:bottom w:w="28" w:type="dxa"/>
            </w:tcMar>
            <w:vAlign w:val="center"/>
          </w:tcPr>
          <w:p w14:paraId="7815A318"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711EC428" w14:textId="1FF53CA6"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097" w:type="dxa"/>
            <w:tcBorders>
              <w:right w:val="single" w:sz="12" w:space="0" w:color="auto"/>
            </w:tcBorders>
            <w:tcMar>
              <w:top w:w="28" w:type="dxa"/>
              <w:bottom w:w="28" w:type="dxa"/>
            </w:tcMar>
            <w:vAlign w:val="center"/>
          </w:tcPr>
          <w:p w14:paraId="445816DC"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41</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0271D828" w14:textId="445E69F8" w:rsidR="00A35209" w:rsidRPr="00416FBA" w:rsidRDefault="00416FBA" w:rsidP="00D06CBB">
            <w:pPr>
              <w:spacing w:before="0" w:after="0" w:line="24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50</w:t>
            </w:r>
          </w:p>
        </w:tc>
        <w:tc>
          <w:tcPr>
            <w:tcW w:w="1098" w:type="dxa"/>
            <w:tcBorders>
              <w:right w:val="single" w:sz="12" w:space="0" w:color="auto"/>
            </w:tcBorders>
            <w:tcMar>
              <w:top w:w="28" w:type="dxa"/>
              <w:bottom w:w="28" w:type="dxa"/>
            </w:tcMar>
            <w:vAlign w:val="center"/>
          </w:tcPr>
          <w:p w14:paraId="647E2F06"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50EBC2E7"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1FD2D020" w14:textId="65E97575"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90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5871385"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A04C27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3A601EA"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2A432F2"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30</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0432596"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B05C3C1"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733C24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7B08DFB"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B43C9DF"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2A45B3D"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58</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64CE3D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ECE71A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52-55</w:t>
            </w:r>
          </w:p>
        </w:tc>
      </w:tr>
      <w:tr w:rsidR="009D0E81" w:rsidRPr="007B4152" w14:paraId="00A1E787"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7FA0F5A6" w14:textId="484BEC42"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90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5CFCEA6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6DBA1AA8"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179D8EAD"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12774F34"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062634E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right w:val="single" w:sz="12" w:space="0" w:color="auto"/>
            </w:tcBorders>
            <w:tcMar>
              <w:top w:w="28" w:type="dxa"/>
              <w:bottom w:w="28" w:type="dxa"/>
            </w:tcMar>
            <w:vAlign w:val="center"/>
          </w:tcPr>
          <w:p w14:paraId="02C7CEBF"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653268A"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7EFA5BF7"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54</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65A70FC9"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55157200"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32C35DFD"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right w:val="single" w:sz="12" w:space="0" w:color="auto"/>
            </w:tcBorders>
            <w:tcMar>
              <w:top w:w="28" w:type="dxa"/>
              <w:bottom w:w="28" w:type="dxa"/>
            </w:tcMar>
            <w:vAlign w:val="center"/>
          </w:tcPr>
          <w:p w14:paraId="0BF993A5"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1A62FFC6"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5E3BDD90" w14:textId="23B38941"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75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9AFCE02"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87EE8D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7B81A5D"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5CD81E7A"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6A160D1A"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B019607"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6E586DA"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1E7319DC"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0B3DD65"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F4148AD"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69</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168DFEA6"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77</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06EEC10"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602A630D"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62FB203A" w14:textId="39A53DF5"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75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57102DFB"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22C0D904"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5B523855"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7C47F276"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6F2D940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right w:val="single" w:sz="12" w:space="0" w:color="auto"/>
            </w:tcBorders>
            <w:tcMar>
              <w:top w:w="28" w:type="dxa"/>
              <w:bottom w:w="28" w:type="dxa"/>
            </w:tcMar>
            <w:vAlign w:val="center"/>
          </w:tcPr>
          <w:p w14:paraId="429581E0"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7CA44F67"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46872B3D"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70</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4A9290B6"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73C66FE1"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1EBEFBCF"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right w:val="single" w:sz="12" w:space="0" w:color="auto"/>
            </w:tcBorders>
            <w:tcMar>
              <w:top w:w="28" w:type="dxa"/>
              <w:bottom w:w="28" w:type="dxa"/>
            </w:tcMar>
            <w:vAlign w:val="center"/>
          </w:tcPr>
          <w:p w14:paraId="1FCEEB6C"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6749AEA5"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5526DB3D" w14:textId="1346B473"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PASI 75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EB5941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7001E63"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A9A8D7D"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2632BFDD"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3F757C2"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2EE521E"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57-62</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4BD11BEB"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028EA1A"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2CA9B838"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60D0ED8"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3DFF276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098217F"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7B4152" w14:paraId="7933C5A1"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10BDE1E9" w14:textId="79558C27"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SF-36, </w:t>
            </w:r>
            <w:r w:rsidR="00F57B33" w:rsidRPr="00416FBA">
              <w:rPr>
                <w:rFonts w:ascii="Times New Roman" w:hAnsi="Times New Roman" w:cs="Times New Roman"/>
                <w:b w:val="0"/>
                <w:bCs w:val="0"/>
                <w:sz w:val="20"/>
                <w:szCs w:val="20"/>
                <w:lang w:val="en-GB"/>
              </w:rPr>
              <w:t>Week</w:t>
            </w:r>
            <w:r w:rsidRPr="00416FBA">
              <w:rPr>
                <w:rFonts w:ascii="Times New Roman" w:hAnsi="Times New Roman" w:cs="Times New Roman"/>
                <w:b w:val="0"/>
                <w:bCs w:val="0"/>
                <w:sz w:val="20"/>
                <w:szCs w:val="20"/>
                <w:lang w:val="en-GB"/>
              </w:rPr>
              <w:t>12 variation</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5F907126"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097" w:type="dxa"/>
            <w:tcBorders>
              <w:right w:val="single" w:sz="12" w:space="0" w:color="auto"/>
            </w:tcBorders>
            <w:tcMar>
              <w:top w:w="28" w:type="dxa"/>
              <w:bottom w:w="28" w:type="dxa"/>
            </w:tcMar>
            <w:vAlign w:val="center"/>
          </w:tcPr>
          <w:p w14:paraId="2D709712" w14:textId="141CA339" w:rsidR="00A35209" w:rsidRPr="00416FBA" w:rsidRDefault="00A35209" w:rsidP="00416FB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2.7</w:t>
            </w:r>
            <w:r w:rsidR="00416FBA">
              <w:rPr>
                <w:rFonts w:ascii="Times New Roman" w:hAnsi="Times New Roman" w:cs="Times New Roman"/>
                <w:sz w:val="20"/>
                <w:szCs w:val="20"/>
                <w:lang w:val="en-GB"/>
              </w:rPr>
              <w:t xml:space="preserve"> </w:t>
            </w:r>
            <w:r w:rsidRPr="00416FBA">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536056D1"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097" w:type="dxa"/>
            <w:tcBorders>
              <w:right w:val="single" w:sz="12" w:space="0" w:color="auto"/>
            </w:tcBorders>
            <w:tcMar>
              <w:top w:w="28" w:type="dxa"/>
              <w:bottom w:w="28" w:type="dxa"/>
            </w:tcMar>
            <w:vAlign w:val="center"/>
          </w:tcPr>
          <w:p w14:paraId="31EF827E"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9.6 (28%)</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C6DEB32"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334" w:type="dxa"/>
            <w:tcBorders>
              <w:right w:val="single" w:sz="12" w:space="0" w:color="auto"/>
            </w:tcBorders>
            <w:tcMar>
              <w:top w:w="28" w:type="dxa"/>
              <w:bottom w:w="28" w:type="dxa"/>
            </w:tcMar>
            <w:vAlign w:val="center"/>
          </w:tcPr>
          <w:p w14:paraId="2FE4CBAF"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7766CF57"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097" w:type="dxa"/>
            <w:tcBorders>
              <w:right w:val="single" w:sz="12" w:space="0" w:color="auto"/>
            </w:tcBorders>
            <w:tcMar>
              <w:top w:w="28" w:type="dxa"/>
              <w:bottom w:w="28" w:type="dxa"/>
            </w:tcMar>
            <w:vAlign w:val="center"/>
          </w:tcPr>
          <w:p w14:paraId="3E2D237C"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64B70EA8"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097" w:type="dxa"/>
            <w:tcBorders>
              <w:right w:val="single" w:sz="12" w:space="0" w:color="auto"/>
            </w:tcBorders>
            <w:tcMar>
              <w:top w:w="28" w:type="dxa"/>
              <w:bottom w:w="28" w:type="dxa"/>
            </w:tcMar>
            <w:vAlign w:val="center"/>
          </w:tcPr>
          <w:p w14:paraId="5DBA2F3A"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7.6 (22%)</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AB2A900"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7.5 (20%)</w:t>
            </w:r>
          </w:p>
        </w:tc>
        <w:tc>
          <w:tcPr>
            <w:tcW w:w="1098" w:type="dxa"/>
            <w:tcBorders>
              <w:right w:val="single" w:sz="12" w:space="0" w:color="auto"/>
            </w:tcBorders>
            <w:tcMar>
              <w:top w:w="28" w:type="dxa"/>
              <w:bottom w:w="28" w:type="dxa"/>
            </w:tcMar>
            <w:vAlign w:val="center"/>
          </w:tcPr>
          <w:p w14:paraId="430A322D"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416FBA" w14:paraId="054CDE20"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5231B729" w14:textId="1A856E74"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SF-36 variation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84C7B88"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92BEFDE"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759DDADB"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43E20123"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052860A"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08ECFDCF"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6D1AF51"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353F63FC" w14:textId="07B035AB"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3.4 (</w:t>
            </w:r>
            <w:r w:rsidR="002813AB" w:rsidRPr="00416FBA">
              <w:rPr>
                <w:rFonts w:ascii="Times New Roman" w:hAnsi="Times New Roman" w:cs="Times New Roman"/>
                <w:sz w:val="20"/>
                <w:szCs w:val="20"/>
                <w:lang w:val="en-GB"/>
              </w:rPr>
              <w:t>n.a</w:t>
            </w: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5BEB7EC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746C90E1"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4" w:space="0" w:color="000000" w:themeColor="text1"/>
            </w:tcBorders>
            <w:tcMar>
              <w:top w:w="28" w:type="dxa"/>
              <w:bottom w:w="28" w:type="dxa"/>
            </w:tcMar>
            <w:vAlign w:val="center"/>
          </w:tcPr>
          <w:p w14:paraId="03FF0519"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top w:val="single" w:sz="4" w:space="0" w:color="000000" w:themeColor="text1"/>
              <w:bottom w:val="single" w:sz="4" w:space="0" w:color="000000" w:themeColor="text1"/>
              <w:right w:val="single" w:sz="12" w:space="0" w:color="auto"/>
            </w:tcBorders>
            <w:tcMar>
              <w:top w:w="28" w:type="dxa"/>
              <w:bottom w:w="28" w:type="dxa"/>
            </w:tcMar>
            <w:vAlign w:val="center"/>
          </w:tcPr>
          <w:p w14:paraId="69733F36"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9D0E81" w:rsidRPr="00416FBA" w14:paraId="6BAA5BF6" w14:textId="77777777" w:rsidTr="002813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70F22D7D" w14:textId="0BEB2758"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SF-36,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24 variation</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15C819A3"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388C3431"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75BB1B8E"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261D1C09"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45C94C1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334" w:type="dxa"/>
            <w:tcBorders>
              <w:right w:val="single" w:sz="12" w:space="0" w:color="auto"/>
            </w:tcBorders>
            <w:tcMar>
              <w:top w:w="28" w:type="dxa"/>
              <w:bottom w:w="28" w:type="dxa"/>
            </w:tcMar>
            <w:vAlign w:val="center"/>
          </w:tcPr>
          <w:p w14:paraId="642ED5A1" w14:textId="4B5821AE" w:rsidR="00A35209" w:rsidRPr="00416FBA" w:rsidRDefault="00A35209" w:rsidP="009D0E8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4-6</w:t>
            </w:r>
            <w:r w:rsidR="009D0E81">
              <w:rPr>
                <w:rFonts w:ascii="Times New Roman" w:hAnsi="Times New Roman" w:cs="Times New Roman"/>
                <w:sz w:val="20"/>
                <w:szCs w:val="20"/>
                <w:lang w:val="en-GB"/>
              </w:rPr>
              <w:t xml:space="preserve"> </w:t>
            </w:r>
            <w:r w:rsidRPr="00416FBA">
              <w:rPr>
                <w:rFonts w:ascii="Times New Roman" w:hAnsi="Times New Roman" w:cs="Times New Roman"/>
                <w:sz w:val="20"/>
                <w:szCs w:val="20"/>
                <w:lang w:val="en-GB"/>
              </w:rPr>
              <w:t>(11-16%)</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73C663A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1CE988D6"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8" w:type="dxa"/>
            <w:tcBorders>
              <w:left w:val="single" w:sz="12" w:space="0" w:color="auto"/>
            </w:tcBorders>
            <w:tcMar>
              <w:top w:w="28" w:type="dxa"/>
              <w:bottom w:w="28" w:type="dxa"/>
            </w:tcMar>
            <w:vAlign w:val="center"/>
          </w:tcPr>
          <w:p w14:paraId="46332FC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7" w:type="dxa"/>
            <w:tcBorders>
              <w:right w:val="single" w:sz="12" w:space="0" w:color="auto"/>
            </w:tcBorders>
            <w:tcMar>
              <w:top w:w="28" w:type="dxa"/>
              <w:bottom w:w="28" w:type="dxa"/>
            </w:tcMar>
            <w:vAlign w:val="center"/>
          </w:tcPr>
          <w:p w14:paraId="34BC4A9F"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left w:val="single" w:sz="12" w:space="0" w:color="auto"/>
            </w:tcBorders>
            <w:tcMar>
              <w:top w:w="28" w:type="dxa"/>
              <w:bottom w:w="28" w:type="dxa"/>
            </w:tcMar>
            <w:vAlign w:val="center"/>
          </w:tcPr>
          <w:p w14:paraId="36877620"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tcW w:w="1098" w:type="dxa"/>
            <w:tcBorders>
              <w:right w:val="single" w:sz="12" w:space="0" w:color="auto"/>
            </w:tcBorders>
            <w:tcMar>
              <w:top w:w="28" w:type="dxa"/>
              <w:bottom w:w="28" w:type="dxa"/>
            </w:tcMar>
            <w:vAlign w:val="center"/>
          </w:tcPr>
          <w:p w14:paraId="05CB8498" w14:textId="77777777" w:rsidR="00A35209" w:rsidRPr="00416FBA"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r w:rsidR="002A1DD3" w:rsidRPr="00416FBA" w14:paraId="459E570C" w14:textId="77777777" w:rsidTr="002813AB">
        <w:tc>
          <w:tcPr>
            <w:cnfStyle w:val="001000000000" w:firstRow="0" w:lastRow="0" w:firstColumn="1" w:lastColumn="0" w:oddVBand="0" w:evenVBand="0" w:oddHBand="0" w:evenHBand="0" w:firstRowFirstColumn="0" w:firstRowLastColumn="0" w:lastRowFirstColumn="0" w:lastRowLastColumn="0"/>
            <w:tcW w:w="2404" w:type="dxa"/>
            <w:tcBorders>
              <w:right w:val="single" w:sz="12" w:space="0" w:color="auto"/>
            </w:tcBorders>
            <w:tcMar>
              <w:top w:w="28" w:type="dxa"/>
              <w:bottom w:w="28" w:type="dxa"/>
            </w:tcMar>
            <w:vAlign w:val="center"/>
          </w:tcPr>
          <w:p w14:paraId="0196D4AC" w14:textId="57510E38" w:rsidR="00A35209" w:rsidRPr="00416FBA" w:rsidRDefault="00A35209" w:rsidP="00D06CBB">
            <w:pPr>
              <w:spacing w:before="0" w:after="0" w:line="240" w:lineRule="auto"/>
              <w:jc w:val="left"/>
              <w:rPr>
                <w:rFonts w:ascii="Times New Roman" w:hAnsi="Times New Roman" w:cs="Times New Roman"/>
                <w:b w:val="0"/>
                <w:bCs w:val="0"/>
                <w:sz w:val="20"/>
                <w:szCs w:val="20"/>
                <w:lang w:val="en-GB"/>
              </w:rPr>
            </w:pPr>
            <w:r w:rsidRPr="00416FBA">
              <w:rPr>
                <w:rFonts w:ascii="Times New Roman" w:hAnsi="Times New Roman" w:cs="Times New Roman"/>
                <w:b w:val="0"/>
                <w:bCs w:val="0"/>
                <w:sz w:val="20"/>
                <w:szCs w:val="20"/>
                <w:lang w:val="en-GB"/>
              </w:rPr>
              <w:t xml:space="preserve">PsAID </w:t>
            </w:r>
            <w:r w:rsidR="00F57B33" w:rsidRPr="00416FBA">
              <w:rPr>
                <w:rFonts w:ascii="Times New Roman" w:hAnsi="Times New Roman" w:cs="Times New Roman"/>
                <w:b w:val="0"/>
                <w:bCs w:val="0"/>
                <w:sz w:val="20"/>
                <w:szCs w:val="20"/>
                <w:lang w:val="en-GB"/>
              </w:rPr>
              <w:t>Week</w:t>
            </w:r>
            <w:r w:rsidR="00416FBA">
              <w:rPr>
                <w:rFonts w:ascii="Times New Roman" w:hAnsi="Times New Roman" w:cs="Times New Roman"/>
                <w:b w:val="0"/>
                <w:bCs w:val="0"/>
                <w:sz w:val="20"/>
                <w:szCs w:val="20"/>
                <w:lang w:val="en-GB"/>
              </w:rPr>
              <w:t xml:space="preserve"> </w:t>
            </w:r>
            <w:r w:rsidRPr="00416FBA">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12" w:space="0" w:color="auto"/>
            </w:tcBorders>
            <w:tcMar>
              <w:top w:w="28" w:type="dxa"/>
              <w:bottom w:w="28" w:type="dxa"/>
            </w:tcMar>
            <w:vAlign w:val="center"/>
          </w:tcPr>
          <w:p w14:paraId="126977F8"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097" w:type="dxa"/>
            <w:tcBorders>
              <w:top w:val="single" w:sz="4" w:space="0" w:color="000000" w:themeColor="text1"/>
              <w:bottom w:val="single" w:sz="12" w:space="0" w:color="auto"/>
              <w:right w:val="single" w:sz="12" w:space="0" w:color="auto"/>
            </w:tcBorders>
            <w:tcMar>
              <w:top w:w="28" w:type="dxa"/>
              <w:bottom w:w="28" w:type="dxa"/>
            </w:tcMar>
            <w:vAlign w:val="center"/>
          </w:tcPr>
          <w:p w14:paraId="732C2262"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29</w:t>
            </w: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12" w:space="0" w:color="auto"/>
            </w:tcBorders>
            <w:tcMar>
              <w:top w:w="28" w:type="dxa"/>
              <w:bottom w:w="28" w:type="dxa"/>
            </w:tcMar>
            <w:vAlign w:val="center"/>
          </w:tcPr>
          <w:p w14:paraId="7F300544"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097" w:type="dxa"/>
            <w:tcBorders>
              <w:top w:val="single" w:sz="4" w:space="0" w:color="000000" w:themeColor="text1"/>
              <w:bottom w:val="single" w:sz="12" w:space="0" w:color="auto"/>
              <w:right w:val="single" w:sz="12" w:space="0" w:color="auto"/>
            </w:tcBorders>
            <w:tcMar>
              <w:top w:w="28" w:type="dxa"/>
              <w:bottom w:w="28" w:type="dxa"/>
            </w:tcMar>
            <w:vAlign w:val="center"/>
          </w:tcPr>
          <w:p w14:paraId="70470D71"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12" w:space="0" w:color="auto"/>
            </w:tcBorders>
            <w:tcMar>
              <w:top w:w="28" w:type="dxa"/>
              <w:bottom w:w="28" w:type="dxa"/>
            </w:tcMar>
            <w:vAlign w:val="center"/>
          </w:tcPr>
          <w:p w14:paraId="70DB9F1C"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334" w:type="dxa"/>
            <w:tcBorders>
              <w:top w:val="single" w:sz="4" w:space="0" w:color="000000" w:themeColor="text1"/>
              <w:bottom w:val="single" w:sz="12" w:space="0" w:color="auto"/>
              <w:right w:val="single" w:sz="12" w:space="0" w:color="auto"/>
            </w:tcBorders>
            <w:tcMar>
              <w:top w:w="28" w:type="dxa"/>
              <w:bottom w:w="28" w:type="dxa"/>
            </w:tcMar>
            <w:vAlign w:val="center"/>
          </w:tcPr>
          <w:p w14:paraId="3473E724"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12" w:space="0" w:color="auto"/>
            </w:tcBorders>
            <w:tcMar>
              <w:top w:w="28" w:type="dxa"/>
              <w:bottom w:w="28" w:type="dxa"/>
            </w:tcMar>
            <w:vAlign w:val="center"/>
          </w:tcPr>
          <w:p w14:paraId="5D770E31"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097" w:type="dxa"/>
            <w:tcBorders>
              <w:top w:val="single" w:sz="4" w:space="0" w:color="000000" w:themeColor="text1"/>
              <w:bottom w:val="single" w:sz="12" w:space="0" w:color="auto"/>
              <w:right w:val="single" w:sz="12" w:space="0" w:color="auto"/>
            </w:tcBorders>
            <w:tcMar>
              <w:top w:w="28" w:type="dxa"/>
              <w:bottom w:w="28" w:type="dxa"/>
            </w:tcMar>
            <w:vAlign w:val="center"/>
          </w:tcPr>
          <w:p w14:paraId="3B685DE5"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98" w:type="dxa"/>
            <w:tcBorders>
              <w:top w:val="single" w:sz="4" w:space="0" w:color="000000" w:themeColor="text1"/>
              <w:left w:val="single" w:sz="12" w:space="0" w:color="auto"/>
              <w:bottom w:val="single" w:sz="12" w:space="0" w:color="auto"/>
            </w:tcBorders>
            <w:tcMar>
              <w:top w:w="28" w:type="dxa"/>
              <w:bottom w:w="28" w:type="dxa"/>
            </w:tcMar>
            <w:vAlign w:val="center"/>
          </w:tcPr>
          <w:p w14:paraId="2DE6E9D7"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097" w:type="dxa"/>
            <w:tcBorders>
              <w:top w:val="single" w:sz="4" w:space="0" w:color="000000" w:themeColor="text1"/>
              <w:bottom w:val="single" w:sz="12" w:space="0" w:color="auto"/>
              <w:right w:val="single" w:sz="12" w:space="0" w:color="auto"/>
            </w:tcBorders>
            <w:tcMar>
              <w:top w:w="28" w:type="dxa"/>
              <w:bottom w:w="28" w:type="dxa"/>
            </w:tcMar>
            <w:vAlign w:val="center"/>
          </w:tcPr>
          <w:p w14:paraId="0EA5BA2B"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97" w:type="dxa"/>
            <w:tcBorders>
              <w:top w:val="single" w:sz="4" w:space="0" w:color="000000" w:themeColor="text1"/>
              <w:left w:val="single" w:sz="12" w:space="0" w:color="auto"/>
              <w:bottom w:val="single" w:sz="12" w:space="0" w:color="auto"/>
            </w:tcBorders>
            <w:tcMar>
              <w:top w:w="28" w:type="dxa"/>
              <w:bottom w:w="28" w:type="dxa"/>
            </w:tcMar>
            <w:vAlign w:val="center"/>
          </w:tcPr>
          <w:p w14:paraId="06E3CE07" w14:textId="77777777" w:rsidR="00A35209" w:rsidRPr="00416FBA" w:rsidRDefault="00A35209" w:rsidP="00D06CBB">
            <w:pPr>
              <w:spacing w:before="0" w:after="0" w:line="240" w:lineRule="auto"/>
              <w:jc w:val="center"/>
              <w:rPr>
                <w:rFonts w:ascii="Times New Roman" w:hAnsi="Times New Roman" w:cs="Times New Roman"/>
                <w:sz w:val="20"/>
                <w:szCs w:val="20"/>
                <w:lang w:val="en-GB"/>
              </w:rPr>
            </w:pPr>
            <w:r w:rsidRPr="00416FBA">
              <w:rPr>
                <w:rFonts w:ascii="Times New Roman" w:hAnsi="Times New Roman" w:cs="Times New Roman"/>
                <w:sz w:val="20"/>
                <w:szCs w:val="20"/>
                <w:lang w:val="en-GB"/>
              </w:rPr>
              <w:t>73</w:t>
            </w:r>
          </w:p>
        </w:tc>
        <w:tc>
          <w:tcPr>
            <w:tcW w:w="1098" w:type="dxa"/>
            <w:tcBorders>
              <w:top w:val="single" w:sz="4" w:space="0" w:color="000000" w:themeColor="text1"/>
              <w:bottom w:val="single" w:sz="12" w:space="0" w:color="auto"/>
              <w:right w:val="single" w:sz="12" w:space="0" w:color="auto"/>
            </w:tcBorders>
            <w:tcMar>
              <w:top w:w="28" w:type="dxa"/>
              <w:bottom w:w="28" w:type="dxa"/>
            </w:tcMar>
            <w:vAlign w:val="center"/>
          </w:tcPr>
          <w:p w14:paraId="6C63A42E" w14:textId="77777777" w:rsidR="00A35209" w:rsidRPr="00416FBA"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416FBA">
              <w:rPr>
                <w:rFonts w:ascii="Times New Roman" w:hAnsi="Times New Roman" w:cs="Times New Roman"/>
                <w:sz w:val="20"/>
                <w:szCs w:val="20"/>
                <w:lang w:val="en-GB"/>
              </w:rPr>
              <w:t>-</w:t>
            </w:r>
          </w:p>
        </w:tc>
      </w:tr>
    </w:tbl>
    <w:p w14:paraId="667E3535" w14:textId="07E18C15" w:rsidR="00A35209" w:rsidRPr="004722FF" w:rsidRDefault="00A35209" w:rsidP="00A35209">
      <w:pPr>
        <w:spacing w:before="12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 xml:space="preserve">Notes: (i) </w:t>
      </w:r>
      <w:r w:rsidR="004B747E" w:rsidRPr="004722FF">
        <w:rPr>
          <w:rFonts w:ascii="Times New Roman" w:hAnsi="Times New Roman" w:cs="Times New Roman"/>
          <w:b/>
          <w:sz w:val="20"/>
          <w:szCs w:val="20"/>
          <w:highlight w:val="lightGray"/>
          <w:lang w:val="en-GB"/>
        </w:rPr>
        <w:t>The data presented refer to comparisons of each drug versus placebo (</w:t>
      </w:r>
      <w:r w:rsidR="002813AB" w:rsidRPr="004722FF">
        <w:rPr>
          <w:rFonts w:ascii="Times New Roman" w:hAnsi="Times New Roman" w:cs="Times New Roman"/>
          <w:b/>
          <w:sz w:val="20"/>
          <w:szCs w:val="20"/>
          <w:highlight w:val="lightGray"/>
          <w:lang w:val="en-GB"/>
        </w:rPr>
        <w:t>i.e.</w:t>
      </w:r>
      <w:r w:rsidR="004B747E" w:rsidRPr="004722FF">
        <w:rPr>
          <w:rFonts w:ascii="Times New Roman" w:hAnsi="Times New Roman" w:cs="Times New Roman"/>
          <w:b/>
          <w:sz w:val="20"/>
          <w:szCs w:val="20"/>
          <w:highlight w:val="lightGray"/>
          <w:lang w:val="en-GB"/>
        </w:rPr>
        <w:t xml:space="preserve"> there is no direct comparison between them).</w:t>
      </w:r>
      <w:r w:rsidR="002813AB">
        <w:rPr>
          <w:rFonts w:ascii="Times New Roman" w:hAnsi="Times New Roman" w:cs="Times New Roman"/>
          <w:b/>
          <w:sz w:val="20"/>
          <w:szCs w:val="20"/>
          <w:lang w:val="en-GB"/>
        </w:rPr>
        <w:t xml:space="preserve"> </w:t>
      </w:r>
      <w:r w:rsidRPr="004722FF">
        <w:rPr>
          <w:rFonts w:ascii="Times New Roman" w:hAnsi="Times New Roman" w:cs="Times New Roman"/>
          <w:sz w:val="20"/>
          <w:szCs w:val="20"/>
          <w:lang w:val="en-GB"/>
        </w:rPr>
        <w:t xml:space="preserve">(ii) </w:t>
      </w:r>
      <w:r w:rsidR="002813AB" w:rsidRPr="00BC3B9D">
        <w:rPr>
          <w:rFonts w:ascii="Times New Roman" w:hAnsi="Times New Roman" w:cs="Times New Roman"/>
          <w:sz w:val="20"/>
          <w:szCs w:val="20"/>
          <w:lang w:val="en-GB"/>
        </w:rPr>
        <w:t>Data of trials that reflect the posology applied in the technical product specification have been prioritized</w:t>
      </w:r>
      <w:r w:rsidRPr="004722FF">
        <w:rPr>
          <w:rFonts w:ascii="Times New Roman" w:hAnsi="Times New Roman" w:cs="Times New Roman"/>
          <w:sz w:val="20"/>
          <w:szCs w:val="20"/>
          <w:lang w:val="en-GB"/>
        </w:rPr>
        <w:t xml:space="preserve">. For BKZ, the </w:t>
      </w:r>
      <w:r w:rsidR="002813AB">
        <w:rPr>
          <w:rFonts w:ascii="Times New Roman" w:hAnsi="Times New Roman" w:cs="Times New Roman"/>
          <w:sz w:val="20"/>
          <w:szCs w:val="20"/>
          <w:lang w:val="en-GB"/>
        </w:rPr>
        <w:t>EMA</w:t>
      </w:r>
      <w:r w:rsidRPr="004722FF">
        <w:rPr>
          <w:rFonts w:ascii="Times New Roman" w:hAnsi="Times New Roman" w:cs="Times New Roman"/>
          <w:sz w:val="20"/>
          <w:szCs w:val="20"/>
          <w:lang w:val="en-GB"/>
        </w:rPr>
        <w:t xml:space="preserve"> </w:t>
      </w:r>
      <w:r w:rsidR="002813AB">
        <w:rPr>
          <w:rFonts w:ascii="Times New Roman" w:hAnsi="Times New Roman" w:cs="Times New Roman"/>
          <w:sz w:val="20"/>
          <w:szCs w:val="20"/>
          <w:lang w:val="en-GB"/>
        </w:rPr>
        <w:t xml:space="preserve">marketing authorisation </w:t>
      </w:r>
      <w:r w:rsidRPr="004722FF">
        <w:rPr>
          <w:rFonts w:ascii="Times New Roman" w:hAnsi="Times New Roman" w:cs="Times New Roman"/>
          <w:sz w:val="20"/>
          <w:szCs w:val="20"/>
          <w:lang w:val="en-GB"/>
        </w:rPr>
        <w:t>recommend</w:t>
      </w:r>
      <w:r w:rsidR="002813AB">
        <w:rPr>
          <w:rFonts w:ascii="Times New Roman" w:hAnsi="Times New Roman" w:cs="Times New Roman"/>
          <w:sz w:val="20"/>
          <w:szCs w:val="20"/>
          <w:lang w:val="en-GB"/>
        </w:rPr>
        <w:t xml:space="preserve">ation </w:t>
      </w:r>
      <w:r w:rsidRPr="004722FF">
        <w:rPr>
          <w:rFonts w:ascii="Times New Roman" w:hAnsi="Times New Roman" w:cs="Times New Roman"/>
          <w:sz w:val="20"/>
          <w:szCs w:val="20"/>
          <w:lang w:val="en-GB"/>
        </w:rPr>
        <w:t>was used. ACR50: proportion of patients with at least 50% improvement according to the response criteria of the American College of Rheumatology. PASI: Psoriasis Area and Severity Index. SF-36: questionnaire that measures quality of life, and is reported through two indicators, the physical component and the mental component. Both indicators have a score that ranges from 0 to 100, where 100 is the best possible health status. A change of between 2.5 and 5.0 points in these indicators represents a minimal clinically significant difference, although this value has not been specified for patients with psoriasis.</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{"citationID":"SbGs6gDY","properties":{"formattedCitation":"\\super 54\\nosupersub{}","plainCitation":"54","noteIndex":0},"citationItems":[{"id":57089,"uris":["http://zotero.org/groups/337550/items/7H8Q3VC3"],"uri":["http://zotero.org/groups/337550/items/7H8Q3VC3"],"itemData":{"id":57089,"type":"article-journal","abstract":"A 36-item short-form (SF-36) was constructed to survey health status in the Medical Outcomes Study. The SF-36 was designed for use in clinical practice and research, health policy evaluations, and general population surveys. The SF-36 includes one multi-item scale that assesses eight health concepts: 1) limitations in physical activities because of health problems; 2) limitations in social activities because of physical or emotional problems; 3) limitations in usual role activities because of physical health problems; 4) bodily pain; 5) general mental health (psychological distress and well-being); 6) limitations in usual role activities because of emotional problems; 7) vitality (energy and fatigue); and 8) general health perceptions. The survey was constructed for self-administration by persons 14 years of age and older, and for administration by a trained interviewer in person or by telephone. The history of the development of the SF-36, the origin of specific items, and the logic underlying their selection are summarized. The content and features of the SF-36 are compared with the 20-item Medical Outcomes Study short-form.","container-title":"Medical Care","ISSN":"0025-7079","issue":"6","journalAbbreviation":"Med Care","language":"eng","note":"PMID: 1593914","page":"473-483","source":"PubMed","title":"The MOS 36-item short-form health survey (SF-36). I. Conceptual framework and item selection","volume":"30","author":[{"family":"Ware","given":"J. E."},{"family":"Sherbourne","given":"C. D."}],"issued":{"date-parts":[["1992"]]}}}],"schema":"https://github.com/citation-style-language/schema/raw/master/csl-citation.json"}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A0A45">
        <w:rPr>
          <w:rFonts w:ascii="Times New Roman" w:hAnsi="Times New Roman" w:cs="Times New Roman"/>
          <w:sz w:val="20"/>
          <w:szCs w:val="24"/>
          <w:vertAlign w:val="superscript"/>
        </w:rPr>
        <w:t>54</w:t>
      </w:r>
      <w:r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xml:space="preserve">. PsAID-9: Psoriatic Arthritis Impact </w:t>
      </w:r>
      <w:r w:rsidR="002813AB">
        <w:rPr>
          <w:rFonts w:ascii="Times New Roman" w:hAnsi="Times New Roman" w:cs="Times New Roman"/>
          <w:sz w:val="20"/>
          <w:szCs w:val="20"/>
          <w:lang w:val="en-GB"/>
        </w:rPr>
        <w:t xml:space="preserve">of Disease </w:t>
      </w:r>
      <w:r w:rsidRPr="004722FF">
        <w:rPr>
          <w:rFonts w:ascii="Times New Roman" w:hAnsi="Times New Roman" w:cs="Times New Roman"/>
          <w:sz w:val="20"/>
          <w:szCs w:val="20"/>
          <w:lang w:val="en-GB"/>
        </w:rPr>
        <w:t>questionnaire for clinical trials</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{"citationID":"PEqS92bN","properties":{"formattedCitation":"\\super 55\\nosupersub{}","plainCitation":"55","noteIndex":0},"citationItems":[{"id":57093,"uris":["http://zotero.org/groups/337550/items/9KQS9GAJ"],"uri":["http://zotero.org/groups/337550/items/9KQS9GAJ"],"itemData":{"id":57093,"type":"article-journal","abstract":"INTRODUCTION: The objective was to develop a questionnaire that can be used to calculate a score reflecting the impact of psoriatic arthritis (PsA) from the patients' perspective: the PsA Impact of Disease (PsAID) questionnaire.\nMETHODS: Twelve patient research partners identified important domains (areas of health); 139 patients prioritised them according to importance. Numeric rating scale (NRS) questions were developed, one for each domain. To combine the domains into a single score, relative weights were determined based on the relative importance given by 474 patients with PsA. An international cross-sectional and longitudinal validation study was performed in 13 countries to examine correlations of the PsAID score with other PsA or generic disease measures. Test-retest reliability and responsiveness (3 months after a treatment change) were examined in two subsets of patients.\nRESULTS: Two PsAID questionnaires were developed with both physical and psychological domains: one for clinical practice (12 domains of health) and one for clinical trials (nine domains). Pain, fatigue and skin problems had the highest relative importance. The PsAID scores correlated well with patient global assessment (N=474, Spearman r=0.82-0.84), reliability was high in stable patients (N=88, intraclass correlation coefficient=0.94-0.95), and sensitivity to change was also acceptable (N=71, standardised response mean=0.90-0.91).\nCONCLUSIONS: A questionnaire to assess the impact of PsA on patients' lives has been developed and validated. Two versions of the questionnaire are available, one for clinical practice (PsAID-12) and one for clinical trials (PsAID-9). The PsAID questionnaires should allow better assessment of the patient's perspective in PsA. Further validation is needed.","container-title":"Annals of the Rheumatic Diseases","DOI":"10.1136/annrheumdis-2014-205207","ISSN":"1468-2060","issue":"6","journalAbbreviation":"Ann Rheum Dis","language":"eng","note":"PMID: 24790067","page":"1012-1019","source":"PubMed","title":"A patient-derived and patient-reported outcome measure for assessing psoriatic arthritis: elaboration and preliminary validation of the Psoriatic Arthritis Impact of Disease (PsAID) questionnaire, a 13-country EULAR initiative","title-short":"A patient-derived and patient-reported outcome measure for assessing psoriatic arthritis","volume":"73","author":[{"family":"Gossec","given":"Laure"},{"family":"Wit","given":"Maarten","non-dropping-particle":"de"},{"family":"Kiltz","given":"Uta"},{"family":"Braun","given":"Juergen"},{"family":"Kalyoncu","given":"Umut"},{"family":"Scrivo","given":"Rossana"},{"family":"Maccarone","given":"Mara"},{"family":"Carton","given":"Laurence"},{"family":"Otsa","given":"Kati"},{"family":"Sooäär","given":"Imre"},{"family":"Heiberg","given":"Turid"},{"family":"Bertheussen","given":"Heidi"},{"family":"Cañete","given":"Juan D."},{"family":"Sánchez Lombarte","given":"Anselm"},{"family":"Balanescu","given":"Andra"},{"family":"Dinte","given":"Alina"},{"family":"Vlam","given":"Kurt","non-dropping-particle":"de"},{"family":"Smolen","given":"Josef S."},{"family":"Stamm","given":"Tanja"},{"family":"Niedermayer","given":"Dora"},{"family":"Békés","given":"Gabor"},{"family":"Veale","given":"Douglas"},{"family":"Helliwell","given":"Philip"},{"family":"Parkinson","given":"Andrew"},{"family":"Luger","given":"Thomas"},{"family":"Kvien","given":"Tore K."},{"literal":"EULAR PsAID Taskforce"}],"issued":{"date-parts":[["2014"]]}}}],"schema":"https://github.com/citation-style-language/schema/raw/master/csl-citation.json"}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55</w:t>
      </w:r>
      <w:r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PsAID results range from 0 to 10, where 0 represents a greater impact of psoriatic arthritis in patients. The variable used was the proportion of patients with results ≤3, which signify acceptable health states for patients with psoriatic arthritis</w:t>
      </w:r>
      <w:r w:rsidRPr="004722FF">
        <w:rPr>
          <w:rFonts w:ascii="Times New Roman" w:hAnsi="Times New Roman" w:cs="Times New Roman"/>
          <w:sz w:val="20"/>
          <w:szCs w:val="20"/>
          <w:lang w:val="en-GB"/>
        </w:rPr>
        <w:fldChar w:fldCharType="begin"/>
      </w:r>
      <w:r w:rsidR="00BC3B9D">
        <w:rPr>
          <w:rFonts w:ascii="Times New Roman" w:hAnsi="Times New Roman" w:cs="Times New Roman"/>
          <w:sz w:val="20"/>
          <w:szCs w:val="20"/>
          <w:lang w:val="en-GB"/>
        </w:rPr>
        <w:instrText xml:space="preserve"> ADDIN ZOTERO_ITEM CSL_CITATION {"citationID":"YEwldmmL","properties":{"formattedCitation":"\\super 47\\nosupersub{}","plainCitation":"47","noteIndex":0},"citationItems":[{"id":"nkw1F4RA/NDQcNidu","uris":["http://zotero.org/groups/337550/items/V9ZF5YXU"],"uri":["http://zotero.org/groups/337550/items/V9ZF5YXU"],"itemData":{"id":59317,"type":"article-journal","abstract":"BACKGROUND: Dual neutralisation of interleukin 17A (IL17A) and interleukin 17F (IL17F) is a potential novel therapeutic approach in psoriatic arthritis. We assessed bimekizumab, a monoclonal antibody that selectively neutralises IL17A and IL17F, in patients with active psoriatic arthritis.\nMETHODS: BE ACTIVE was a randomised, double-blind, placebo-controlled, dose-ranging phase 2b study done at 41 sites in the Czech Republic, Germany, Hungary, Poland, Russia, and the USA. Eligible patients aged 18 years or older with active adult-onset psoriatic arthritis and symptoms for at least 6 months were randomly assigned (1:1:1:1:1) to placebo, 16 mg bimekizumab, 160 mg bimekizumab, 160 mg bimekizumab with a one-off 320 mg loading dose, or 320 mg bimekizumab, which were administered as subcutaneous injections every 4 weeks for 12 weeks. After 12 weeks, patients assigned to the placebo and 16 mg bimekizumab groups were randomly reassigned (1:1) to either 160 mg or 320 mg bimekizumab, and all other patients remained on their originally assigned initial dose up to 48 weeks. Both participants and researchers were blinded to treatment allocation in the first 12 weeks, and blinded to the dose of bimekizumab thereafter. The primary endpoint was the proportion of patients with at least 50% improvement in the American College of Rheumatology response criteria at week 12, which was assessed in all patients who received at least one dose of study treatment and had a valid measurement of the primary efficacy endpoint at baseline. The trial, including all follow-up, has been completed. This trial is registered with ClinicalTrials.gov, NCT02969525.\nFINDINGS: Between Oct 27, 2016, and July 16, 2018, 308 patients were screened, and 206 were randomly assigned: 42 to the placebo group, and 41 each to the four bimekizumab groups. At 12 weeks, compared with the placebo group, significantly more patients in the 16 mg bimekizumab (odds ratio [OR] 4·2 [95% CI 1·1-15·2]; p=0·032), 160 mg bimekizumab (8·1 [2·3-28·7]; p=0·0012), and 160 mg (loading dose) bimekizumab (9·7 [2·7-34·3]; p=0·0004) groups achieved an ACR50 response. At 12 weeks, 24 (57%) of 42 patients in the placebo group and 68 (41%) of the 164 patients in the bimekizumab groups reported treatment-emergent adverse events. Most of these adverse events were mild or moderate. Serious treatment-emergent adverse events occurred in nine patients, eight of whom were receiving bimekizumab. No deaths or cases of inflammatory bowel disease were reported.\nINTERPRETATION: Bimekizumab doses of 16 mg and 160 mg (with or without a 320 mg loading dose) were associated with significant improvements in ACR50 compared with placebo, with an acceptable safety profile. Our results support phase 3 investigation of bimekizumab as a treatment for psoriatic arthritis.\nFUNDING: UCB Pharma.","container-title":"Lancet (London, England)","DOI":"10.1016/S0140-6736(19)33161-7","ISSN":"1474-547X","issue":"10222","journalAbbreviation":"Lancet","language":"eng","note":"PMID: 32035552","page":"427-440","source":"PubMed","title":"Bimekizumab in patients with active psoriatic arthritis: results from a 48-week, randomised, double-blind, placebo-controlled, dose-ranging phase 2b trial","title-short":"Bimekizumab in patients with active psoriatic arthritis","volume":"395","author":[{"family":"Ritchlin","given":"Christopher T."},{"family":"Kavanaugh","given":"Arthur"},{"family":"Merola","given":"Joseph F."},{"family":"Schett","given":"Georg"},{"family":"Scher","given":"Jose U."},{"family":"Warren","given":"Richard B."},{"family":"Gottlieb","given":"Alice B."},{"family":"Assudani","given":"Deepak"},{"family":"Bedford-Rice","given":"Kathy"},{"family":"Coarse","given":"Jason"},{"family":"Ink","given":"Barbara"},{"family":"McInnes","given":"Iain B."}],"issued":{"date-parts":[["2020"]]}}}],"schema":"https://github.com/citation-style-language/schema/raw/master/csl-citation.json"}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GB"/>
        </w:rPr>
        <w:t>47</w:t>
      </w:r>
      <w:r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BKZ: Bimekizumab. PBO: placebo. ADA: Adalimumab. UST: Ustekinumab. SEC: Secukinumab. IXE: Ixekizumab. RIS: Risankizumab.</w:t>
      </w:r>
    </w:p>
    <w:p w14:paraId="12CC27E5" w14:textId="72C7B40E" w:rsidR="00A35209" w:rsidRDefault="00A35209" w:rsidP="00767B1F">
      <w:pPr>
        <w:pStyle w:val="TITULOTABLASYFIGURAS"/>
        <w:spacing w:before="120"/>
        <w:ind w:left="709"/>
        <w:rPr>
          <w:rFonts w:ascii="Times New Roman" w:hAnsi="Times New Roman" w:cs="Times New Roman"/>
          <w:color w:val="auto"/>
          <w:szCs w:val="72"/>
          <w:lang w:val="en-GB"/>
        </w:rPr>
      </w:pPr>
    </w:p>
    <w:p w14:paraId="7253604A" w14:textId="03A1E39C" w:rsidR="002813AB" w:rsidRDefault="002813AB" w:rsidP="00767B1F">
      <w:pPr>
        <w:pStyle w:val="TITULOTABLASYFIGURAS"/>
        <w:spacing w:before="120"/>
        <w:ind w:left="709"/>
        <w:rPr>
          <w:rFonts w:ascii="Times New Roman" w:hAnsi="Times New Roman" w:cs="Times New Roman"/>
          <w:color w:val="auto"/>
          <w:szCs w:val="72"/>
          <w:lang w:val="en-GB"/>
        </w:rPr>
      </w:pPr>
    </w:p>
    <w:p w14:paraId="74A57A5C" w14:textId="77777777" w:rsidR="002813AB" w:rsidRPr="004722FF" w:rsidRDefault="002813AB" w:rsidP="00767B1F">
      <w:pPr>
        <w:pStyle w:val="TITULOTABLASYFIGURAS"/>
        <w:spacing w:before="120"/>
        <w:ind w:left="709"/>
        <w:rPr>
          <w:rFonts w:ascii="Times New Roman" w:hAnsi="Times New Roman" w:cs="Times New Roman"/>
          <w:color w:val="auto"/>
          <w:szCs w:val="72"/>
          <w:lang w:val="en-GB"/>
        </w:rPr>
      </w:pPr>
    </w:p>
    <w:p w14:paraId="3D233669" w14:textId="0B0D8C8B" w:rsidR="00A35209" w:rsidRPr="00CA010C" w:rsidRDefault="00A35209" w:rsidP="00A35209">
      <w:pPr>
        <w:pStyle w:val="TITULOTABLASYFIGURAS"/>
        <w:spacing w:before="120"/>
        <w:ind w:left="709"/>
        <w:rPr>
          <w:rFonts w:ascii="Times New Roman" w:hAnsi="Times New Roman" w:cs="Times New Roman"/>
          <w:b/>
          <w:bCs/>
          <w:smallCaps w:val="0"/>
          <w:color w:val="auto"/>
          <w:sz w:val="22"/>
          <w:szCs w:val="56"/>
          <w:lang w:val="en-GB"/>
        </w:rPr>
      </w:pPr>
      <w:bookmarkStart w:id="141" w:name="_Toc89078658"/>
      <w:r w:rsidRPr="00CA010C">
        <w:rPr>
          <w:rFonts w:ascii="Times New Roman" w:hAnsi="Times New Roman" w:cs="Times New Roman"/>
          <w:b/>
          <w:bCs/>
          <w:smallCaps w:val="0"/>
          <w:color w:val="auto"/>
          <w:sz w:val="22"/>
          <w:szCs w:val="56"/>
          <w:lang w:val="en-GB"/>
        </w:rPr>
        <w:lastRenderedPageBreak/>
        <w:t xml:space="preserve">Table </w:t>
      </w:r>
      <w:r w:rsidR="00EF06FB">
        <w:rPr>
          <w:rFonts w:ascii="Times New Roman" w:hAnsi="Times New Roman" w:cs="Times New Roman"/>
          <w:b/>
          <w:bCs/>
          <w:smallCaps w:val="0"/>
          <w:color w:val="auto"/>
          <w:sz w:val="22"/>
          <w:szCs w:val="56"/>
          <w:lang w:val="en-GB"/>
        </w:rPr>
        <w:t>(S1).</w:t>
      </w:r>
      <w:r w:rsidRPr="00CA010C">
        <w:rPr>
          <w:rFonts w:ascii="Times New Roman" w:hAnsi="Times New Roman" w:cs="Times New Roman"/>
          <w:b/>
          <w:bCs/>
          <w:smallCaps w:val="0"/>
          <w:color w:val="auto"/>
          <w:sz w:val="22"/>
          <w:szCs w:val="56"/>
          <w:lang w:val="en-GB"/>
        </w:rPr>
        <w:fldChar w:fldCharType="begin"/>
      </w:r>
      <w:r w:rsidRPr="00CA010C">
        <w:rPr>
          <w:rFonts w:ascii="Times New Roman" w:hAnsi="Times New Roman" w:cs="Times New Roman"/>
          <w:b/>
          <w:bCs/>
          <w:smallCaps w:val="0"/>
          <w:color w:val="auto"/>
          <w:sz w:val="22"/>
          <w:szCs w:val="56"/>
          <w:lang w:val="en-GB"/>
        </w:rPr>
        <w:instrText xml:space="preserve"> SEQ Tabla \* ARABIC </w:instrText>
      </w:r>
      <w:r w:rsidRPr="00CA010C">
        <w:rPr>
          <w:rFonts w:ascii="Times New Roman" w:hAnsi="Times New Roman" w:cs="Times New Roman"/>
          <w:b/>
          <w:bCs/>
          <w:smallCaps w:val="0"/>
          <w:color w:val="auto"/>
          <w:sz w:val="22"/>
          <w:szCs w:val="56"/>
          <w:lang w:val="en-GB"/>
        </w:rPr>
        <w:fldChar w:fldCharType="separate"/>
      </w:r>
      <w:r w:rsidRPr="00CA010C">
        <w:rPr>
          <w:rFonts w:ascii="Times New Roman" w:hAnsi="Times New Roman" w:cs="Times New Roman"/>
          <w:b/>
          <w:bCs/>
          <w:smallCaps w:val="0"/>
          <w:noProof/>
          <w:color w:val="auto"/>
          <w:sz w:val="22"/>
          <w:szCs w:val="56"/>
          <w:lang w:val="en-GB"/>
        </w:rPr>
        <w:t>12</w:t>
      </w:r>
      <w:r w:rsidRPr="00CA010C">
        <w:rPr>
          <w:rFonts w:ascii="Times New Roman" w:hAnsi="Times New Roman" w:cs="Times New Roman"/>
          <w:b/>
          <w:bCs/>
          <w:smallCaps w:val="0"/>
          <w:color w:val="auto"/>
          <w:sz w:val="22"/>
          <w:szCs w:val="56"/>
          <w:lang w:val="en-GB"/>
        </w:rPr>
        <w:fldChar w:fldCharType="end"/>
      </w:r>
      <w:r w:rsidRPr="00CA010C">
        <w:rPr>
          <w:rFonts w:ascii="Times New Roman" w:hAnsi="Times New Roman" w:cs="Times New Roman"/>
          <w:b/>
          <w:bCs/>
          <w:smallCaps w:val="0"/>
          <w:color w:val="auto"/>
          <w:sz w:val="22"/>
          <w:szCs w:val="56"/>
          <w:lang w:val="en-GB"/>
        </w:rPr>
        <w:t xml:space="preserve">: Consistency of </w:t>
      </w:r>
      <w:r w:rsidR="009A5E9A">
        <w:rPr>
          <w:rFonts w:ascii="Times New Roman" w:hAnsi="Times New Roman" w:cs="Times New Roman"/>
          <w:b/>
          <w:bCs/>
          <w:smallCaps w:val="0"/>
          <w:color w:val="auto"/>
          <w:sz w:val="22"/>
          <w:szCs w:val="56"/>
          <w:lang w:val="en-GB"/>
        </w:rPr>
        <w:t>the effect</w:t>
      </w:r>
      <w:r w:rsidRPr="00CA010C">
        <w:rPr>
          <w:rFonts w:ascii="Times New Roman" w:hAnsi="Times New Roman" w:cs="Times New Roman"/>
          <w:b/>
          <w:bCs/>
          <w:smallCaps w:val="0"/>
          <w:color w:val="auto"/>
          <w:sz w:val="22"/>
          <w:szCs w:val="56"/>
          <w:lang w:val="en-GB"/>
        </w:rPr>
        <w:t xml:space="preserve"> in patients with psoriasis in different locations,</w:t>
      </w:r>
      <w:r w:rsidR="00CA010C">
        <w:rPr>
          <w:rFonts w:ascii="Times New Roman" w:hAnsi="Times New Roman" w:cs="Times New Roman"/>
          <w:b/>
          <w:bCs/>
          <w:smallCaps w:val="0"/>
          <w:color w:val="auto"/>
          <w:sz w:val="22"/>
          <w:szCs w:val="56"/>
          <w:lang w:val="en-GB"/>
        </w:rPr>
        <w:t xml:space="preserve"> </w:t>
      </w:r>
      <w:r w:rsidRPr="00CA010C">
        <w:rPr>
          <w:rFonts w:ascii="Times New Roman" w:hAnsi="Times New Roman" w:cs="Times New Roman"/>
          <w:b/>
          <w:bCs/>
          <w:smallCaps w:val="0"/>
          <w:color w:val="auto"/>
          <w:sz w:val="22"/>
          <w:szCs w:val="56"/>
          <w:lang w:val="en-GB"/>
        </w:rPr>
        <w:t>% of patients</w:t>
      </w:r>
      <w:r w:rsidR="00417762">
        <w:rPr>
          <w:rFonts w:ascii="Times New Roman" w:hAnsi="Times New Roman" w:cs="Times New Roman"/>
          <w:b/>
          <w:bCs/>
          <w:smallCaps w:val="0"/>
          <w:color w:val="auto"/>
          <w:sz w:val="22"/>
          <w:szCs w:val="56"/>
          <w:lang w:val="en-GB"/>
        </w:rPr>
        <w:t>, weeks 12-24</w:t>
      </w:r>
      <w:bookmarkEnd w:id="141"/>
      <w:r w:rsidRPr="00CA010C">
        <w:rPr>
          <w:rFonts w:ascii="Times New Roman" w:hAnsi="Times New Roman" w:cs="Times New Roman"/>
          <w:b/>
          <w:bCs/>
          <w:smallCaps w:val="0"/>
          <w:color w:val="auto"/>
          <w:sz w:val="22"/>
          <w:szCs w:val="56"/>
          <w:lang w:val="en-GB"/>
        </w:rPr>
        <w:t xml:space="preserve"> </w:t>
      </w:r>
    </w:p>
    <w:tbl>
      <w:tblPr>
        <w:tblStyle w:val="Tabladelista3"/>
        <w:tblW w:w="14878" w:type="dxa"/>
        <w:tblInd w:w="736" w:type="dxa"/>
        <w:tblLook w:val="00A0" w:firstRow="1" w:lastRow="0" w:firstColumn="1" w:lastColumn="0" w:noHBand="0" w:noVBand="0"/>
      </w:tblPr>
      <w:tblGrid>
        <w:gridCol w:w="2121"/>
        <w:gridCol w:w="1063"/>
        <w:gridCol w:w="1063"/>
        <w:gridCol w:w="1063"/>
        <w:gridCol w:w="1063"/>
        <w:gridCol w:w="1063"/>
        <w:gridCol w:w="1063"/>
        <w:gridCol w:w="1063"/>
        <w:gridCol w:w="1063"/>
        <w:gridCol w:w="1063"/>
        <w:gridCol w:w="1063"/>
        <w:gridCol w:w="1063"/>
        <w:gridCol w:w="1064"/>
      </w:tblGrid>
      <w:tr w:rsidR="004722FF" w:rsidRPr="00CA010C" w14:paraId="7A0DCFB6" w14:textId="77777777" w:rsidTr="00CA01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1" w:type="dxa"/>
            <w:tcMar>
              <w:top w:w="28" w:type="dxa"/>
              <w:bottom w:w="28" w:type="dxa"/>
            </w:tcMar>
            <w:vAlign w:val="center"/>
          </w:tcPr>
          <w:p w14:paraId="0AEB3928" w14:textId="77777777" w:rsidR="00A35209" w:rsidRPr="0013755F" w:rsidRDefault="00A35209" w:rsidP="00D06CBB">
            <w:pPr>
              <w:spacing w:before="0" w:after="0" w:line="240" w:lineRule="auto"/>
              <w:jc w:val="left"/>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Sources</w:t>
            </w:r>
          </w:p>
        </w:tc>
        <w:tc>
          <w:tcPr>
            <w:cnfStyle w:val="000010000000" w:firstRow="0" w:lastRow="0" w:firstColumn="0" w:lastColumn="0" w:oddVBand="1" w:evenVBand="0" w:oddHBand="0" w:evenHBand="0" w:firstRowFirstColumn="0" w:firstRowLastColumn="0" w:lastRowFirstColumn="0" w:lastRowLastColumn="0"/>
            <w:tcW w:w="2126" w:type="dxa"/>
            <w:gridSpan w:val="2"/>
            <w:tcMar>
              <w:top w:w="28" w:type="dxa"/>
              <w:bottom w:w="28" w:type="dxa"/>
            </w:tcMar>
            <w:vAlign w:val="center"/>
          </w:tcPr>
          <w:p w14:paraId="7CFC734B" w14:textId="124CDD77" w:rsidR="00A35209" w:rsidRPr="0013755F" w:rsidRDefault="00A35209" w:rsidP="00D06CBB">
            <w:pPr>
              <w:spacing w:before="0" w:after="0" w:line="240" w:lineRule="auto"/>
              <w:jc w:val="center"/>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Gordon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{"citationID":"SKwAH8aa","properties":{"formattedCitation":"\\super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37</w:t>
            </w:r>
            <w:r w:rsidRPr="0013755F">
              <w:rPr>
                <w:rFonts w:ascii="Times New Roman" w:hAnsi="Times New Roman" w:cs="Times New Roman"/>
                <w:sz w:val="20"/>
                <w:szCs w:val="20"/>
                <w:lang w:val="en-GB"/>
              </w:rPr>
              <w:fldChar w:fldCharType="end"/>
            </w:r>
            <w:r w:rsidR="00FE2771" w:rsidRPr="0013755F">
              <w:rPr>
                <w:rFonts w:ascii="Times New Roman" w:hAnsi="Times New Roman" w:cs="Times New Roman"/>
                <w:color w:val="auto"/>
                <w:sz w:val="20"/>
                <w:szCs w:val="20"/>
                <w:lang w:val="en-GB"/>
              </w:rPr>
              <w:t>, Daddy (2021)</w:t>
            </w:r>
            <w:r w:rsidR="00FE2771"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{"citationID":"7RR6L5O1","properties":{"formattedCitation":"\\super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00FE2771"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00FE2771" w:rsidRPr="0013755F">
              <w:rPr>
                <w:rFonts w:ascii="Times New Roman" w:hAnsi="Times New Roman" w:cs="Times New Roman"/>
                <w:sz w:val="20"/>
                <w:szCs w:val="20"/>
                <w:lang w:val="en-GB"/>
              </w:rPr>
              <w:fldChar w:fldCharType="end"/>
            </w:r>
          </w:p>
        </w:tc>
        <w:tc>
          <w:tcPr>
            <w:tcW w:w="2126" w:type="dxa"/>
            <w:gridSpan w:val="2"/>
            <w:tcMar>
              <w:top w:w="28" w:type="dxa"/>
              <w:bottom w:w="28" w:type="dxa"/>
            </w:tcMar>
            <w:vAlign w:val="center"/>
          </w:tcPr>
          <w:p w14:paraId="7BDFF430" w14:textId="2C858E3C" w:rsidR="00A35209" w:rsidRPr="0013755F" w:rsidRDefault="00A35209"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Reich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{"citationID":"vWspas8y","properties":{"formattedCitation":"\\super 57\\nosupersub{}","plainCitation":"57","noteIndex":0},"citationItems":[{"id":57176,"uris":["http://zotero.org/groups/337550/items/JQ729IH9"],"uri":["http://zotero.org/groups/337550/items/JQ729IH9"],"itemData":{"id":57176,"type":"paper-conference","container-title":"American Academy of Dermatology Virtual Meeting Experience (AAD VMX)","language":"EN","title":"Bimekizumab for the treatment of moderate to severe psoriasis of the scalp: Post-hoc analysis from the BE SURE phase 3 trial","author":[{"family":"Reich","given":"Kristian"},{"family":"Merola","given":"Joseph F."},{"family":"Elewski","given":"Boni"},{"family":"Papp","given":"Kim A."},{"family":"Puig","given":"Lluis"},{"family":"Rich","given":"Pheobe"},{"family":"Cioffi","given":"Christopher"},{"family":"Cullen","given":"Eva"},{"family":"Peterson","given":"Luke"},{"family":"Gottlieb","given":"Alice B."}],"issued":{"date-parts":[["2021"]]}}}],"schema":"https://github.com/citation-style-language/schema/raw/master/csl-citation.json"}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57</w:t>
            </w:r>
            <w:r w:rsidRPr="0013755F">
              <w:rPr>
                <w:rFonts w:ascii="Times New Roman" w:hAnsi="Times New Roman" w:cs="Times New Roman"/>
                <w:sz w:val="20"/>
                <w:szCs w:val="20"/>
                <w:lang w:val="en-GB"/>
              </w:rPr>
              <w:fldChar w:fldCharType="end"/>
            </w:r>
            <w:r w:rsidRPr="0013755F">
              <w:rPr>
                <w:rFonts w:ascii="Times New Roman" w:hAnsi="Times New Roman" w:cs="Times New Roman"/>
                <w:color w:val="auto"/>
                <w:sz w:val="20"/>
                <w:szCs w:val="20"/>
                <w:lang w:val="en-GB"/>
              </w:rPr>
              <w:t xml:space="preserve"> , Papp (2021)</w:t>
            </w:r>
            <w:r w:rsidR="00FE2771"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{"citationID":"EGaMbuLR","properties":{"formattedCitation":"\\super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00FE2771"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00FE2771" w:rsidRPr="0013755F">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Mar>
              <w:top w:w="28" w:type="dxa"/>
              <w:bottom w:w="28" w:type="dxa"/>
            </w:tcMar>
            <w:vAlign w:val="center"/>
          </w:tcPr>
          <w:p w14:paraId="59A7BDA9" w14:textId="685260A4" w:rsidR="00A35209" w:rsidRPr="0013755F" w:rsidRDefault="00A35209" w:rsidP="00D06CBB">
            <w:pPr>
              <w:spacing w:before="0" w:after="0" w:line="240" w:lineRule="auto"/>
              <w:jc w:val="center"/>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Reich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{"citationID":"3DZYuhEU","properties":{"formattedCitation":"\\super 39\\nosupersub{}","plainCitation":"39","noteIndex":0},"citationItems":[{"id":53733,"uris":["http://zotero.org/groups/337550/items/PJF3MMTT"],"uri":["http://zotero.org/groups/337550/items/PJF3MMTT"],"itemData":{"id":53733,"type":"article-journal","abstract":"BACKGROUND: There is an unmet need for a treatment for psoriasis that results in complete skin clearance with a reliably quick response. Bimekizumab is a monoclonal IgG1 antibody that selectively inhibits interleukin (IL)-17F in addition to IL-17A. We aimed to compare the efficacy and safety of bimekizumab with placebo and ustekinumab in patients with moderate to severe plaque psoriasis over 52 weeks.\nMETHODS: BE VIVID was a multicentre, randomised, double-blind, active comparator and placebo controlled phase 3 trial done across 105 sites (clinics, hospitals, research units, and private practices) in 11 countries in Asia, Australia, Europe, and North America. Adults aged 18 years or older with moderate to severe plaque psoriasis (Psoriasis Area and Severity Index [PASI] score ≥12, ≥10% body surface area affected by psoriasis, and Investigator's Global Assessment [IGA] score ≥3 on a five point scale) were included. Randomisation was stratified by geographical region and previous exposure to biologics; patients, investigators, and sponsors were masked to treatment assignment. Patients were randomly assigned (4:2:1) using an interactive response technology to bimekizumab 320 mg every 4 weeks, ustekinumab 45 mg or 90 mg (baseline weight-dependent dosing) at weeks 0 and 4, then every 12 weeks, or placebo every 4 weeks. At week 16, patients receiving placebo switched to bimekizumab 320 mg every 4 weeks. All study treatments were administered as two subcutaneous injections. Coprimary endpoints were the proportion of patients with 90% improvement in the PASI (PASI90) and the proportion of patients with an IGA response of clear or almost clear (score 0 or 1) at week 16 (non-responder imputation). Efficacy analyses included the intention-to-treat population; safety analysis included patients who received at least one dose of study treatment. This trial was registered at ClinicalTrials.gov, NCT03370133 (completed).\nFINDINGS: Between Dec 6, 2017, and Dec 13, 2019, 735 patients were screened and 567 were enrolled and randomly assigned (bimekizumab 320 mg every 4 weeks n=321, ustekinumab 45 mg or 90 mg every 12 weeks n=163, placebo n=83). At week 16, 273 (85%) of 321 patients in the bimekizumab group had PASI90 versus 81 (50%) of 163 in the ustekinumab group (risk difference 35 [95% CI 27-43]; p&lt;0·0001) and four (5%) of 83 in the placebo group (risk difference 80 [74-86]; p&lt;0·0001). At week 16, 270 (84%) patients in the bimekizumab group had an IGA response versus 87 (53%) in the ustekinumab group (risk difference 30 [95% CI 22-39]; p&lt;0·0001) and four (5%) in the placebo group (risk difference 79 [73-85]; p&lt;0·0001). Over 52 weeks, serious treatment-emergent adverse events were reported in 24 (6%) of 395 patients in the bimekizumab group (including those who switched from placebo at week 16) and 13 (8%) of 163 in the ustekinumab group.\nINTERPRETATION: Bimekizumab was more efficacious than ustekinumab and placebo in the treatment of moderate to severe plaque psoriasis. The bimekizumab safety profile was consistent with that observed in previous studies.\nFUNDING: UCB Pharma.","container-title":"Lancet (London, England)","DOI":"10.1016/S0140-6736(21)00125-2","ISSN":"1474-547X","issue":"10273","journalAbbreviation":"Lancet","language":"eng","note":"PMID: 33549193","page":"487-498","source":"PubMed","title":"Bimekizumab versus ustekinumab for the treatment of moderate to severe plaque psoriasis (BE VIVID): efficacy and safety from a 52-week, multicentre, double-blind, active comparator and placebo controlled phase 3 trial","title-short":"Bimekizumab versus ustekinumab for the treatment of moderate to severe plaque psoriasis (BE VIVID)","volume":"397","author":[{"family":"Reich","given":"Kristian"},{"family":"Papp","given":"Kim A."},{"family":"Blauvelt","given":"Andrew"},{"family":"Langley","given":"Richard G."},{"family":"Armstrong","given":"April"},{"family":"Warren","given":"Richard B."},{"family":"Gordon","given":"Kenneth B."},{"family":"Merola","given":"Joseph F."},{"family":"Okubo","given":"Yukari"},{"family":"Madden","given":"Cynthia"},{"family":"Wang","given":"Maggie"},{"family":"Cioffi","given":"Christopher"},{"family":"Vanvoorden","given":"Veerle"},{"family":"Lebwohl","given":"Mark"}],"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39</w:t>
            </w:r>
            <w:r w:rsidRPr="0013755F">
              <w:rPr>
                <w:rFonts w:ascii="Times New Roman" w:hAnsi="Times New Roman" w:cs="Times New Roman"/>
                <w:sz w:val="20"/>
                <w:szCs w:val="20"/>
                <w:lang w:val="en-GB"/>
              </w:rPr>
              <w:fldChar w:fldCharType="end"/>
            </w:r>
            <w:r w:rsidR="00FE2771" w:rsidRPr="0013755F">
              <w:rPr>
                <w:rFonts w:ascii="Times New Roman" w:hAnsi="Times New Roman" w:cs="Times New Roman"/>
                <w:color w:val="auto"/>
                <w:sz w:val="20"/>
                <w:szCs w:val="20"/>
                <w:lang w:val="en-GB"/>
              </w:rPr>
              <w:t xml:space="preserve"> , Daddy (2021)</w:t>
            </w:r>
            <w:r w:rsidR="00FE2771"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{"citationID":"ykNHWPD2","properties":{"formattedCitation":"\\super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00FE2771"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00FE2771" w:rsidRPr="0013755F">
              <w:rPr>
                <w:rFonts w:ascii="Times New Roman" w:hAnsi="Times New Roman" w:cs="Times New Roman"/>
                <w:sz w:val="20"/>
                <w:szCs w:val="20"/>
                <w:lang w:val="en-GB"/>
              </w:rPr>
              <w:fldChar w:fldCharType="end"/>
            </w:r>
          </w:p>
        </w:tc>
        <w:tc>
          <w:tcPr>
            <w:tcW w:w="2126" w:type="dxa"/>
            <w:gridSpan w:val="2"/>
            <w:tcMar>
              <w:top w:w="28" w:type="dxa"/>
              <w:bottom w:w="28" w:type="dxa"/>
            </w:tcMar>
            <w:vAlign w:val="center"/>
          </w:tcPr>
          <w:p w14:paraId="1323EFB6" w14:textId="4D5DD899" w:rsidR="00A35209" w:rsidRPr="0013755F" w:rsidRDefault="00FE2771"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Daddy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{"citationID":"vn1r10FS","properties":{"formattedCitation":"\\super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Pr="0013755F">
              <w:rPr>
                <w:rFonts w:ascii="Times New Roman" w:hAnsi="Times New Roman" w:cs="Times New Roman"/>
                <w:sz w:val="20"/>
                <w:szCs w:val="20"/>
                <w:lang w:val="en-GB"/>
              </w:rPr>
              <w:fldChar w:fldCharType="end"/>
            </w:r>
            <w:r w:rsidR="00EE489C" w:rsidRPr="0013755F">
              <w:rPr>
                <w:rFonts w:ascii="Times New Roman" w:hAnsi="Times New Roman" w:cs="Times New Roman"/>
                <w:color w:val="auto"/>
                <w:sz w:val="20"/>
                <w:szCs w:val="20"/>
                <w:lang w:val="en-GB"/>
              </w:rPr>
              <w:t>, Mrovietz (2019)</w:t>
            </w:r>
            <w:r w:rsidR="00EE489C"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{"citationID":"cfK6LMZd","properties":{"formattedCitation":"\\super 58\\nosupersub{}","plainCitation":"58","noteIndex":0},"citationItems":[{"id":58442,"uris":["http://zotero.org/groups/337550/items/A5BWPQPY"],"uri":["http://zotero.org/groups/337550/items/A5BWPQPY"],"itemData":{"id":58442,"type":"article-journal","abstract":"BACKGROUND: Palmoplantar pustular psoriasis (PPP) is a debilitating disease of the palms and/or soles that is resistant to treatment. Secukinumab, an anti-interleukin 17A monoclonal antibody, is highly efficacious in the treatment of moderate-to-severe psoriasis.\nOBJECTIVE: The primary objective was to determine the rate of achievement of a 75% improvement from baseline in Palmoplantar Psoriasis Area and Severity Index (PPPASI75) with secukinumab at week 16 versus with placebo (at a 2.5% significance level).\nMETHODS: 2PRECISE was a phase 3b multicenter, randomized, double-blind, placebo-controlled, parallel-group study comparing treatment with 300 mg of secukinumab (n = 79), 150 mg of secukinumab (n = 80), and placebo (n = 78) in subjects with moderate-to-severe PPP over a period of 52 weeks.\nRESULTS: The primary end point was not met. At week 16, 26.6% of subjects treated with 300 mg of secukinumab achieved PPPASI75 versus 14.1% of those who received placebo (P = .0411) (odds ratio, 2.62; 95% confidence interval, 1.04-6.60). At week 52, 41.8% of subjects treated with 300 mg of secukinumab had achieved ppPASI75. More Dermatology Life Quality Index responses of 0 or 1 were achieved with 300 mg of secukinumab (13.0%) than with placebo (4.3%) at week 16. At week 52, 43.1% of subjects receiving 300 mg of secukinumab had a Dermatology Life Quality Index response of 0 or 1. No unexpected adverse events were observed.\nLIMITATIONS: Small sample size and characteristics of the PPP disease course.\nCONCLUSION: Patients with PPP who were treated with secukinumab, 300 mg, showed benefit in terms of PPPASI75 responses over 52 weeks and improved quality of life.","container-title":"Journal of the American Academy of Dermatology","DOI":"10.1016/j.jaad.2019.01.066","ISSN":"1097-6787","issue":"5","journalAbbreviation":"J Am Acad Dermatol","language":"eng","note":"PMID: 30716404","page":"1344-1352","source":"PubMed","title":"Secukinumab for moderate-to-severe palmoplantar pustular psoriasis: Results of the 2PRECISE study","title-short":"Secukinumab for moderate-to-severe palmoplantar pustular psoriasis","volume":"80","author":[{"family":"Mrowietz","given":"Ulrich"},{"family":"Bachelez","given":"Hervé"},{"family":"Burden","given":"A. David"},{"family":"Rissler","given":"Michael"},{"family":"Sieder","given":"Christian"},{"family":"Orsenigo","given":"Roberto"},{"family":"Chaouche-Teyara","given":"Kamel"}],"issued":{"date-parts":[["2019"]]}}}],"schema":"https://github.com/citation-style-language/schema/raw/master/csl-citation.json"} </w:instrText>
            </w:r>
            <w:r w:rsidR="00EE489C"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58</w:t>
            </w:r>
            <w:r w:rsidR="00EE489C" w:rsidRPr="0013755F">
              <w:rPr>
                <w:rFonts w:ascii="Times New Roman" w:hAnsi="Times New Roman" w:cs="Times New Roman"/>
                <w:sz w:val="20"/>
                <w:szCs w:val="20"/>
                <w:lang w:val="en-GB"/>
              </w:rPr>
              <w:fldChar w:fldCharType="end"/>
            </w:r>
            <w:r w:rsidR="00564FC7" w:rsidRPr="0013755F">
              <w:rPr>
                <w:rFonts w:ascii="Times New Roman" w:hAnsi="Times New Roman" w:cs="Times New Roman"/>
                <w:color w:val="auto"/>
                <w:sz w:val="20"/>
                <w:szCs w:val="20"/>
                <w:lang w:val="en-GB"/>
              </w:rPr>
              <w:t>, Reich (2021)</w:t>
            </w:r>
            <w:r w:rsidR="00564FC7"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{"citationID":"UxBeglgW","properties":{"formattedCitation":"\\super 59\\nosupersub{}","plainCitation":"59","noteIndex":0},"citationItems":[{"id":58457,"uris":["http://zotero.org/groups/337550/items/E7AHFNTU"],"uri":["http://zotero.org/groups/337550/items/E7AHFNTU"],"itemData":{"id":58457,"type":"article-journal","abstract":"BACKGROUND: Secukinumab, a fully human monoclonal antibody that selectively neutralizes interleukin-17A, a cornerstone cytokine in psoriasis, has shown long-lasting efficacy and safety in the complete spectrum of psoriasis manifestations.\nOBJECTIVES: To report the long-term (2·5-year) efficacy and safety of secukinumab in nail psoriasis.\nMETHODS: TRANSFIGURE, a double-blind, randomized, placebo-controlled, parallel-group, multicentre phase IIIb study in 198 patients, investigated secukinumab 150 mg and 300 mg in patients with moderate-to-severe nail psoriasis.\nRESULTS: At week 16, the primary endpoint Nail Psoriasis Severity Index (NAPSI) was met, demonstrating superiority of secukinumab to placebo. The effect was sustained over 2·5 years with a large benefit for nail clearance, with mean NAPSI improvement of -73·3% and -63·6% with secukinumab 300 mg and 150 mg, respectively. At 2·5 years, secukinumab demonstrated sustained clinically significant reductions in total mean Nail Assessment in Psoriasis and Psoriatic Arthritis (NAPPA) quality-of-life (QoL) scores of -52·4% and -18·1%, and 70% and 71% of patients achieved a weighted NAPPA Patient Benefit Index global score of ≥ 2 with secukinumab 300 mg and 150 mg, respectively. Patients showed considerable improvements in the EuroQol 5-Dimension health status questionnaire at 2·5 years, reporting a decrease in pain and discomfort. No new safety findings were observed.\nCONCLUSIONS: Secukinumab demonstrated strong and clinically meaningful efficacy for up to 2·5 years in nail psoriasis, with significant sustained QoL improvements and a favourable safety profile.","container-title":"The British Journal of Dermatology","DOI":"10.1111/bjd.19262","ISSN":"1365-2133","issue":"3","journalAbbreviation":"Br J Dermatol","language":"eng","note":"PMID: 32479641","page":"425-436","source":"PubMed","title":"Secukinumab shows high and sustained efficacy in nail psoriasis: 2.5-year results from the randomized placebo-controlled TRANSFIGURE study","title-short":"Secukinumab shows high and sustained efficacy in nail psoriasis","volume":"184","author":[{"family":"Reich","given":"K."},{"family":"Sullivan","given":"J."},{"family":"Arenberger","given":"P."},{"family":"Jazayeri","given":"S."},{"family":"Mrowietz","given":"U."},{"family":"Augustin","given":"M."},{"family":"Elewski","given":"B."},{"family":"You","given":"R."},{"family":"Regnault","given":"P."},{"family":"Frueh","given":"J. A."}],"issued":{"date-parts":[["2021",3]]}}}],"schema":"https://github.com/citation-style-language/schema/raw/master/csl-citation.json"} </w:instrText>
            </w:r>
            <w:r w:rsidR="00564FC7"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59</w:t>
            </w:r>
            <w:r w:rsidR="00564FC7" w:rsidRPr="0013755F">
              <w:rPr>
                <w:rFonts w:ascii="Times New Roman" w:hAnsi="Times New Roman" w:cs="Times New Roman"/>
                <w:sz w:val="20"/>
                <w:szCs w:val="20"/>
                <w:lang w:val="en-GB"/>
              </w:rPr>
              <w:fldChar w:fldCharType="end"/>
            </w:r>
          </w:p>
        </w:tc>
        <w:tc>
          <w:tcPr>
            <w:cnfStyle w:val="000010000000" w:firstRow="0" w:lastRow="0" w:firstColumn="0" w:lastColumn="0" w:oddVBand="1" w:evenVBand="0" w:oddHBand="0" w:evenHBand="0" w:firstRowFirstColumn="0" w:firstRowLastColumn="0" w:lastRowFirstColumn="0" w:lastRowLastColumn="0"/>
            <w:tcW w:w="2126" w:type="dxa"/>
            <w:gridSpan w:val="2"/>
            <w:tcMar>
              <w:top w:w="28" w:type="dxa"/>
              <w:bottom w:w="28" w:type="dxa"/>
            </w:tcMar>
            <w:vAlign w:val="center"/>
          </w:tcPr>
          <w:p w14:paraId="64AFE17F" w14:textId="3E392003" w:rsidR="00A35209" w:rsidRPr="0013755F" w:rsidRDefault="00A35209" w:rsidP="00D06CBB">
            <w:pPr>
              <w:spacing w:before="0" w:after="0" w:line="240" w:lineRule="auto"/>
              <w:jc w:val="center"/>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Gordon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{"citationID":"wwSleq8t","properties":{"formattedCitation":"\\super 37\\nosupersub{}","plainCitation":"37","noteIndex":0},"citationItems":[{"id":53737,"uris":["http://zotero.org/groups/337550/items/LB8XUS6F"],"uri":["http://zotero.org/groups/337550/items/LB8XUS6F"],"itemData":{"id":53737,"type":"article-journal","abstract":"BACKGROUND: Bimekizumab is a monoclonal IgG1 antibody that selectively inhibits interleukin (IL)-17F in addition to IL-17A. This study investigated the efficacy and safety of bimekizumab in patients with moderate to severe plaque psoriasis, the effects of treatment withdrawal, and two maintenance dosing schedules over 56 weeks.\nMETHODS: BE READY was a phase 3, multicentre, randomised, double-blind, placebo-controlled trial done at 77 sites (hospitals, clinics, private doctor's practices, and dedicated clinical research centres) in nine countries across Asia, Australia, Europe, and North America. Adult patients aged 18 years or older with moderate to severe plaque psoriasis were stratified by region and previous biologic exposure, and randomly assigned (4:1) to receive bimekizumab 320 mg every 4 weeks or placebo every 4 weeks by use of interactive response technology. Coprimary endpoints were the proportion of patients achieving 90% or greater improvement from baseline in the Psoriasis Area Severity Index (PASI90) and the proportion of patients achieving a score of 0 (clear) or 1 (almost clear) on the five-point Investigator's Global Assessment (IGA) scale at week 16 (non-responder imputation). Bimekizumab-treated patients achieving PASI90 at week 16 were re-allocated (1:1:1) to receive bimekizumab 320 mg every 4 weeks, every 8 weeks, or placebo for weeks 16-56. Efficacy analyses were done in the intention-to-treat population; the safety analysis set comprised all patients who received at least one dose of study treatment. This trial is registered with ClinicalTrials.gov (NCT03410992), and is now completed.\nFINDINGS: Between Feb 5, 2018, and Jan 7, 2020, 435 patients were randomly assigned to receive either bimekizumab 320 mg every 4 weeks (n=349) or placebo every 4 weeks (n=86). Coprimary endpoints were met: at week 16, 317 (91%) of 349 patients receiving bimekizumab 320 mg every 4 weeks achieved PASI90, compared with one (1%) of 86 patients receiving placebo (risk difference 89·8 [95% CI 86·1-93·4]; p&lt;0·0001); and 323 (93%) of 349 patients receiving bimekizumab 320 mg every 4 weeks achieved an IGA score of 0 or 1 versus one (1%) of 86 patients receiving placebo (risk difference 91·5 [95% CI 88·0-94·9]; p&lt;0·0001). Responses were maintained through to week 56 with bimekizumab 320 mg every 8 weeks and every 4 weeks. Treatment-emergent adverse events in the initial treatment period (up to week 16) were reported in 213 (61%) of 349 patients receiving bimekizumab 320 mg every 4 weeks and 35 (41%) of 86 patients receiving placebo every 4 weeks. From week 16 to week 56, treatment-emergent adverse events were reported in 78 (74%) of 106 patients receiving bimekizumab 320 mg every 4 weeks, 77 (77%) of 100 patients receiving bimekizumab 320 mg every 8 weeks, and 72 (69%) of 105 patients receiving placebo.\nINTERPRETATION: Bimekizumab showed high levels of response, which were durable over 56 weeks, with both maintenance dosing schedules (every 4 weeks and every 8 weeks). Moreover, bimekizumab was well tolerated, with no unexpected safety findings. Data presented here further support the therapeutic value of bimekizumab and inhibition of IL-17F in addition to IL-17A for patients with moderate to severe plaque psoriasis.\nFUNDING: UCB Pharma.","container-title":"Lancet (London, England)","DOI":"10.1016/S0140-6736(21)00126-4","ISSN":"1474-547X","issue":"10273","journalAbbreviation":"Lancet","language":"eng","note":"PMID: 33549192","page":"475-486","source":"PubMed","title":"Bimekizumab efficacy and safety in moderate to severe plaque psoriasis (BE READY): a multicentre, double-blind, placebo-controlled, randomised withdrawal phase 3 trial","title-short":"Bimekizumab efficacy and safety in moderate to severe plaque psoriasis (BE READY)","volume":"397","author":[{"family":"Gordon","given":"Kenneth B."},{"family":"Foley","given":"Peter"},{"family":"Krueger","given":"James G."},{"family":"Pinter","given":"Andreas"},{"family":"Reich","given":"Kristian"},{"family":"Vender","given":"Ronald"},{"family":"Vanvoorden","given":"Veerle"},{"family":"Madden","given":"Cynthia"},{"family":"White","given":"Katy"},{"family":"Cioffi","given":"Christopher"},{"family":"Blauvelt","given":"Andrew"}],"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37</w:t>
            </w:r>
            <w:r w:rsidRPr="0013755F">
              <w:rPr>
                <w:rFonts w:ascii="Times New Roman" w:hAnsi="Times New Roman" w:cs="Times New Roman"/>
                <w:sz w:val="20"/>
                <w:szCs w:val="20"/>
                <w:lang w:val="en-GB"/>
              </w:rPr>
              <w:fldChar w:fldCharType="end"/>
            </w:r>
            <w:r w:rsidRPr="0013755F">
              <w:rPr>
                <w:rFonts w:ascii="Times New Roman" w:hAnsi="Times New Roman" w:cs="Times New Roman"/>
                <w:color w:val="auto"/>
                <w:sz w:val="20"/>
                <w:szCs w:val="20"/>
                <w:lang w:val="en-GB"/>
              </w:rPr>
              <w:t xml:space="preserve"> , Reich (2017)</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{"citationID":"F8f1DlAx","properties":{"formattedCitation":"\\super 60\\nosupersub{}","plainCitation":"60","noteIndex":0},"citationItems":[{"id":57718,"uris":["http://zotero.org/groups/337550/items/3BQDTS5Y"],"uri":["http://zotero.org/groups/337550/items/3BQDTS5Y"],"itemData":{"id":57718,"type":"article-journal","abstract":"BACKGROUND: Scalp is a frequently affected and difficult-to-treat area in psoriasis patients.\nOBJECTIVE: We assessed the efficacy of ixekizumab in the treatment of patients with scalp psoriasis over 60 weeks using the Psoriasis Scalp Severity Index (PSSI).\nMETHODS: In three Phase 3, multicenter, double-blind, placebo-controlled trials, patients with moderate-to-severe psoriasis in UNCOVER-1 (N = 1296), UNCOVER-2 (N = 1224) and UNCOVER-3 (N = 1346) were randomized to subcutaneous 80 mg ixekizumab every two weeks (Q2W) or every four weeks (Q4W) after a 160 mg starting dose, or placebo through Week 12. Additional UNCOVER-2 and UNCOVER-3 cohorts were randomized to 50 mg bi-weekly etanercept through Week 12. Patients entering the open-label long-term extension (LTE) (UNCOVER-3) received ixekizumab Q4W; UNCOVER-1 and UNCOVER-2 included a blinded maintenance period in which static physician global assessment (sPGA) 0/1 responders were re-randomized to placebo, ixekizumab Q4W, or 80 mg ixekizumab every 12 weeks (Q12W) through Week 60.\nRESULTS: In patients with moderate-to-severe psoriasis with baseline scalp involvement, PSSI 90 and 100 were achieved at Week 12 in higher percentages of patients treated with ixekizumab Q2W (81.7% and 74.6%) or ixekizumab Q4W (75.6% and 68.9%) compared with patients treated with placebo (7.6% and 6.7%; p &lt; .001 each ixekizumab arm versus placebo) or etanercept (55.5% and 48.1%; p &lt; .001 each ixekizumab arm versus etanercept). These outcomes were maintained through Week 60 of the maintenance (UNCOVER-1 and UNCOVER-2) and LTE (UNCOVER-3) period in patients who continued on ixekizumab Q4W.\nCONCLUSION: Ixekizumab was efficacious in treating scalp psoriasis in patients with moderate-to-severe psoriasis, with most patients achieving complete or near-complete resolution of scalp psoriasis and maintaining this response over 60 weeks.","container-title":"The Journal of Dermatological Treatment","DOI":"10.1080/09546634.2016.1249820","ISSN":"1471-1753","issue":"4","journalAbbreviation":"J Dermatolog Treat","language":"eng","note":"PMID: 27759463","page":"282-287","source":"PubMed","title":"Sustained response with ixekizumab treatment of moderate-to-severe psoriasis with scalp involvement: results from three phase 3 trials (UNCOVER-1, UNCOVER-2, UNCOVER-3)","title-short":"Sustained response with ixekizumab treatment of moderate-to-severe psoriasis with scalp involvement","volume":"28","author":[{"family":"Reich","given":"Kristian"},{"family":"Leonardi","given":"Craig"},{"family":"Lebwohl","given":"Mark"},{"family":"Kerdel","given":"Francisco"},{"family":"Okubo","given":"Yukari"},{"family":"Romiti","given":"Ricardo"},{"family":"Goldblum","given":"Orin"},{"family":"Dennehy","given":"Ellen B."},{"family":"Kerr","given":"Lisa"},{"family":"Sofen","given":"Howard"}],"issued":{"date-parts":[["2017"]]}}}],"schema":"https://github.com/citation-style-language/schema/raw/master/csl-citation.json"}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60</w:t>
            </w:r>
            <w:r w:rsidRPr="0013755F">
              <w:rPr>
                <w:rFonts w:ascii="Times New Roman" w:hAnsi="Times New Roman" w:cs="Times New Roman"/>
                <w:sz w:val="20"/>
                <w:szCs w:val="20"/>
                <w:lang w:val="en-GB"/>
              </w:rPr>
              <w:fldChar w:fldCharType="end"/>
            </w:r>
            <w:r w:rsidR="00FE2771" w:rsidRPr="0013755F">
              <w:rPr>
                <w:rFonts w:ascii="Times New Roman" w:hAnsi="Times New Roman" w:cs="Times New Roman"/>
                <w:color w:val="auto"/>
                <w:sz w:val="20"/>
                <w:szCs w:val="20"/>
                <w:lang w:val="en-GB"/>
              </w:rPr>
              <w:t>, Daddy (2021)</w:t>
            </w:r>
            <w:r w:rsidR="00FE2771"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{"citationID":"dXXvovFK","properties":{"formattedCitation":"\\super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00FE2771"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00FE2771" w:rsidRPr="0013755F">
              <w:rPr>
                <w:rFonts w:ascii="Times New Roman" w:hAnsi="Times New Roman" w:cs="Times New Roman"/>
                <w:sz w:val="20"/>
                <w:szCs w:val="20"/>
                <w:lang w:val="en-GB"/>
              </w:rPr>
              <w:fldChar w:fldCharType="end"/>
            </w:r>
            <w:r w:rsidR="00F26730" w:rsidRPr="0013755F">
              <w:rPr>
                <w:rFonts w:ascii="Times New Roman" w:hAnsi="Times New Roman" w:cs="Times New Roman"/>
                <w:color w:val="auto"/>
                <w:sz w:val="20"/>
                <w:szCs w:val="20"/>
                <w:lang w:val="en-GB"/>
              </w:rPr>
              <w:t>, van de Kerkhof (2017)</w:t>
            </w:r>
            <w:r w:rsidR="00F26730"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{"citationID":"FZ3dQBOR","properties":{"formattedCitation":"\\super 61\\nosupersub{}","plainCitation":"61","noteIndex":0},"citationItems":[{"id":58461,"uris":["http://zotero.org/groups/337550/items/TGIAI8E6"],"uri":["http://zotero.org/groups/337550/items/TGIAI8E6"],"itemData":{"id":58461,"type":"article-journal","abstract":"BACKGROUND: Fingernail psoriasis is difficult to treat.\nOBJECTIVE: The objective was to evaluate the effect of ixekizumab, a monoclonal antibody selectively targeting IL-17A, on fingernail psoriasis.\nMETHODS: This Phase 3, double-blind trial (UNCOVER-3) randomized patients to placebo, etanercept (50-mg twice weekly), or 80 mg ixekizumab as one injection every 4 (IXE Q4W) or 2 weeks (IXE Q2W) after a 160-mg starting dose. At Week 12, ixekizumab patients received open-label IXE Q4W through Week 60; placebo patients received a 160-mg starting ixekizumab dose and etanercept patients a 4-week placebo washout before starting IXE Q4W. Efficacy was assessed by mean per cent Nail Psoriasis Severity Index (NAPSI) improvement at Weeks 12 and 60.\nRESULTS: Of 1346 patients in the UNCOVER-3 trial, this subgroup analysis included only patients with baseline fingernail psoriasis: 116 (60.1%) placebo, 236 (61.8%) etanercept, 228 (59.1%) IXE Q4W and 229 (59.5%) IXE Q2W. At Week 12, greater mean per cent NAPSI improvements were achieved in IXE Q4W (36.7%) and IXE Q2W (35.2%) vs. placebo (-34.3%, P &lt; 0.001 each comparison) and etanercept (20.0%, P = 0.048 vs. Q4W, P = 0.072 vs. Q2W). At Week 60, mean per cent NAPSI improvement was &gt;80% regardless of initial treatment. At Week 12 (nonresponder imputation), complete resolution (NAPSI = 0) was achieved in 19.7% (IXE Q4W), 17.5% (IXE Q2W), 4.3% (placebo, P &lt; 0.001 each comparison) and 10.2% (etanercept, P &lt; 0.05 each comparison) of patients. By Week 60, &gt;50% of patients achieved complete resolution.\nCONCLUSIONS: At Week 12, significant improvements in fingernail psoriasis were achieved with ixekizumab therapy. With IXE Q4W maintenance dosing, additional improvement was demonstrated through 60 weeks, and &gt;50% of patients achieved complete resolution. Registered at clinicaltrials.gov: NCT01646177.","container-title":"Journal of the European Academy of Dermatology and Venereology: JEADV","DOI":"10.1111/jdv.14033","ISSN":"1468-3083","issue":"3","journalAbbreviation":"J Eur Acad Dermatol Venereol","language":"eng","note":"PMID: 27910156","page":"477-482","source":"PubMed","title":"Ixekizumab treatment improves fingernail psoriasis in patients with moderate-to-severe psoriasis: results from the randomized, controlled and open-label phases of UNCOVER-3","title-short":"Ixekizumab treatment improves fingernail psoriasis in patients with moderate-to-severe psoriasis","volume":"31","author":[{"family":"Kerkhof","given":"P.","non-dropping-particle":"van de"},{"family":"Guenther","given":"L."},{"family":"Gottlieb","given":"A. B."},{"family":"Sebastian","given":"M."},{"family":"Wu","given":"J. J."},{"family":"Foley","given":"P."},{"family":"Morita","given":"A."},{"family":"Goldblum","given":"O."},{"family":"Zhang","given":"L."},{"family":"Erickson","given":"J."},{"family":"Ball","given":"S."},{"family":"Rich","given":"P."}],"issued":{"date-parts":[["2017"]]}},"locator":"-3"}],"schema":"https://github.com/citation-style-language/schema/raw/master/csl-citation.json"} </w:instrText>
            </w:r>
            <w:r w:rsidR="00F26730"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61</w:t>
            </w:r>
            <w:r w:rsidR="00F26730" w:rsidRPr="0013755F">
              <w:rPr>
                <w:rFonts w:ascii="Times New Roman" w:hAnsi="Times New Roman" w:cs="Times New Roman"/>
                <w:sz w:val="20"/>
                <w:szCs w:val="20"/>
                <w:lang w:val="en-GB"/>
              </w:rPr>
              <w:fldChar w:fldCharType="end"/>
            </w:r>
            <w:r w:rsidR="008C73CD" w:rsidRPr="0013755F">
              <w:rPr>
                <w:rFonts w:ascii="Times New Roman" w:hAnsi="Times New Roman" w:cs="Times New Roman"/>
                <w:color w:val="auto"/>
                <w:sz w:val="20"/>
                <w:szCs w:val="20"/>
                <w:lang w:val="en-GB"/>
              </w:rPr>
              <w:t>, Guenther (2020)</w:t>
            </w:r>
            <w:r w:rsidR="008C73CD"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{"citationID":"AHTtHAeS","properties":{"formattedCitation":"\\super 62\\nosupersub{}","plainCitation":"62","noteIndex":0},"citationItems":[{"id":58476,"uris":["http://zotero.org/groups/337550/items/8TD3VVKV"],"uri":["http://zotero.org/groups/337550/items/8TD3VVKV"],"itemData":{"id":58476,"type":"article-journal","abstract":"Ixekizumab was efficacious in treating moderate-to-severe genital psoriasis over 12 weeks. We evaluated the long-term efficacy and safety of ixekizumab for up to 52 weeks. Patients were randomized to 80 mg ixekizumab every 2 weeks or to placebo through Week 12, then received 80 mg open-label ixekizumab every 4 weeks through Week 52. In patients initially randomized to ixekizumab, clear or almost clear genital skin was achieved for 73% of patients at Week 12 and 75% at Week 52. Persistent improvements were also observed for overall psoriasis, genital itch, and the impact of genital psoriasis on the frequency of sexual activity. The safety profile was consistent with studies of ixekizumab in patients with moderate-to-severe plaque psoriasis. Ixekizumab provided rapid and persistent improvements in the signs and symptoms of genital psoriasis for up to 52 weeks of treatment.","container-title":"Acta Dermato-Venereologica","DOI":"10.2340/00015555-3353","ISSN":"1651-2057","issue":"1","journalAbbreviation":"Acta Derm Venereol","language":"eng","note":"PMID: 31620802","page":"adv00006","source":"PubMed","title":"Ixekizumab Results in Persistent Clinical Improvement in Moderate-to-Severe Genital Psoriasis During a 52 Week, Randomized, Placebo-Controlled, Phase 3 Clinical Trial","volume":"100","author":[{"family":"Guenther","given":"Lyn"},{"family":"Potts Bleakman","given":"Alison"},{"family":"Weisman","given":"Jamie"},{"family":"Poulin","given":"Yves"},{"family":"Spelman","given":"Lynda"},{"family":"Burge","given":"Russel"},{"family":"Erickson","given":"Janelle"},{"family":"Todd","given":"Kristin"},{"family":"Bertram","given":"Clinton C."},{"family":"Ryan","given":"Caitriona"}],"issued":{"date-parts":[["2020"]]}}}],"schema":"https://github.com/citation-style-language/schema/raw/master/csl-citation.json"} </w:instrText>
            </w:r>
            <w:r w:rsidR="008C73CD"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62</w:t>
            </w:r>
            <w:r w:rsidR="008C73CD" w:rsidRPr="0013755F">
              <w:rPr>
                <w:rFonts w:ascii="Times New Roman" w:hAnsi="Times New Roman" w:cs="Times New Roman"/>
                <w:sz w:val="20"/>
                <w:szCs w:val="20"/>
                <w:lang w:val="en-GB"/>
              </w:rPr>
              <w:fldChar w:fldCharType="end"/>
            </w:r>
          </w:p>
        </w:tc>
        <w:tc>
          <w:tcPr>
            <w:tcW w:w="2127" w:type="dxa"/>
            <w:gridSpan w:val="2"/>
            <w:tcMar>
              <w:top w:w="28" w:type="dxa"/>
              <w:bottom w:w="28" w:type="dxa"/>
            </w:tcMar>
            <w:vAlign w:val="center"/>
          </w:tcPr>
          <w:p w14:paraId="4A6AB0CF" w14:textId="4B6C1CE0" w:rsidR="00A35209" w:rsidRPr="0013755F" w:rsidRDefault="00FE2771" w:rsidP="00D06CB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GB"/>
              </w:rPr>
            </w:pPr>
            <w:r w:rsidRPr="0013755F">
              <w:rPr>
                <w:rFonts w:ascii="Times New Roman" w:hAnsi="Times New Roman" w:cs="Times New Roman"/>
                <w:color w:val="auto"/>
                <w:sz w:val="20"/>
                <w:szCs w:val="20"/>
                <w:lang w:val="en-GB"/>
              </w:rPr>
              <w:t>Daddy (2021)</w:t>
            </w:r>
            <w:r w:rsidRPr="0013755F">
              <w:rPr>
                <w:rFonts w:ascii="Times New Roman" w:hAnsi="Times New Roman" w:cs="Times New Roman"/>
                <w:sz w:val="20"/>
                <w:szCs w:val="20"/>
                <w:lang w:val="en-GB"/>
              </w:rPr>
              <w:fldChar w:fldCharType="begin"/>
            </w:r>
            <w:r w:rsidR="007A0A45" w:rsidRPr="0013755F">
              <w:rPr>
                <w:rFonts w:ascii="Times New Roman" w:hAnsi="Times New Roman" w:cs="Times New Roman"/>
                <w:color w:val="auto"/>
                <w:sz w:val="20"/>
                <w:szCs w:val="20"/>
                <w:lang w:val="en-GB"/>
              </w:rPr>
              <w:instrText xml:space="preserve"> ADDIN ZOTERO_ITEM CSL_CITATION {"citationID":"vhUjX9m3","properties":{"formattedCitation":"\\super 56\\nosupersub{}","plainCitation":"56","noteIndex":0},"citationItems":[{"id":58445,"uris":["http://zotero.org/groups/337550/items/CSEGYMW5"],"uri":["http://zotero.org/groups/337550/items/CSEGYMW5"],"itemData":{"id":58445,"type":"article-journal","container-title":"SKIN The Journal of Cutaneous Medicine","DOI":"10.25251/skin.5.supp.18","journalAbbreviation":"SKIN The Journal of Cutaneous Medicine","page":"s18","source":"ResearchGate","title":"Bimekizumab for the Treatment of Moderate to Severe Plaque Psoriasis with Scalp, Nail and Palmoplantar Involvement Through 52 Weeks: Post-Hoc Analysis from the BE VIVID Phase 3 Trial","title-short":"Bimekizumab for the Treatment of Moderate to Severe Plaque Psoriasis with Scalp, Nail and Palmoplantar Involvement Through 52 Weeks","volume":"5","author":[{"family":"Papp","given":"Kim"},{"family":"Lebwohl","given":"M"},{"family":"Gottlieb","given":"AB"},{"family":"Sebastian","given":"M"},{"family":"Langley","given":"R"},{"family":"Okubo","given":"Y"},{"family":"Wang","given":"M"},{"family":"Cioffi","given":"C"},{"family":"Staelens","given":"F"},{"family":"Reich","given":"K"}],"issued":{"date-parts":[["2021"]]}}}],"schema":"https://github.com/citation-style-language/schema/raw/master/csl-citation.json"} </w:instrText>
            </w:r>
            <w:r w:rsidRPr="0013755F">
              <w:rPr>
                <w:rFonts w:ascii="Times New Roman" w:hAnsi="Times New Roman" w:cs="Times New Roman"/>
                <w:sz w:val="20"/>
                <w:szCs w:val="20"/>
                <w:lang w:val="en-GB"/>
              </w:rPr>
              <w:fldChar w:fldCharType="separate"/>
            </w:r>
            <w:r w:rsidR="007A0A45" w:rsidRPr="0013755F">
              <w:rPr>
                <w:rFonts w:ascii="Times New Roman" w:hAnsi="Times New Roman" w:cs="Times New Roman"/>
                <w:sz w:val="20"/>
                <w:szCs w:val="20"/>
                <w:vertAlign w:val="superscript"/>
              </w:rPr>
              <w:t>56</w:t>
            </w:r>
            <w:r w:rsidRPr="0013755F">
              <w:rPr>
                <w:rFonts w:ascii="Times New Roman" w:hAnsi="Times New Roman" w:cs="Times New Roman"/>
                <w:sz w:val="20"/>
                <w:szCs w:val="20"/>
                <w:lang w:val="en-GB"/>
              </w:rPr>
              <w:fldChar w:fldCharType="end"/>
            </w:r>
          </w:p>
        </w:tc>
      </w:tr>
      <w:tr w:rsidR="000A7705" w:rsidRPr="00CA010C" w14:paraId="45B91E14"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shd w:val="clear" w:color="auto" w:fill="BFBFBF" w:themeFill="background1" w:themeFillShade="BF"/>
            <w:tcMar>
              <w:top w:w="28" w:type="dxa"/>
              <w:bottom w:w="28" w:type="dxa"/>
            </w:tcMar>
            <w:vAlign w:val="center"/>
          </w:tcPr>
          <w:p w14:paraId="6996F9EA" w14:textId="77777777" w:rsidR="00A35209" w:rsidRPr="00CA010C" w:rsidRDefault="00A35209" w:rsidP="00D06CBB">
            <w:pPr>
              <w:spacing w:before="0" w:after="0" w:line="240" w:lineRule="auto"/>
              <w:jc w:val="left"/>
              <w:rPr>
                <w:rFonts w:ascii="Times New Roman" w:hAnsi="Times New Roman" w:cs="Times New Roman"/>
                <w:sz w:val="20"/>
                <w:szCs w:val="20"/>
                <w:lang w:val="en-GB"/>
              </w:rPr>
            </w:pPr>
            <w:r w:rsidRPr="00CA010C">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5FFE67B6"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3" w:type="dxa"/>
            <w:shd w:val="clear" w:color="auto" w:fill="BFBFBF" w:themeFill="background1" w:themeFillShade="BF"/>
            <w:tcMar>
              <w:top w:w="28" w:type="dxa"/>
              <w:bottom w:w="28" w:type="dxa"/>
            </w:tcMar>
            <w:vAlign w:val="center"/>
          </w:tcPr>
          <w:p w14:paraId="3DDDABED"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7C1971C5"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3" w:type="dxa"/>
            <w:shd w:val="clear" w:color="auto" w:fill="BFBFBF" w:themeFill="background1" w:themeFillShade="BF"/>
            <w:tcMar>
              <w:top w:w="28" w:type="dxa"/>
              <w:bottom w:w="28" w:type="dxa"/>
            </w:tcMar>
            <w:vAlign w:val="center"/>
          </w:tcPr>
          <w:p w14:paraId="772E8820"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ADA</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4F2933AD"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3" w:type="dxa"/>
            <w:shd w:val="clear" w:color="auto" w:fill="BFBFBF" w:themeFill="background1" w:themeFillShade="BF"/>
            <w:tcMar>
              <w:top w:w="28" w:type="dxa"/>
              <w:bottom w:w="28" w:type="dxa"/>
            </w:tcMar>
            <w:vAlign w:val="center"/>
          </w:tcPr>
          <w:p w14:paraId="7AB05E05"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5B13CE6A"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3" w:type="dxa"/>
            <w:shd w:val="clear" w:color="auto" w:fill="BFBFBF" w:themeFill="background1" w:themeFillShade="BF"/>
            <w:tcMar>
              <w:top w:w="28" w:type="dxa"/>
              <w:bottom w:w="28" w:type="dxa"/>
            </w:tcMar>
            <w:vAlign w:val="center"/>
          </w:tcPr>
          <w:p w14:paraId="21E2A83A"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SEC</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0F5C8C3E"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3" w:type="dxa"/>
            <w:shd w:val="clear" w:color="auto" w:fill="BFBFBF" w:themeFill="background1" w:themeFillShade="BF"/>
            <w:tcMar>
              <w:top w:w="28" w:type="dxa"/>
              <w:bottom w:w="28" w:type="dxa"/>
            </w:tcMar>
            <w:vAlign w:val="center"/>
          </w:tcPr>
          <w:p w14:paraId="6C7CF1D3"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BFBFBF" w:themeFill="background1" w:themeFillShade="BF"/>
            <w:tcMar>
              <w:top w:w="28" w:type="dxa"/>
              <w:bottom w:w="28" w:type="dxa"/>
            </w:tcMar>
            <w:vAlign w:val="center"/>
          </w:tcPr>
          <w:p w14:paraId="10561A8D" w14:textId="77777777" w:rsidR="00A35209" w:rsidRPr="00CA010C" w:rsidRDefault="00A35209" w:rsidP="00D06CBB">
            <w:pPr>
              <w:spacing w:before="0" w:after="0" w:line="240" w:lineRule="auto"/>
              <w:jc w:val="center"/>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BKZ</w:t>
            </w:r>
          </w:p>
        </w:tc>
        <w:tc>
          <w:tcPr>
            <w:tcW w:w="1064" w:type="dxa"/>
            <w:shd w:val="clear" w:color="auto" w:fill="BFBFBF" w:themeFill="background1" w:themeFillShade="BF"/>
            <w:tcMar>
              <w:top w:w="28" w:type="dxa"/>
              <w:bottom w:w="28" w:type="dxa"/>
            </w:tcMar>
            <w:vAlign w:val="center"/>
          </w:tcPr>
          <w:p w14:paraId="5245401B"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en-GB"/>
              </w:rPr>
            </w:pPr>
            <w:r w:rsidRPr="00CA010C">
              <w:rPr>
                <w:rFonts w:ascii="Times New Roman" w:hAnsi="Times New Roman" w:cs="Times New Roman"/>
                <w:b/>
                <w:bCs/>
                <w:sz w:val="20"/>
                <w:szCs w:val="20"/>
                <w:lang w:val="en-GB"/>
              </w:rPr>
              <w:t>RIS</w:t>
            </w:r>
          </w:p>
        </w:tc>
      </w:tr>
      <w:tr w:rsidR="00CA010C" w:rsidRPr="00CA010C" w14:paraId="22B636EE" w14:textId="77777777" w:rsidTr="00CA010C">
        <w:tc>
          <w:tcPr>
            <w:cnfStyle w:val="001000000000" w:firstRow="0" w:lastRow="0" w:firstColumn="1" w:lastColumn="0" w:oddVBand="0" w:evenVBand="0" w:oddHBand="0" w:evenHBand="0" w:firstRowFirstColumn="0" w:firstRowLastColumn="0" w:lastRowFirstColumn="0" w:lastRowLastColumn="0"/>
            <w:tcW w:w="2121" w:type="dxa"/>
            <w:shd w:val="clear" w:color="auto" w:fill="D9D9D9" w:themeFill="background1" w:themeFillShade="D9"/>
            <w:tcMar>
              <w:top w:w="28" w:type="dxa"/>
              <w:bottom w:w="28" w:type="dxa"/>
            </w:tcMar>
            <w:vAlign w:val="center"/>
          </w:tcPr>
          <w:p w14:paraId="4665EEB6" w14:textId="1CB47DAE" w:rsidR="00CA010C" w:rsidRPr="00CA010C" w:rsidRDefault="00CA010C" w:rsidP="00D06CBB">
            <w:pPr>
              <w:spacing w:before="0" w:after="0" w:line="240" w:lineRule="auto"/>
              <w:jc w:val="left"/>
              <w:rPr>
                <w:rFonts w:ascii="Times New Roman" w:hAnsi="Times New Roman" w:cs="Times New Roman"/>
                <w:sz w:val="20"/>
                <w:szCs w:val="20"/>
                <w:lang w:val="en-GB"/>
              </w:rPr>
            </w:pPr>
            <w:r w:rsidRPr="00CA010C">
              <w:rPr>
                <w:rFonts w:ascii="Times New Roman" w:hAnsi="Times New Roman" w:cs="Times New Roman"/>
                <w:sz w:val="20"/>
                <w:szCs w:val="20"/>
                <w:lang w:val="en-GB"/>
              </w:rPr>
              <w:t>Scalp</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4F839282"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05986FA1"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43FF2444"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2E1F280F"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7C509BBD"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3B73AF20"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60123611"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35B1030B"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62CE80CE"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27304770"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2315D0C"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4" w:type="dxa"/>
            <w:shd w:val="clear" w:color="auto" w:fill="D9D9D9" w:themeFill="background1" w:themeFillShade="D9"/>
            <w:tcMar>
              <w:top w:w="28" w:type="dxa"/>
              <w:bottom w:w="28" w:type="dxa"/>
            </w:tcMar>
            <w:vAlign w:val="center"/>
          </w:tcPr>
          <w:p w14:paraId="3ACB422B"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r>
      <w:tr w:rsidR="004722FF" w:rsidRPr="00CA010C" w14:paraId="77013E2F"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5AEB035D" w14:textId="5EB8DC71" w:rsidR="00A35209" w:rsidRPr="00CA010C" w:rsidRDefault="00A35209"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PASI 100 </w:t>
            </w:r>
            <w:r w:rsidR="00F57B33" w:rsidRPr="00CA010C">
              <w:rPr>
                <w:rFonts w:ascii="Times New Roman" w:hAnsi="Times New Roman" w:cs="Times New Roman"/>
                <w:b w:val="0"/>
                <w:bCs w:val="0"/>
                <w:sz w:val="20"/>
                <w:szCs w:val="20"/>
                <w:lang w:val="en-GB"/>
              </w:rPr>
              <w:t>Week</w:t>
            </w:r>
            <w:r w:rsidR="00C20553">
              <w:rPr>
                <w:rFonts w:ascii="Times New Roman" w:hAnsi="Times New Roman" w:cs="Times New Roman"/>
                <w:b w:val="0"/>
                <w:bCs w:val="0"/>
                <w:sz w:val="20"/>
                <w:szCs w:val="20"/>
                <w:lang w:val="en-GB"/>
              </w:rPr>
              <w:t xml:space="preserve"> </w:t>
            </w:r>
            <w:r w:rsidRPr="00CA010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4ECDCF5"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DE55223"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18CC5DC"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08F44CB"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34ED83F"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52CA9AB7"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19E3BCE"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6E691D68"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19A1B3D"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013C1C3"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74</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0FD1E12"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79777645"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56B47EDB" w14:textId="77777777" w:rsidTr="00CA010C">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05BB7A81" w14:textId="74EDD5EE" w:rsidR="00A35209" w:rsidRPr="00CA010C" w:rsidRDefault="00A35209"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PASI 90 </w:t>
            </w:r>
            <w:r w:rsidR="00F57B33" w:rsidRPr="00CA010C">
              <w:rPr>
                <w:rFonts w:ascii="Times New Roman" w:hAnsi="Times New Roman" w:cs="Times New Roman"/>
                <w:b w:val="0"/>
                <w:bCs w:val="0"/>
                <w:sz w:val="20"/>
                <w:szCs w:val="20"/>
                <w:lang w:val="en-GB"/>
              </w:rPr>
              <w:t>Week</w:t>
            </w:r>
            <w:r w:rsidR="00C20553">
              <w:rPr>
                <w:rFonts w:ascii="Times New Roman" w:hAnsi="Times New Roman" w:cs="Times New Roman"/>
                <w:b w:val="0"/>
                <w:bCs w:val="0"/>
                <w:sz w:val="20"/>
                <w:szCs w:val="20"/>
                <w:lang w:val="en-GB"/>
              </w:rPr>
              <w:t xml:space="preserve"> </w:t>
            </w:r>
            <w:r w:rsidRPr="00CA010C">
              <w:rPr>
                <w:rFonts w:ascii="Times New Roman" w:hAnsi="Times New Roman" w:cs="Times New Roman"/>
                <w:b w:val="0"/>
                <w:bCs w:val="0"/>
                <w:sz w:val="20"/>
                <w:szCs w:val="20"/>
                <w:lang w:val="en-GB"/>
              </w:rPr>
              <w:t>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45749DC"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3B929BB"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182B63D"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5E960AB0"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D24FB8C"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ED2FC21"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F1F68C4"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302D476"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E9D819E"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5B826091"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82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3BF702C"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523F0520"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23D63C48"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6573766A" w14:textId="77777777" w:rsidR="00EA4E72" w:rsidRPr="00CA010C" w:rsidRDefault="00EA4E72"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IGA 0/1 Week 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992BF10" w14:textId="77777777" w:rsidR="00EA4E72" w:rsidRPr="00CA010C" w:rsidRDefault="00EA4E72"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DB89AA3" w14:textId="77777777" w:rsidR="00EA4E72"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E11202E" w14:textId="77777777" w:rsidR="00EA4E72" w:rsidRPr="00CA010C" w:rsidRDefault="00EA4E72"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120C4AB2" w14:textId="77777777" w:rsidR="00EA4E72"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7C9A5B2A" w14:textId="77777777" w:rsidR="00EA4E72" w:rsidRPr="00CA010C" w:rsidRDefault="00EA4E72"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8A8458E" w14:textId="77777777" w:rsidR="00EA4E72"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7A81369E" w14:textId="77777777" w:rsidR="00EA4E72" w:rsidRPr="00CA010C" w:rsidDel="00EA4E72" w:rsidRDefault="00EA4E72"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A194A07" w14:textId="77777777" w:rsidR="00EA4E72"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57</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739C77C" w14:textId="77777777" w:rsidR="00EA4E72" w:rsidRPr="00CA010C" w:rsidRDefault="00F26730"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EA6AAD4" w14:textId="77777777" w:rsidR="00EA4E72" w:rsidRPr="00CA010C" w:rsidRDefault="00F26730"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AF44522" w14:textId="77777777" w:rsidR="00EA4E72" w:rsidRPr="00CA010C" w:rsidRDefault="00F26730"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780CF314" w14:textId="77777777" w:rsidR="00EA4E72" w:rsidRPr="00CA010C" w:rsidRDefault="00F26730"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74ED2E62" w14:textId="77777777" w:rsidTr="00CA010C">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6CD34CED" w14:textId="63350777" w:rsidR="00A35209" w:rsidRPr="00CA010C" w:rsidRDefault="00A35209"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IGA 0/1 </w:t>
            </w:r>
            <w:r w:rsidR="00F57B33" w:rsidRPr="00CA010C">
              <w:rPr>
                <w:rFonts w:ascii="Times New Roman" w:hAnsi="Times New Roman" w:cs="Times New Roman"/>
                <w:b w:val="0"/>
                <w:bCs w:val="0"/>
                <w:sz w:val="20"/>
                <w:szCs w:val="20"/>
                <w:lang w:val="en-GB"/>
              </w:rPr>
              <w:t>Week</w:t>
            </w:r>
            <w:r w:rsidR="00C20553">
              <w:rPr>
                <w:rFonts w:ascii="Times New Roman" w:hAnsi="Times New Roman" w:cs="Times New Roman"/>
                <w:b w:val="0"/>
                <w:bCs w:val="0"/>
                <w:sz w:val="20"/>
                <w:szCs w:val="20"/>
                <w:lang w:val="en-GB"/>
              </w:rPr>
              <w:t xml:space="preserve"> </w:t>
            </w:r>
            <w:r w:rsidRPr="00CA010C">
              <w:rPr>
                <w:rFonts w:ascii="Times New Roman" w:hAnsi="Times New Roman" w:cs="Times New Roman"/>
                <w:b w:val="0"/>
                <w:bCs w:val="0"/>
                <w:sz w:val="20"/>
                <w:szCs w:val="20"/>
                <w:lang w:val="en-GB"/>
              </w:rPr>
              <w:t>16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13B17D6"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92</w:t>
            </w:r>
          </w:p>
        </w:tc>
        <w:tc>
          <w:tcPr>
            <w:tcW w:w="1063" w:type="dxa"/>
            <w:tcMar>
              <w:top w:w="28" w:type="dxa"/>
              <w:bottom w:w="28" w:type="dxa"/>
            </w:tcMar>
            <w:vAlign w:val="center"/>
          </w:tcPr>
          <w:p w14:paraId="530E2A68"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17DC46D"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30E57D70"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F0A047B"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84</w:t>
            </w:r>
          </w:p>
        </w:tc>
        <w:tc>
          <w:tcPr>
            <w:tcW w:w="1063" w:type="dxa"/>
            <w:tcMar>
              <w:top w:w="28" w:type="dxa"/>
              <w:bottom w:w="28" w:type="dxa"/>
            </w:tcMar>
            <w:vAlign w:val="center"/>
          </w:tcPr>
          <w:p w14:paraId="6E5AD7DE"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71</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E186326" w14:textId="77777777" w:rsidR="00A35209" w:rsidRPr="00CA010C" w:rsidRDefault="00EA4E72"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92</w:t>
            </w:r>
          </w:p>
        </w:tc>
        <w:tc>
          <w:tcPr>
            <w:tcW w:w="1063" w:type="dxa"/>
            <w:tcMar>
              <w:top w:w="28" w:type="dxa"/>
              <w:bottom w:w="28" w:type="dxa"/>
            </w:tcMar>
            <w:vAlign w:val="center"/>
          </w:tcPr>
          <w:p w14:paraId="78A07A40"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F7ED419"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92</w:t>
            </w:r>
          </w:p>
        </w:tc>
        <w:tc>
          <w:tcPr>
            <w:tcW w:w="1063" w:type="dxa"/>
            <w:tcMar>
              <w:top w:w="28" w:type="dxa"/>
              <w:bottom w:w="28" w:type="dxa"/>
            </w:tcMar>
            <w:vAlign w:val="center"/>
          </w:tcPr>
          <w:p w14:paraId="7F9B9DD1"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00259DC" w14:textId="77777777" w:rsidR="00A35209"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92</w:t>
            </w:r>
          </w:p>
        </w:tc>
        <w:tc>
          <w:tcPr>
            <w:tcW w:w="1064" w:type="dxa"/>
            <w:tcMar>
              <w:top w:w="28" w:type="dxa"/>
              <w:bottom w:w="28" w:type="dxa"/>
            </w:tcMar>
            <w:vAlign w:val="center"/>
          </w:tcPr>
          <w:p w14:paraId="453DF502" w14:textId="77777777" w:rsidR="00A35209" w:rsidRPr="00CA010C" w:rsidRDefault="00A35209"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6BBE33EE"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4A194B94" w14:textId="046C51C0" w:rsidR="00A35209" w:rsidRPr="00CA010C" w:rsidRDefault="00A35209"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IGA 0/1 </w:t>
            </w:r>
            <w:r w:rsidR="00F57B33" w:rsidRPr="00CA010C">
              <w:rPr>
                <w:rFonts w:ascii="Times New Roman" w:hAnsi="Times New Roman" w:cs="Times New Roman"/>
                <w:b w:val="0"/>
                <w:bCs w:val="0"/>
                <w:sz w:val="20"/>
                <w:szCs w:val="20"/>
                <w:lang w:val="en-GB"/>
              </w:rPr>
              <w:t>Week</w:t>
            </w:r>
            <w:r w:rsidR="00C20553">
              <w:rPr>
                <w:rFonts w:ascii="Times New Roman" w:hAnsi="Times New Roman" w:cs="Times New Roman"/>
                <w:b w:val="0"/>
                <w:bCs w:val="0"/>
                <w:sz w:val="20"/>
                <w:szCs w:val="20"/>
                <w:lang w:val="en-GB"/>
              </w:rPr>
              <w:t xml:space="preserve"> </w:t>
            </w:r>
            <w:r w:rsidRPr="00CA010C">
              <w:rPr>
                <w:rFonts w:ascii="Times New Roman" w:hAnsi="Times New Roman" w:cs="Times New Roman"/>
                <w:b w:val="0"/>
                <w:bCs w:val="0"/>
                <w:sz w:val="20"/>
                <w:szCs w:val="20"/>
                <w:lang w:val="en-GB"/>
              </w:rPr>
              <w:t>24</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7754ED9"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A5EABC0"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CEFEB8C"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78</w:t>
            </w:r>
          </w:p>
        </w:tc>
        <w:tc>
          <w:tcPr>
            <w:tcW w:w="1063" w:type="dxa"/>
            <w:tcMar>
              <w:top w:w="28" w:type="dxa"/>
              <w:bottom w:w="28" w:type="dxa"/>
            </w:tcMar>
            <w:vAlign w:val="center"/>
          </w:tcPr>
          <w:p w14:paraId="3B2C2B02"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58</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87ABAB4"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759501B"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862BE94"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F35F208"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392F492"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17BD72D0"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9EA4D02" w14:textId="77777777" w:rsidR="00A35209" w:rsidRPr="00CA010C" w:rsidRDefault="00A35209"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0C992F74" w14:textId="77777777" w:rsidR="00A35209" w:rsidRPr="00CA010C" w:rsidRDefault="00A35209"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CA010C" w:rsidRPr="00CA010C" w14:paraId="1FB2EBB9" w14:textId="77777777" w:rsidTr="00CA010C">
        <w:tc>
          <w:tcPr>
            <w:cnfStyle w:val="001000000000" w:firstRow="0" w:lastRow="0" w:firstColumn="1" w:lastColumn="0" w:oddVBand="0" w:evenVBand="0" w:oddHBand="0" w:evenHBand="0" w:firstRowFirstColumn="0" w:firstRowLastColumn="0" w:lastRowFirstColumn="0" w:lastRowLastColumn="0"/>
            <w:tcW w:w="2121" w:type="dxa"/>
            <w:shd w:val="clear" w:color="auto" w:fill="D9D9D9" w:themeFill="background1" w:themeFillShade="D9"/>
            <w:tcMar>
              <w:top w:w="28" w:type="dxa"/>
              <w:bottom w:w="28" w:type="dxa"/>
            </w:tcMar>
            <w:vAlign w:val="center"/>
          </w:tcPr>
          <w:p w14:paraId="7ADB138A" w14:textId="77777777" w:rsidR="003B76C4" w:rsidRPr="00CA010C" w:rsidRDefault="003B76C4" w:rsidP="00D06CBB">
            <w:pPr>
              <w:spacing w:before="0" w:after="0" w:line="240" w:lineRule="auto"/>
              <w:jc w:val="left"/>
              <w:rPr>
                <w:rFonts w:ascii="Times New Roman" w:hAnsi="Times New Roman" w:cs="Times New Roman"/>
                <w:sz w:val="20"/>
                <w:szCs w:val="20"/>
                <w:lang w:val="en-GB"/>
              </w:rPr>
            </w:pPr>
            <w:r w:rsidRPr="00CA010C">
              <w:rPr>
                <w:rFonts w:ascii="Times New Roman" w:hAnsi="Times New Roman" w:cs="Times New Roman"/>
                <w:sz w:val="20"/>
                <w:szCs w:val="20"/>
                <w:lang w:val="en-GB"/>
              </w:rPr>
              <w:t>Palmoplantar</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41898C7E"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54DFA540"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22D35C2C"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2183C83F"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57A5DE92"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11585E09"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61C2E54"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022A02B1"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20B6004B"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0135F560"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E1309DE" w14:textId="77777777" w:rsidR="003B76C4" w:rsidRPr="00CA010C" w:rsidRDefault="003B76C4" w:rsidP="00D06CBB">
            <w:pPr>
              <w:spacing w:before="0" w:after="0" w:line="240" w:lineRule="auto"/>
              <w:jc w:val="center"/>
              <w:rPr>
                <w:rFonts w:ascii="Times New Roman" w:hAnsi="Times New Roman" w:cs="Times New Roman"/>
                <w:b/>
                <w:bCs/>
                <w:sz w:val="20"/>
                <w:szCs w:val="20"/>
                <w:lang w:val="en-GB"/>
              </w:rPr>
            </w:pPr>
          </w:p>
        </w:tc>
        <w:tc>
          <w:tcPr>
            <w:tcW w:w="1064" w:type="dxa"/>
            <w:shd w:val="clear" w:color="auto" w:fill="D9D9D9" w:themeFill="background1" w:themeFillShade="D9"/>
            <w:tcMar>
              <w:top w:w="28" w:type="dxa"/>
              <w:bottom w:w="28" w:type="dxa"/>
            </w:tcMar>
            <w:vAlign w:val="center"/>
          </w:tcPr>
          <w:p w14:paraId="0B6E40A7" w14:textId="77777777" w:rsidR="003B76C4" w:rsidRPr="00CA010C" w:rsidRDefault="003B76C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r>
      <w:tr w:rsidR="004722FF" w:rsidRPr="00CA010C" w14:paraId="4603919E"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2E09D803" w14:textId="77777777" w:rsidR="003B76C4" w:rsidRPr="00CA010C" w:rsidRDefault="00E14293"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IGA 0 Week 16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AB0A4F9"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3" w:type="dxa"/>
            <w:tcMar>
              <w:top w:w="28" w:type="dxa"/>
              <w:bottom w:w="28" w:type="dxa"/>
            </w:tcMar>
            <w:vAlign w:val="center"/>
          </w:tcPr>
          <w:p w14:paraId="75B5B74A" w14:textId="77777777" w:rsidR="003B76C4" w:rsidRPr="00CA010C" w:rsidRDefault="00E14293"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29</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7457756"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3" w:type="dxa"/>
            <w:tcMar>
              <w:top w:w="28" w:type="dxa"/>
              <w:bottom w:w="28" w:type="dxa"/>
            </w:tcMar>
            <w:vAlign w:val="center"/>
          </w:tcPr>
          <w:p w14:paraId="1EFFF5FC" w14:textId="77777777" w:rsidR="003B76C4"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C8C92EC"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3" w:type="dxa"/>
            <w:tcMar>
              <w:top w:w="28" w:type="dxa"/>
              <w:bottom w:w="28" w:type="dxa"/>
            </w:tcMar>
            <w:vAlign w:val="center"/>
          </w:tcPr>
          <w:p w14:paraId="17ED416D" w14:textId="77777777" w:rsidR="003B76C4" w:rsidRPr="00CA010C" w:rsidRDefault="00EA4E72"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75</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3F3B656"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3" w:type="dxa"/>
            <w:tcMar>
              <w:top w:w="28" w:type="dxa"/>
              <w:bottom w:w="28" w:type="dxa"/>
            </w:tcMar>
            <w:vAlign w:val="center"/>
          </w:tcPr>
          <w:p w14:paraId="37A6BC83"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29ABB12"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3" w:type="dxa"/>
            <w:tcMar>
              <w:top w:w="28" w:type="dxa"/>
              <w:bottom w:w="28" w:type="dxa"/>
            </w:tcMar>
            <w:vAlign w:val="center"/>
          </w:tcPr>
          <w:p w14:paraId="55074DF8"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4471849" w14:textId="77777777" w:rsidR="003B76C4" w:rsidRPr="00CA010C" w:rsidRDefault="00E14293"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87</w:t>
            </w:r>
          </w:p>
        </w:tc>
        <w:tc>
          <w:tcPr>
            <w:tcW w:w="1064" w:type="dxa"/>
            <w:tcMar>
              <w:top w:w="28" w:type="dxa"/>
              <w:bottom w:w="28" w:type="dxa"/>
            </w:tcMar>
            <w:vAlign w:val="center"/>
          </w:tcPr>
          <w:p w14:paraId="067B5F4C" w14:textId="77777777" w:rsidR="003B76C4" w:rsidRPr="00CA010C" w:rsidRDefault="00F26730"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4743FCBE" w14:textId="77777777" w:rsidTr="00CA010C">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11F63E48" w14:textId="71D6CDFF" w:rsidR="003B76C4" w:rsidRPr="00CA010C" w:rsidRDefault="00EE489C"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PPPASI75 W</w:t>
            </w:r>
            <w:r w:rsidR="00C20553">
              <w:rPr>
                <w:rFonts w:ascii="Times New Roman" w:hAnsi="Times New Roman" w:cs="Times New Roman"/>
                <w:b w:val="0"/>
                <w:bCs w:val="0"/>
                <w:sz w:val="20"/>
                <w:szCs w:val="20"/>
                <w:lang w:val="en-GB"/>
              </w:rPr>
              <w:t>eek</w:t>
            </w:r>
            <w:r w:rsidRPr="00CA010C">
              <w:rPr>
                <w:rFonts w:ascii="Times New Roman" w:hAnsi="Times New Roman" w:cs="Times New Roman"/>
                <w:b w:val="0"/>
                <w:bCs w:val="0"/>
                <w:sz w:val="20"/>
                <w:szCs w:val="20"/>
                <w:lang w:val="en-GB"/>
              </w:rPr>
              <w:t xml:space="preserve"> 16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EC00881"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1813071F" w14:textId="77777777" w:rsidR="003B76C4" w:rsidRPr="00CA010C" w:rsidRDefault="00EE489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D04E3F7"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FAA3AF2" w14:textId="77777777" w:rsidR="003B76C4" w:rsidRPr="00CA010C" w:rsidRDefault="00EE489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0A422F1"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3DD46E7" w14:textId="77777777" w:rsidR="003B76C4" w:rsidRPr="00CA010C" w:rsidRDefault="00EE489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7AF5CD1A"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42CA5FB2" w14:textId="77777777" w:rsidR="003B76C4" w:rsidRPr="00CA010C" w:rsidRDefault="00EE489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75</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8C6163D"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1250158E" w14:textId="77777777" w:rsidR="003B76C4" w:rsidRPr="00CA010C" w:rsidRDefault="00EE489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5579193" w14:textId="77777777" w:rsidR="003B76C4" w:rsidRPr="00CA010C" w:rsidRDefault="00F26730"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2B787597" w14:textId="77777777" w:rsidR="003B76C4" w:rsidRPr="00CA010C" w:rsidRDefault="00F26730"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7D10B1AD"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1643EB87" w14:textId="5AD2B9FF" w:rsidR="003B76C4" w:rsidRPr="00CA010C" w:rsidRDefault="00EE489C"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PASI 100 W</w:t>
            </w:r>
            <w:r w:rsidR="00C20553">
              <w:rPr>
                <w:rFonts w:ascii="Times New Roman" w:hAnsi="Times New Roman" w:cs="Times New Roman"/>
                <w:b w:val="0"/>
                <w:bCs w:val="0"/>
                <w:sz w:val="20"/>
                <w:szCs w:val="20"/>
                <w:lang w:val="en-GB"/>
              </w:rPr>
              <w:t>eek</w:t>
            </w:r>
            <w:r w:rsidRPr="00CA010C">
              <w:rPr>
                <w:rFonts w:ascii="Times New Roman" w:hAnsi="Times New Roman" w:cs="Times New Roman"/>
                <w:b w:val="0"/>
                <w:bCs w:val="0"/>
                <w:sz w:val="20"/>
                <w:szCs w:val="20"/>
                <w:lang w:val="en-GB"/>
              </w:rPr>
              <w:t xml:space="preserve"> 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6AF601A"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510698EA"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5253030"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EB6597B"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493BECB"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30B3602"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023B06A"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4338322" w14:textId="77777777" w:rsidR="003B76C4" w:rsidRPr="00CA010C" w:rsidRDefault="00EE489C"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773AAB22" w14:textId="77777777" w:rsidR="003B76C4" w:rsidRPr="00CA010C" w:rsidRDefault="00EE489C"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0C42247" w14:textId="7FEC8B98" w:rsidR="003B76C4" w:rsidRPr="00CA010C" w:rsidRDefault="00D95241"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50</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F63B910" w14:textId="77777777" w:rsidR="003B76C4" w:rsidRPr="00CA010C" w:rsidRDefault="00F26730"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4FBF684A" w14:textId="77777777" w:rsidR="003B76C4" w:rsidRPr="00CA010C" w:rsidRDefault="00F26730"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CA010C" w:rsidRPr="00CA010C" w14:paraId="4F04A71B" w14:textId="77777777" w:rsidTr="00CA010C">
        <w:tc>
          <w:tcPr>
            <w:cnfStyle w:val="001000000000" w:firstRow="0" w:lastRow="0" w:firstColumn="1" w:lastColumn="0" w:oddVBand="0" w:evenVBand="0" w:oddHBand="0" w:evenHBand="0" w:firstRowFirstColumn="0" w:firstRowLastColumn="0" w:lastRowFirstColumn="0" w:lastRowLastColumn="0"/>
            <w:tcW w:w="2121" w:type="dxa"/>
            <w:shd w:val="clear" w:color="auto" w:fill="D9D9D9" w:themeFill="background1" w:themeFillShade="D9"/>
            <w:tcMar>
              <w:top w:w="28" w:type="dxa"/>
              <w:bottom w:w="28" w:type="dxa"/>
            </w:tcMar>
            <w:vAlign w:val="center"/>
          </w:tcPr>
          <w:p w14:paraId="091A44C6" w14:textId="020A8B65" w:rsidR="00CA010C" w:rsidRPr="00CA010C" w:rsidRDefault="00CA010C" w:rsidP="00D06CBB">
            <w:pPr>
              <w:spacing w:before="0" w:after="0" w:line="240" w:lineRule="auto"/>
              <w:jc w:val="left"/>
              <w:rPr>
                <w:rFonts w:ascii="Times New Roman" w:hAnsi="Times New Roman" w:cs="Times New Roman"/>
                <w:sz w:val="20"/>
                <w:szCs w:val="20"/>
                <w:lang w:val="en-GB"/>
              </w:rPr>
            </w:pPr>
            <w:r w:rsidRPr="00CA010C">
              <w:rPr>
                <w:rFonts w:ascii="Times New Roman" w:hAnsi="Times New Roman" w:cs="Times New Roman"/>
                <w:sz w:val="20"/>
                <w:szCs w:val="20"/>
                <w:lang w:val="en-GB"/>
              </w:rPr>
              <w:t>Nails</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4FCD102F"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3" w:type="dxa"/>
            <w:shd w:val="clear" w:color="auto" w:fill="D9D9D9" w:themeFill="background1" w:themeFillShade="D9"/>
            <w:tcMar>
              <w:top w:w="28" w:type="dxa"/>
              <w:bottom w:w="28" w:type="dxa"/>
            </w:tcMar>
            <w:vAlign w:val="center"/>
          </w:tcPr>
          <w:p w14:paraId="08F2B405"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61F0C83B"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3" w:type="dxa"/>
            <w:shd w:val="clear" w:color="auto" w:fill="D9D9D9" w:themeFill="background1" w:themeFillShade="D9"/>
            <w:tcMar>
              <w:top w:w="28" w:type="dxa"/>
              <w:bottom w:w="28" w:type="dxa"/>
            </w:tcMar>
            <w:vAlign w:val="center"/>
          </w:tcPr>
          <w:p w14:paraId="6D3E63E9"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D8BD1BE"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3" w:type="dxa"/>
            <w:shd w:val="clear" w:color="auto" w:fill="D9D9D9" w:themeFill="background1" w:themeFillShade="D9"/>
            <w:tcMar>
              <w:top w:w="28" w:type="dxa"/>
              <w:bottom w:w="28" w:type="dxa"/>
            </w:tcMar>
            <w:vAlign w:val="center"/>
          </w:tcPr>
          <w:p w14:paraId="47FA0F4F"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5F2A26C2"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3" w:type="dxa"/>
            <w:shd w:val="clear" w:color="auto" w:fill="D9D9D9" w:themeFill="background1" w:themeFillShade="D9"/>
            <w:tcMar>
              <w:top w:w="28" w:type="dxa"/>
              <w:bottom w:w="28" w:type="dxa"/>
            </w:tcMar>
            <w:vAlign w:val="center"/>
          </w:tcPr>
          <w:p w14:paraId="6F1DD13E"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65F11F86"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3" w:type="dxa"/>
            <w:shd w:val="clear" w:color="auto" w:fill="D9D9D9" w:themeFill="background1" w:themeFillShade="D9"/>
            <w:tcMar>
              <w:top w:w="28" w:type="dxa"/>
              <w:bottom w:w="28" w:type="dxa"/>
            </w:tcMar>
            <w:vAlign w:val="center"/>
          </w:tcPr>
          <w:p w14:paraId="6E533603"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94C053B" w14:textId="77777777" w:rsidR="00CA010C" w:rsidRPr="00CA010C" w:rsidRDefault="00CA010C" w:rsidP="00D06CBB">
            <w:pPr>
              <w:spacing w:before="0" w:after="0" w:line="240" w:lineRule="auto"/>
              <w:jc w:val="center"/>
              <w:rPr>
                <w:rFonts w:ascii="Times New Roman" w:hAnsi="Times New Roman" w:cs="Times New Roman"/>
                <w:sz w:val="20"/>
                <w:szCs w:val="20"/>
                <w:lang w:val="en-GB"/>
              </w:rPr>
            </w:pPr>
          </w:p>
        </w:tc>
        <w:tc>
          <w:tcPr>
            <w:tcW w:w="1064" w:type="dxa"/>
            <w:shd w:val="clear" w:color="auto" w:fill="D9D9D9" w:themeFill="background1" w:themeFillShade="D9"/>
            <w:tcMar>
              <w:top w:w="28" w:type="dxa"/>
              <w:bottom w:w="28" w:type="dxa"/>
            </w:tcMar>
            <w:vAlign w:val="center"/>
          </w:tcPr>
          <w:p w14:paraId="447170E4"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4722FF" w:rsidRPr="00CA010C" w14:paraId="65664F58"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0E46EC28" w14:textId="7ED84ECF" w:rsidR="00F26730" w:rsidRPr="00CA010C" w:rsidRDefault="002941FF"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mNAPSI 0 </w:t>
            </w:r>
            <w:r w:rsidR="00F57B33" w:rsidRPr="00CA010C">
              <w:rPr>
                <w:rFonts w:ascii="Times New Roman" w:hAnsi="Times New Roman" w:cs="Times New Roman"/>
                <w:b w:val="0"/>
                <w:bCs w:val="0"/>
                <w:sz w:val="20"/>
                <w:szCs w:val="20"/>
                <w:lang w:val="en-GB"/>
              </w:rPr>
              <w:t>Week</w:t>
            </w:r>
            <w:r w:rsidRPr="00CA010C">
              <w:rPr>
                <w:rFonts w:ascii="Times New Roman" w:hAnsi="Times New Roman" w:cs="Times New Roman"/>
                <w:b w:val="0"/>
                <w:bCs w:val="0"/>
                <w:sz w:val="20"/>
                <w:szCs w:val="20"/>
                <w:lang w:val="en-GB"/>
              </w:rPr>
              <w:t xml:space="preserve"> 16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1DE780C"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3" w:type="dxa"/>
            <w:tcMar>
              <w:top w:w="28" w:type="dxa"/>
              <w:bottom w:w="28" w:type="dxa"/>
            </w:tcMar>
            <w:vAlign w:val="center"/>
          </w:tcPr>
          <w:p w14:paraId="5EB04311" w14:textId="77777777" w:rsidR="00F26730" w:rsidRPr="00CA010C" w:rsidRDefault="00AE34D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3</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B09D3CB"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3" w:type="dxa"/>
            <w:tcMar>
              <w:top w:w="28" w:type="dxa"/>
              <w:bottom w:w="28" w:type="dxa"/>
            </w:tcMar>
            <w:vAlign w:val="center"/>
          </w:tcPr>
          <w:p w14:paraId="330EECD0"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E9FA7C6"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3" w:type="dxa"/>
            <w:tcMar>
              <w:top w:w="28" w:type="dxa"/>
              <w:bottom w:w="28" w:type="dxa"/>
            </w:tcMar>
            <w:vAlign w:val="center"/>
          </w:tcPr>
          <w:p w14:paraId="2DF44A52" w14:textId="7CE33A86" w:rsidR="00F26730" w:rsidRPr="00CA010C" w:rsidRDefault="00D95241"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11</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FD3FB24"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3" w:type="dxa"/>
            <w:tcMar>
              <w:top w:w="28" w:type="dxa"/>
              <w:bottom w:w="28" w:type="dxa"/>
            </w:tcMar>
            <w:vAlign w:val="center"/>
          </w:tcPr>
          <w:p w14:paraId="52565544"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511EC97"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3" w:type="dxa"/>
            <w:tcMar>
              <w:top w:w="28" w:type="dxa"/>
              <w:bottom w:w="28" w:type="dxa"/>
            </w:tcMar>
            <w:vAlign w:val="center"/>
          </w:tcPr>
          <w:p w14:paraId="2BAE435C" w14:textId="77777777" w:rsidR="00F26730" w:rsidRPr="00CA010C" w:rsidRDefault="003C4811"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75AE67B" w14:textId="77777777" w:rsidR="00F26730" w:rsidRPr="00CA010C" w:rsidRDefault="002941FF"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19</w:t>
            </w:r>
          </w:p>
        </w:tc>
        <w:tc>
          <w:tcPr>
            <w:tcW w:w="1064" w:type="dxa"/>
            <w:tcMar>
              <w:top w:w="28" w:type="dxa"/>
              <w:bottom w:w="28" w:type="dxa"/>
            </w:tcMar>
            <w:vAlign w:val="center"/>
          </w:tcPr>
          <w:p w14:paraId="5548D027" w14:textId="77777777" w:rsidR="00F26730" w:rsidRPr="00CA010C" w:rsidRDefault="004423F4"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799B5584" w14:textId="77777777" w:rsidTr="00CA010C">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20FEC161" w14:textId="7BFEAA49" w:rsidR="003C4811" w:rsidRPr="00CA010C" w:rsidRDefault="003C4811"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 xml:space="preserve">mNAPSI 0 </w:t>
            </w:r>
            <w:r w:rsidR="00F57B33" w:rsidRPr="00CA010C">
              <w:rPr>
                <w:rFonts w:ascii="Times New Roman" w:hAnsi="Times New Roman" w:cs="Times New Roman"/>
                <w:b w:val="0"/>
                <w:bCs w:val="0"/>
                <w:sz w:val="20"/>
                <w:szCs w:val="20"/>
                <w:lang w:val="en-GB"/>
              </w:rPr>
              <w:t>Week</w:t>
            </w:r>
            <w:r w:rsidRPr="00CA010C">
              <w:rPr>
                <w:rFonts w:ascii="Times New Roman" w:hAnsi="Times New Roman" w:cs="Times New Roman"/>
                <w:b w:val="0"/>
                <w:bCs w:val="0"/>
                <w:sz w:val="20"/>
                <w:szCs w:val="20"/>
                <w:lang w:val="en-GB"/>
              </w:rPr>
              <w:t xml:space="preserve"> 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84D7AFB" w14:textId="77777777" w:rsidR="003C4811"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F73D9BA" w14:textId="77777777" w:rsidR="003C4811" w:rsidRPr="00CA010C" w:rsidRDefault="003C4811"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A74C004" w14:textId="77777777" w:rsidR="003C4811"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BF70E48" w14:textId="77777777" w:rsidR="003C4811" w:rsidRPr="00CA010C" w:rsidRDefault="003C4811"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FEB95CF" w14:textId="77777777" w:rsidR="003C4811"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BDEDBC6" w14:textId="77777777" w:rsidR="003C4811" w:rsidRPr="00CA010C" w:rsidRDefault="003C4811"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FA20FE7" w14:textId="77777777" w:rsidR="003C4811"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748C3A5" w14:textId="77777777" w:rsidR="003C4811" w:rsidRPr="00CA010C" w:rsidRDefault="003C4811"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2D8669A8" w14:textId="77777777" w:rsidR="003C4811"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18902E45" w14:textId="1C4DEEC2" w:rsidR="003C4811" w:rsidRPr="00CA010C" w:rsidRDefault="00D95241"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20</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E4BD78B" w14:textId="77777777" w:rsidR="003C4811" w:rsidRPr="00CA010C" w:rsidRDefault="004423F4"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6E98DE76" w14:textId="77777777" w:rsidR="003C4811" w:rsidRPr="00CA010C" w:rsidRDefault="004423F4"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4722FF" w:rsidRPr="00CA010C" w14:paraId="7E72A892"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572CA482" w14:textId="77777777" w:rsidR="00F26730" w:rsidRPr="00CA010C" w:rsidRDefault="00564FC7"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PASI 90 Week 16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66AFFD4B" w14:textId="77777777" w:rsidR="00F26730" w:rsidRPr="00CA010C" w:rsidRDefault="00564FC7"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8951FEF"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BF6C6B3" w14:textId="77777777" w:rsidR="00F26730" w:rsidRPr="00CA010C" w:rsidRDefault="00564FC7"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531A7AE"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7CFA9234" w14:textId="77777777" w:rsidR="00F26730" w:rsidRPr="00CA010C" w:rsidRDefault="00564FC7"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33C7C67C"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1216449D" w14:textId="77777777" w:rsidR="00F26730" w:rsidRPr="00CA010C" w:rsidRDefault="00564FC7"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B52EC09" w14:textId="77777777" w:rsidR="00F26730" w:rsidRPr="00CA010C" w:rsidRDefault="00564FC7"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73</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37360D88" w14:textId="77777777" w:rsidR="00F26730" w:rsidRPr="00CA010C" w:rsidRDefault="003C4811"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2FB1E26A" w14:textId="77777777" w:rsidR="00F26730" w:rsidRPr="00CA010C" w:rsidRDefault="003C4811"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647C556" w14:textId="77777777" w:rsidR="00F26730" w:rsidRPr="00CA010C" w:rsidRDefault="004423F4"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1A6A635D" w14:textId="77777777" w:rsidR="00F26730" w:rsidRPr="00CA010C" w:rsidRDefault="004423F4"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r w:rsidR="00CA010C" w:rsidRPr="00CA010C" w14:paraId="42A2B8BC" w14:textId="77777777" w:rsidTr="00CA010C">
        <w:tc>
          <w:tcPr>
            <w:cnfStyle w:val="001000000000" w:firstRow="0" w:lastRow="0" w:firstColumn="1" w:lastColumn="0" w:oddVBand="0" w:evenVBand="0" w:oddHBand="0" w:evenHBand="0" w:firstRowFirstColumn="0" w:firstRowLastColumn="0" w:lastRowFirstColumn="0" w:lastRowLastColumn="0"/>
            <w:tcW w:w="2121" w:type="dxa"/>
            <w:shd w:val="clear" w:color="auto" w:fill="D9D9D9" w:themeFill="background1" w:themeFillShade="D9"/>
            <w:tcMar>
              <w:top w:w="28" w:type="dxa"/>
              <w:bottom w:w="28" w:type="dxa"/>
            </w:tcMar>
            <w:vAlign w:val="center"/>
          </w:tcPr>
          <w:p w14:paraId="514B9C90" w14:textId="25ACAF2A" w:rsidR="00CA010C" w:rsidRPr="00CA010C" w:rsidRDefault="00CA010C" w:rsidP="00D06CBB">
            <w:pPr>
              <w:spacing w:before="0" w:after="0" w:line="240" w:lineRule="auto"/>
              <w:jc w:val="left"/>
              <w:rPr>
                <w:rFonts w:ascii="Times New Roman" w:hAnsi="Times New Roman" w:cs="Times New Roman"/>
                <w:sz w:val="20"/>
                <w:szCs w:val="20"/>
                <w:lang w:val="en-GB"/>
              </w:rPr>
            </w:pPr>
            <w:r w:rsidRPr="00CA010C">
              <w:rPr>
                <w:rFonts w:ascii="Times New Roman" w:hAnsi="Times New Roman" w:cs="Times New Roman"/>
                <w:sz w:val="20"/>
                <w:szCs w:val="20"/>
                <w:lang w:val="en-GB"/>
              </w:rPr>
              <w:t>Genitals</w:t>
            </w: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5CC21A60"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1D7ABB74"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8761E2C"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367026F9"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793DFA6"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4EF797D4"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B888685"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0F9D6261"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23D3D059"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3" w:type="dxa"/>
            <w:shd w:val="clear" w:color="auto" w:fill="D9D9D9" w:themeFill="background1" w:themeFillShade="D9"/>
            <w:tcMar>
              <w:top w:w="28" w:type="dxa"/>
              <w:bottom w:w="28" w:type="dxa"/>
            </w:tcMar>
            <w:vAlign w:val="center"/>
          </w:tcPr>
          <w:p w14:paraId="0FECA726"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1063" w:type="dxa"/>
            <w:shd w:val="clear" w:color="auto" w:fill="D9D9D9" w:themeFill="background1" w:themeFillShade="D9"/>
            <w:tcMar>
              <w:top w:w="28" w:type="dxa"/>
              <w:bottom w:w="28" w:type="dxa"/>
            </w:tcMar>
            <w:vAlign w:val="center"/>
          </w:tcPr>
          <w:p w14:paraId="04D514DB" w14:textId="77777777" w:rsidR="00CA010C" w:rsidRPr="00CA010C" w:rsidRDefault="00CA010C" w:rsidP="00D06CBB">
            <w:pPr>
              <w:spacing w:before="0" w:after="0" w:line="240" w:lineRule="auto"/>
              <w:jc w:val="center"/>
              <w:rPr>
                <w:rFonts w:ascii="Times New Roman" w:hAnsi="Times New Roman" w:cs="Times New Roman"/>
                <w:b/>
                <w:bCs/>
                <w:sz w:val="20"/>
                <w:szCs w:val="20"/>
                <w:lang w:val="en-GB"/>
              </w:rPr>
            </w:pPr>
          </w:p>
        </w:tc>
        <w:tc>
          <w:tcPr>
            <w:tcW w:w="1064" w:type="dxa"/>
            <w:shd w:val="clear" w:color="auto" w:fill="D9D9D9" w:themeFill="background1" w:themeFillShade="D9"/>
            <w:tcMar>
              <w:top w:w="28" w:type="dxa"/>
              <w:bottom w:w="28" w:type="dxa"/>
            </w:tcMar>
            <w:vAlign w:val="center"/>
          </w:tcPr>
          <w:p w14:paraId="7D8DC3F0" w14:textId="77777777" w:rsidR="00CA010C" w:rsidRPr="00CA010C" w:rsidRDefault="00CA010C" w:rsidP="00D06CB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en-GB"/>
              </w:rPr>
            </w:pPr>
          </w:p>
        </w:tc>
      </w:tr>
      <w:tr w:rsidR="004722FF" w:rsidRPr="00CA010C" w14:paraId="72CE9540" w14:textId="77777777" w:rsidTr="00CA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Mar>
              <w:top w:w="28" w:type="dxa"/>
              <w:bottom w:w="28" w:type="dxa"/>
            </w:tcMar>
            <w:vAlign w:val="center"/>
          </w:tcPr>
          <w:p w14:paraId="161A4D83" w14:textId="77777777" w:rsidR="00F26730" w:rsidRPr="00CA010C" w:rsidRDefault="008C73CD" w:rsidP="00D06CBB">
            <w:pPr>
              <w:spacing w:before="0" w:after="0" w:line="240" w:lineRule="auto"/>
              <w:jc w:val="left"/>
              <w:rPr>
                <w:rFonts w:ascii="Times New Roman" w:hAnsi="Times New Roman" w:cs="Times New Roman"/>
                <w:b w:val="0"/>
                <w:bCs w:val="0"/>
                <w:sz w:val="20"/>
                <w:szCs w:val="20"/>
                <w:lang w:val="en-GB"/>
              </w:rPr>
            </w:pPr>
            <w:r w:rsidRPr="00CA010C">
              <w:rPr>
                <w:rFonts w:ascii="Times New Roman" w:hAnsi="Times New Roman" w:cs="Times New Roman"/>
                <w:b w:val="0"/>
                <w:bCs w:val="0"/>
                <w:sz w:val="20"/>
                <w:szCs w:val="20"/>
                <w:lang w:val="en-GB"/>
              </w:rPr>
              <w:t>PGA 0 Week 12</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A1C4DC5"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7AE0345D"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645BDAA"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3C89C932"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CF863FA"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30201502"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59D2C77D"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63BF77B"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4591E0D5"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3" w:type="dxa"/>
            <w:tcMar>
              <w:top w:w="28" w:type="dxa"/>
              <w:bottom w:w="28" w:type="dxa"/>
            </w:tcMar>
            <w:vAlign w:val="center"/>
          </w:tcPr>
          <w:p w14:paraId="086B193C"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56</w:t>
            </w:r>
          </w:p>
        </w:tc>
        <w:tc>
          <w:tcPr>
            <w:cnfStyle w:val="000010000000" w:firstRow="0" w:lastRow="0" w:firstColumn="0" w:lastColumn="0" w:oddVBand="1" w:evenVBand="0" w:oddHBand="0" w:evenHBand="0" w:firstRowFirstColumn="0" w:firstRowLastColumn="0" w:lastRowFirstColumn="0" w:lastRowLastColumn="0"/>
            <w:tcW w:w="1063" w:type="dxa"/>
            <w:tcMar>
              <w:top w:w="28" w:type="dxa"/>
              <w:bottom w:w="28" w:type="dxa"/>
            </w:tcMar>
            <w:vAlign w:val="center"/>
          </w:tcPr>
          <w:p w14:paraId="0FB3BBB6" w14:textId="77777777" w:rsidR="00F26730" w:rsidRPr="00CA010C" w:rsidRDefault="008C73CD" w:rsidP="00D06CBB">
            <w:pPr>
              <w:spacing w:before="0" w:after="0" w:line="240" w:lineRule="auto"/>
              <w:jc w:val="center"/>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c>
          <w:tcPr>
            <w:tcW w:w="1064" w:type="dxa"/>
            <w:tcMar>
              <w:top w:w="28" w:type="dxa"/>
              <w:bottom w:w="28" w:type="dxa"/>
            </w:tcMar>
            <w:vAlign w:val="center"/>
          </w:tcPr>
          <w:p w14:paraId="7D34EF55" w14:textId="77777777" w:rsidR="00F26730" w:rsidRPr="00CA010C" w:rsidRDefault="008C73CD" w:rsidP="00D06CB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A010C">
              <w:rPr>
                <w:rFonts w:ascii="Times New Roman" w:hAnsi="Times New Roman" w:cs="Times New Roman"/>
                <w:sz w:val="20"/>
                <w:szCs w:val="20"/>
                <w:lang w:val="en-GB"/>
              </w:rPr>
              <w:t>-</w:t>
            </w:r>
          </w:p>
        </w:tc>
      </w:tr>
    </w:tbl>
    <w:p w14:paraId="7A409E60" w14:textId="79F45814" w:rsidR="000E3A41" w:rsidRPr="004722FF" w:rsidRDefault="000E3A41" w:rsidP="00EF06FB">
      <w:pPr>
        <w:pStyle w:val="TITULOTABLASYFIGURAS"/>
        <w:pBdr>
          <w:bottom w:val="none" w:sz="0" w:space="0" w:color="auto"/>
        </w:pBdr>
        <w:spacing w:before="120"/>
        <w:ind w:left="709"/>
        <w:rPr>
          <w:rFonts w:ascii="Times New Roman" w:eastAsiaTheme="minorHAnsi" w:hAnsi="Times New Roman" w:cs="Times New Roman"/>
          <w:smallCaps w:val="0"/>
          <w:color w:val="auto"/>
          <w:spacing w:val="0"/>
          <w:sz w:val="20"/>
          <w:szCs w:val="20"/>
          <w:lang w:val="en-GB"/>
        </w:rPr>
      </w:pPr>
      <w:r w:rsidRPr="004722FF">
        <w:rPr>
          <w:rFonts w:ascii="Times New Roman" w:eastAsiaTheme="minorHAnsi" w:hAnsi="Times New Roman" w:cs="Times New Roman"/>
          <w:smallCaps w:val="0"/>
          <w:color w:val="auto"/>
          <w:spacing w:val="0"/>
          <w:sz w:val="20"/>
          <w:szCs w:val="20"/>
          <w:lang w:val="en-GB"/>
        </w:rPr>
        <w:t xml:space="preserve">Notes: (i) </w:t>
      </w:r>
      <w:r w:rsidRPr="004722FF">
        <w:rPr>
          <w:rFonts w:ascii="Times New Roman" w:eastAsiaTheme="minorHAnsi" w:hAnsi="Times New Roman" w:cs="Times New Roman"/>
          <w:b/>
          <w:bCs/>
          <w:smallCaps w:val="0"/>
          <w:color w:val="auto"/>
          <w:spacing w:val="0"/>
          <w:sz w:val="20"/>
          <w:szCs w:val="20"/>
          <w:highlight w:val="lightGray"/>
          <w:lang w:val="en-GB"/>
        </w:rPr>
        <w:t>The data presented refer to comparisons of each drug versus placebo (there are no direct comparisons)</w:t>
      </w:r>
      <w:r w:rsidRPr="004722FF">
        <w:rPr>
          <w:rFonts w:ascii="Times New Roman" w:eastAsiaTheme="minorHAnsi" w:hAnsi="Times New Roman" w:cs="Times New Roman"/>
          <w:smallCaps w:val="0"/>
          <w:color w:val="auto"/>
          <w:spacing w:val="0"/>
          <w:sz w:val="20"/>
          <w:szCs w:val="20"/>
          <w:lang w:val="en-GB"/>
        </w:rPr>
        <w:t xml:space="preserve">, and reflect results of the </w:t>
      </w:r>
      <w:r w:rsidR="0013755F">
        <w:rPr>
          <w:rFonts w:ascii="Times New Roman" w:eastAsiaTheme="minorHAnsi" w:hAnsi="Times New Roman" w:cs="Times New Roman"/>
          <w:smallCaps w:val="0"/>
          <w:color w:val="auto"/>
          <w:spacing w:val="0"/>
          <w:sz w:val="20"/>
          <w:szCs w:val="20"/>
          <w:lang w:val="en-GB"/>
        </w:rPr>
        <w:t>technical product sheet</w:t>
      </w:r>
      <w:r w:rsidRPr="004722FF">
        <w:rPr>
          <w:rFonts w:ascii="Times New Roman" w:eastAsiaTheme="minorHAnsi" w:hAnsi="Times New Roman" w:cs="Times New Roman"/>
          <w:smallCaps w:val="0"/>
          <w:color w:val="auto"/>
          <w:spacing w:val="0"/>
          <w:sz w:val="20"/>
          <w:szCs w:val="20"/>
          <w:lang w:val="en-GB"/>
        </w:rPr>
        <w:t xml:space="preserve">. For BKZ, the one recommended by the </w:t>
      </w:r>
      <w:r w:rsidR="0013755F">
        <w:rPr>
          <w:rFonts w:ascii="Times New Roman" w:eastAsiaTheme="minorHAnsi" w:hAnsi="Times New Roman" w:cs="Times New Roman"/>
          <w:smallCaps w:val="0"/>
          <w:color w:val="auto"/>
          <w:spacing w:val="0"/>
          <w:sz w:val="20"/>
          <w:szCs w:val="20"/>
          <w:lang w:val="en-GB"/>
        </w:rPr>
        <w:t>EMA</w:t>
      </w:r>
      <w:r w:rsidRPr="004722FF">
        <w:rPr>
          <w:rFonts w:ascii="Times New Roman" w:eastAsiaTheme="minorHAnsi" w:hAnsi="Times New Roman" w:cs="Times New Roman"/>
          <w:smallCaps w:val="0"/>
          <w:color w:val="auto"/>
          <w:spacing w:val="0"/>
          <w:sz w:val="20"/>
          <w:szCs w:val="20"/>
          <w:lang w:val="en-GB"/>
        </w:rPr>
        <w:t xml:space="preserve"> </w:t>
      </w:r>
      <w:r w:rsidR="0013755F">
        <w:rPr>
          <w:rFonts w:ascii="Times New Roman" w:eastAsiaTheme="minorHAnsi" w:hAnsi="Times New Roman" w:cs="Times New Roman"/>
          <w:smallCaps w:val="0"/>
          <w:color w:val="auto"/>
          <w:spacing w:val="0"/>
          <w:sz w:val="20"/>
          <w:szCs w:val="20"/>
          <w:lang w:val="en-GB"/>
        </w:rPr>
        <w:t xml:space="preserve">marketing authorisation </w:t>
      </w:r>
      <w:r w:rsidRPr="004722FF">
        <w:rPr>
          <w:rFonts w:ascii="Times New Roman" w:eastAsiaTheme="minorHAnsi" w:hAnsi="Times New Roman" w:cs="Times New Roman"/>
          <w:smallCaps w:val="0"/>
          <w:color w:val="auto"/>
          <w:spacing w:val="0"/>
          <w:sz w:val="20"/>
          <w:szCs w:val="20"/>
          <w:lang w:val="en-GB"/>
        </w:rPr>
        <w:t xml:space="preserve">was used. (ii) The target variables and the periodicity are indicated in the "variables" row. PASI: Psoriasis Area and Severity Index. IGA: </w:t>
      </w:r>
      <w:r w:rsidR="0013755F">
        <w:rPr>
          <w:rFonts w:ascii="Times New Roman" w:eastAsiaTheme="minorHAnsi" w:hAnsi="Times New Roman" w:cs="Times New Roman"/>
          <w:smallCaps w:val="0"/>
          <w:color w:val="auto"/>
          <w:spacing w:val="0"/>
          <w:sz w:val="20"/>
          <w:szCs w:val="20"/>
          <w:lang w:val="en-GB"/>
        </w:rPr>
        <w:t>Investigators</w:t>
      </w:r>
      <w:r w:rsidR="0013755F" w:rsidRPr="004722FF">
        <w:rPr>
          <w:rFonts w:ascii="Times New Roman" w:hAnsi="Times New Roman" w:cs="Times New Roman"/>
          <w:sz w:val="20"/>
          <w:szCs w:val="20"/>
          <w:lang w:val="en-GB"/>
        </w:rPr>
        <w:t>'</w:t>
      </w:r>
      <w:r w:rsidR="0013755F">
        <w:rPr>
          <w:rFonts w:ascii="Times New Roman" w:eastAsiaTheme="minorHAnsi" w:hAnsi="Times New Roman" w:cs="Times New Roman"/>
          <w:smallCaps w:val="0"/>
          <w:color w:val="auto"/>
          <w:spacing w:val="0"/>
          <w:sz w:val="20"/>
          <w:szCs w:val="20"/>
          <w:lang w:val="en-GB"/>
        </w:rPr>
        <w:t xml:space="preserve"> </w:t>
      </w:r>
      <w:r w:rsidRPr="004722FF">
        <w:rPr>
          <w:rFonts w:ascii="Times New Roman" w:eastAsiaTheme="minorHAnsi" w:hAnsi="Times New Roman" w:cs="Times New Roman"/>
          <w:smallCaps w:val="0"/>
          <w:color w:val="auto"/>
          <w:spacing w:val="0"/>
          <w:sz w:val="20"/>
          <w:szCs w:val="20"/>
          <w:lang w:val="en-GB"/>
        </w:rPr>
        <w:t xml:space="preserve">Global Assessment. PPPASI: PASI Palmoplantar. mNAPSI: Nail Psoriasis Severity Index. PGA: </w:t>
      </w:r>
      <w:r w:rsidR="0013755F">
        <w:rPr>
          <w:rFonts w:ascii="Times New Roman" w:eastAsiaTheme="minorHAnsi" w:hAnsi="Times New Roman" w:cs="Times New Roman"/>
          <w:smallCaps w:val="0"/>
          <w:color w:val="auto"/>
          <w:spacing w:val="0"/>
          <w:sz w:val="20"/>
          <w:szCs w:val="20"/>
          <w:lang w:val="en-GB"/>
        </w:rPr>
        <w:t>Physicians</w:t>
      </w:r>
      <w:r w:rsidR="0013755F" w:rsidRPr="004722FF">
        <w:rPr>
          <w:rFonts w:ascii="Times New Roman" w:hAnsi="Times New Roman" w:cs="Times New Roman"/>
          <w:sz w:val="20"/>
          <w:szCs w:val="20"/>
          <w:lang w:val="en-GB"/>
        </w:rPr>
        <w:t>'</w:t>
      </w:r>
      <w:r w:rsidR="0013755F">
        <w:rPr>
          <w:rFonts w:ascii="Times New Roman" w:eastAsiaTheme="minorHAnsi" w:hAnsi="Times New Roman" w:cs="Times New Roman"/>
          <w:smallCaps w:val="0"/>
          <w:color w:val="auto"/>
          <w:spacing w:val="0"/>
          <w:sz w:val="20"/>
          <w:szCs w:val="20"/>
          <w:lang w:val="en-GB"/>
        </w:rPr>
        <w:t xml:space="preserve"> </w:t>
      </w:r>
      <w:r w:rsidRPr="004722FF">
        <w:rPr>
          <w:rFonts w:ascii="Times New Roman" w:eastAsiaTheme="minorHAnsi" w:hAnsi="Times New Roman" w:cs="Times New Roman"/>
          <w:smallCaps w:val="0"/>
          <w:color w:val="auto"/>
          <w:spacing w:val="0"/>
          <w:sz w:val="20"/>
          <w:szCs w:val="20"/>
          <w:lang w:val="en-GB"/>
        </w:rPr>
        <w:t>Global Assessment. BKZ: Bimekizumab. PBO: placebo. ADA: Adalimumab. UST: Ustekinumab. SEC: Secukinumab. IXE: Ixekizumab. RIS: Risankizumab.</w:t>
      </w:r>
    </w:p>
    <w:p w14:paraId="1C08B8E5" w14:textId="2DE3F4C6" w:rsidR="000E3A41" w:rsidRDefault="000E3A41" w:rsidP="00EF06FB">
      <w:pPr>
        <w:pStyle w:val="TITULOTABLASYFIGURAS"/>
        <w:pBdr>
          <w:bottom w:val="none" w:sz="0" w:space="0" w:color="auto"/>
        </w:pBdr>
        <w:spacing w:before="120"/>
        <w:ind w:left="709"/>
        <w:rPr>
          <w:rFonts w:ascii="Times New Roman" w:hAnsi="Times New Roman" w:cs="Times New Roman"/>
          <w:color w:val="auto"/>
          <w:szCs w:val="72"/>
          <w:lang w:val="en-GB"/>
        </w:rPr>
      </w:pPr>
    </w:p>
    <w:p w14:paraId="1D320D00" w14:textId="45B8E650" w:rsidR="0013755F" w:rsidRDefault="0013755F" w:rsidP="00EF06FB">
      <w:pPr>
        <w:pStyle w:val="TITULOTABLASYFIGURAS"/>
        <w:pBdr>
          <w:bottom w:val="none" w:sz="0" w:space="0" w:color="auto"/>
        </w:pBdr>
        <w:spacing w:before="120"/>
        <w:ind w:left="709"/>
        <w:rPr>
          <w:rFonts w:ascii="Times New Roman" w:hAnsi="Times New Roman" w:cs="Times New Roman"/>
          <w:color w:val="auto"/>
          <w:szCs w:val="72"/>
          <w:lang w:val="en-GB"/>
        </w:rPr>
      </w:pPr>
    </w:p>
    <w:p w14:paraId="61685790" w14:textId="5229F5DC" w:rsidR="00B7115A" w:rsidRDefault="00B7115A" w:rsidP="00EF06FB">
      <w:pPr>
        <w:pStyle w:val="TITULOTABLASYFIGURAS"/>
        <w:pBdr>
          <w:bottom w:val="none" w:sz="0" w:space="0" w:color="auto"/>
        </w:pBdr>
        <w:spacing w:before="120"/>
        <w:ind w:left="709"/>
        <w:rPr>
          <w:rFonts w:ascii="Times New Roman" w:eastAsiaTheme="minorHAnsi" w:hAnsi="Times New Roman" w:cs="Times New Roman"/>
          <w:smallCaps w:val="0"/>
          <w:color w:val="auto"/>
          <w:spacing w:val="0"/>
          <w:sz w:val="20"/>
          <w:szCs w:val="20"/>
          <w:lang w:val="en-GB"/>
        </w:rPr>
      </w:pPr>
    </w:p>
    <w:p w14:paraId="2EC9C86C" w14:textId="005C756E" w:rsidR="00EF06FB" w:rsidRDefault="00EF06FB" w:rsidP="00EF06FB">
      <w:pPr>
        <w:pStyle w:val="TITULOTABLASYFIGURAS"/>
        <w:pBdr>
          <w:bottom w:val="none" w:sz="0" w:space="0" w:color="auto"/>
        </w:pBdr>
        <w:spacing w:before="120"/>
        <w:ind w:left="709"/>
        <w:rPr>
          <w:rFonts w:ascii="Times New Roman" w:eastAsiaTheme="minorHAnsi" w:hAnsi="Times New Roman" w:cs="Times New Roman"/>
          <w:smallCaps w:val="0"/>
          <w:color w:val="auto"/>
          <w:spacing w:val="0"/>
          <w:sz w:val="20"/>
          <w:szCs w:val="20"/>
          <w:lang w:val="en-GB"/>
        </w:rPr>
      </w:pPr>
    </w:p>
    <w:p w14:paraId="7611BBF9" w14:textId="77777777" w:rsidR="00EF06FB" w:rsidRPr="00B7115A" w:rsidRDefault="00EF06FB" w:rsidP="00EF06FB">
      <w:pPr>
        <w:pStyle w:val="TITULOTABLASYFIGURAS"/>
        <w:pBdr>
          <w:bottom w:val="none" w:sz="0" w:space="0" w:color="auto"/>
        </w:pBdr>
        <w:spacing w:before="120"/>
        <w:ind w:left="709"/>
        <w:rPr>
          <w:rFonts w:ascii="Times New Roman" w:eastAsiaTheme="minorHAnsi" w:hAnsi="Times New Roman" w:cs="Times New Roman"/>
          <w:smallCaps w:val="0"/>
          <w:color w:val="auto"/>
          <w:spacing w:val="0"/>
          <w:sz w:val="20"/>
          <w:szCs w:val="20"/>
          <w:lang w:val="en-GB"/>
        </w:rPr>
      </w:pPr>
    </w:p>
    <w:p w14:paraId="3CB74858" w14:textId="77777777" w:rsidR="000E3A41" w:rsidRPr="00B7115A" w:rsidRDefault="000E3A41" w:rsidP="000E3A41">
      <w:pPr>
        <w:spacing w:before="120" w:after="0" w:line="240" w:lineRule="auto"/>
        <w:ind w:left="708"/>
        <w:rPr>
          <w:rFonts w:ascii="Times New Roman" w:hAnsi="Times New Roman" w:cs="Times New Roman"/>
          <w:sz w:val="20"/>
          <w:szCs w:val="20"/>
          <w:lang w:val="en-GB"/>
        </w:rPr>
      </w:pPr>
      <w:bookmarkStart w:id="142" w:name="_Toc74645728"/>
    </w:p>
    <w:p w14:paraId="5E5F1BC7" w14:textId="2ECC1355" w:rsidR="001D179C" w:rsidRPr="009A5E9A" w:rsidRDefault="006D324E" w:rsidP="009A5E9A">
      <w:pPr>
        <w:pStyle w:val="Ttulo1"/>
        <w:shd w:val="clear" w:color="auto" w:fill="A6A6A6" w:themeFill="background1" w:themeFillShade="A6"/>
        <w:spacing w:before="120" w:after="120"/>
        <w:ind w:left="709"/>
        <w:jc w:val="left"/>
        <w:rPr>
          <w:rStyle w:val="TEXTOGENERALCar"/>
          <w:rFonts w:ascii="Times New Roman" w:hAnsi="Times New Roman" w:cs="Times New Roman"/>
          <w:bCs/>
          <w:color w:val="FFFFFF" w:themeColor="background1"/>
          <w:sz w:val="32"/>
          <w:szCs w:val="32"/>
        </w:rPr>
      </w:pPr>
      <w:bookmarkStart w:id="143" w:name="_Toc89351172"/>
      <w:r w:rsidRPr="009A5E9A">
        <w:rPr>
          <w:rStyle w:val="TEXTOGENERALCar"/>
          <w:rFonts w:ascii="Times New Roman" w:hAnsi="Times New Roman" w:cs="Times New Roman"/>
          <w:b/>
          <w:bCs/>
          <w:color w:val="FFFFFF" w:themeColor="background1"/>
          <w:sz w:val="32"/>
          <w:szCs w:val="32"/>
        </w:rPr>
        <w:lastRenderedPageBreak/>
        <w:t>4</w:t>
      </w:r>
      <w:r w:rsidR="009A5E9A">
        <w:rPr>
          <w:rStyle w:val="TEXTOGENERALCar"/>
          <w:rFonts w:ascii="Times New Roman" w:hAnsi="Times New Roman" w:cs="Times New Roman"/>
          <w:b/>
          <w:bCs/>
          <w:color w:val="FFFFFF" w:themeColor="background1"/>
          <w:sz w:val="32"/>
          <w:szCs w:val="32"/>
        </w:rPr>
        <w:t>.</w:t>
      </w:r>
      <w:r w:rsidR="001D179C" w:rsidRPr="009A5E9A">
        <w:rPr>
          <w:rStyle w:val="TEXTOGENERALCar"/>
          <w:rFonts w:ascii="Times New Roman" w:hAnsi="Times New Roman" w:cs="Times New Roman"/>
          <w:b/>
          <w:bCs/>
          <w:color w:val="FFFFFF" w:themeColor="background1"/>
          <w:sz w:val="32"/>
          <w:szCs w:val="32"/>
        </w:rPr>
        <w:t xml:space="preserve"> </w:t>
      </w:r>
      <w:r w:rsidR="001D179C" w:rsidRPr="009A5E9A">
        <w:rPr>
          <w:rStyle w:val="TEXTOGENERALCar"/>
          <w:rFonts w:ascii="Times New Roman" w:hAnsi="Times New Roman" w:cs="Times New Roman"/>
          <w:b/>
          <w:bCs/>
          <w:color w:val="FFFFFF" w:themeColor="background1"/>
          <w:sz w:val="32"/>
        </w:rPr>
        <w:t>Economic consequences</w:t>
      </w:r>
      <w:bookmarkEnd w:id="142"/>
      <w:r w:rsidR="005C25A9">
        <w:rPr>
          <w:rStyle w:val="TEXTOGENERALCar"/>
          <w:rFonts w:ascii="Times New Roman" w:hAnsi="Times New Roman" w:cs="Times New Roman"/>
          <w:b/>
          <w:bCs/>
          <w:color w:val="FFFFFF" w:themeColor="background1"/>
          <w:sz w:val="32"/>
        </w:rPr>
        <w:t xml:space="preserve"> of the intervention</w:t>
      </w:r>
      <w:bookmarkEnd w:id="143"/>
    </w:p>
    <w:p w14:paraId="01B989E6" w14:textId="77777777" w:rsidR="001D179C" w:rsidRPr="004722FF" w:rsidRDefault="001D179C" w:rsidP="00B406C9">
      <w:pPr>
        <w:pStyle w:val="Prrafodelista"/>
        <w:numPr>
          <w:ilvl w:val="0"/>
          <w:numId w:val="1"/>
        </w:numPr>
        <w:spacing w:before="120" w:line="240" w:lineRule="auto"/>
        <w:ind w:left="709" w:firstLine="0"/>
        <w:contextualSpacing w:val="0"/>
        <w:jc w:val="left"/>
        <w:outlineLvl w:val="1"/>
        <w:rPr>
          <w:rFonts w:ascii="Times New Roman" w:eastAsiaTheme="majorEastAsia" w:hAnsi="Times New Roman" w:cs="Times New Roman"/>
          <w:smallCaps/>
          <w:vanish/>
          <w:spacing w:val="5"/>
          <w:sz w:val="32"/>
          <w:szCs w:val="60"/>
          <w:lang w:val="en-GB"/>
        </w:rPr>
      </w:pPr>
      <w:bookmarkStart w:id="144" w:name="_Toc73538775"/>
      <w:bookmarkStart w:id="145" w:name="_Toc73538902"/>
      <w:bookmarkStart w:id="146" w:name="_Toc73538945"/>
      <w:bookmarkStart w:id="147" w:name="_Toc73539169"/>
      <w:bookmarkStart w:id="148" w:name="_Toc73541276"/>
      <w:bookmarkStart w:id="149" w:name="_Toc73602806"/>
      <w:bookmarkStart w:id="150" w:name="_Toc74314119"/>
      <w:bookmarkStart w:id="151" w:name="_Toc74639567"/>
      <w:bookmarkStart w:id="152" w:name="_Toc74645729"/>
      <w:bookmarkStart w:id="153" w:name="_Toc89076825"/>
      <w:bookmarkStart w:id="154" w:name="_Toc89077571"/>
      <w:bookmarkStart w:id="155" w:name="_Toc89077679"/>
      <w:bookmarkStart w:id="156" w:name="_Toc89077710"/>
      <w:bookmarkStart w:id="157" w:name="_Toc89077945"/>
      <w:bookmarkStart w:id="158" w:name="_Toc89077970"/>
      <w:bookmarkStart w:id="159" w:name="_Toc89078005"/>
      <w:bookmarkStart w:id="160" w:name="_Toc89078067"/>
      <w:bookmarkStart w:id="161" w:name="_Toc89078122"/>
      <w:bookmarkStart w:id="162" w:name="_Toc89078212"/>
      <w:bookmarkStart w:id="163" w:name="_Toc89078414"/>
      <w:bookmarkStart w:id="164" w:name="_Toc8935117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5EBDF8C" w14:textId="13EC566A" w:rsidR="001D179C" w:rsidRPr="009A5E9A" w:rsidRDefault="009A5E9A" w:rsidP="00B406C9">
      <w:pPr>
        <w:pStyle w:val="Ttulo2"/>
        <w:numPr>
          <w:ilvl w:val="1"/>
          <w:numId w:val="1"/>
        </w:numPr>
        <w:spacing w:before="120" w:line="240" w:lineRule="auto"/>
        <w:ind w:left="993" w:firstLine="0"/>
        <w:rPr>
          <w:rFonts w:ascii="Times New Roman" w:hAnsi="Times New Roman" w:cs="Times New Roman"/>
          <w:b/>
          <w:bCs/>
          <w:smallCaps w:val="0"/>
          <w:color w:val="auto"/>
          <w:sz w:val="22"/>
          <w:szCs w:val="22"/>
          <w:lang w:val="en-GB"/>
        </w:rPr>
      </w:pPr>
      <w:bookmarkStart w:id="165" w:name="_Toc89351174"/>
      <w:r w:rsidRPr="009A5E9A">
        <w:rPr>
          <w:rFonts w:ascii="Times New Roman" w:hAnsi="Times New Roman" w:cs="Times New Roman"/>
          <w:b/>
          <w:bCs/>
          <w:smallCaps w:val="0"/>
          <w:color w:val="auto"/>
          <w:sz w:val="22"/>
          <w:szCs w:val="22"/>
          <w:lang w:val="en-GB"/>
        </w:rPr>
        <w:t>Cost of intervention</w:t>
      </w:r>
      <w:bookmarkEnd w:id="165"/>
    </w:p>
    <w:p w14:paraId="04EBD109" w14:textId="42688E8A" w:rsidR="002B1202" w:rsidRPr="009A5E9A" w:rsidRDefault="002B1202" w:rsidP="002B1202">
      <w:pPr>
        <w:pStyle w:val="TITULOTABLASYFIGURAS"/>
        <w:ind w:left="709"/>
        <w:rPr>
          <w:rFonts w:ascii="Times New Roman" w:hAnsi="Times New Roman" w:cs="Times New Roman"/>
          <w:b/>
          <w:bCs/>
          <w:smallCaps w:val="0"/>
          <w:color w:val="auto"/>
          <w:sz w:val="22"/>
          <w:szCs w:val="56"/>
          <w:lang w:val="en-GB"/>
        </w:rPr>
      </w:pPr>
      <w:bookmarkStart w:id="166" w:name="_Toc89078659"/>
      <w:r w:rsidRPr="009A5E9A">
        <w:rPr>
          <w:rFonts w:ascii="Times New Roman" w:hAnsi="Times New Roman" w:cs="Times New Roman"/>
          <w:b/>
          <w:bCs/>
          <w:smallCaps w:val="0"/>
          <w:color w:val="auto"/>
          <w:sz w:val="22"/>
          <w:szCs w:val="56"/>
          <w:lang w:val="en-GB"/>
        </w:rPr>
        <w:t xml:space="preserve">Table </w:t>
      </w:r>
      <w:r w:rsidR="009A5E9A">
        <w:rPr>
          <w:rFonts w:ascii="Times New Roman" w:hAnsi="Times New Roman" w:cs="Times New Roman"/>
          <w:b/>
          <w:bCs/>
          <w:smallCaps w:val="0"/>
          <w:color w:val="auto"/>
          <w:sz w:val="22"/>
          <w:szCs w:val="56"/>
          <w:lang w:val="en-GB"/>
        </w:rPr>
        <w:t>(S1).</w:t>
      </w:r>
      <w:r w:rsidRPr="009A5E9A">
        <w:rPr>
          <w:rFonts w:ascii="Times New Roman" w:hAnsi="Times New Roman" w:cs="Times New Roman"/>
          <w:b/>
          <w:bCs/>
          <w:smallCaps w:val="0"/>
          <w:color w:val="auto"/>
          <w:sz w:val="22"/>
          <w:szCs w:val="56"/>
          <w:lang w:val="en-GB"/>
        </w:rPr>
        <w:fldChar w:fldCharType="begin"/>
      </w:r>
      <w:r w:rsidRPr="009A5E9A">
        <w:rPr>
          <w:rFonts w:ascii="Times New Roman" w:hAnsi="Times New Roman" w:cs="Times New Roman"/>
          <w:b/>
          <w:bCs/>
          <w:smallCaps w:val="0"/>
          <w:color w:val="auto"/>
          <w:sz w:val="22"/>
          <w:szCs w:val="56"/>
          <w:lang w:val="en-GB"/>
        </w:rPr>
        <w:instrText xml:space="preserve"> SEQ Tabla \* ARABIC </w:instrText>
      </w:r>
      <w:r w:rsidRPr="009A5E9A">
        <w:rPr>
          <w:rFonts w:ascii="Times New Roman" w:hAnsi="Times New Roman" w:cs="Times New Roman"/>
          <w:b/>
          <w:bCs/>
          <w:smallCaps w:val="0"/>
          <w:color w:val="auto"/>
          <w:sz w:val="22"/>
          <w:szCs w:val="56"/>
          <w:lang w:val="en-GB"/>
        </w:rPr>
        <w:fldChar w:fldCharType="separate"/>
      </w:r>
      <w:r w:rsidR="009A5E9A" w:rsidRPr="009A5E9A">
        <w:rPr>
          <w:rFonts w:ascii="Times New Roman" w:hAnsi="Times New Roman" w:cs="Times New Roman"/>
          <w:b/>
          <w:bCs/>
          <w:smallCaps w:val="0"/>
          <w:noProof/>
          <w:color w:val="auto"/>
          <w:sz w:val="22"/>
          <w:szCs w:val="56"/>
          <w:lang w:val="en-GB"/>
        </w:rPr>
        <w:t>13</w:t>
      </w:r>
      <w:r w:rsidRPr="009A5E9A">
        <w:rPr>
          <w:rFonts w:ascii="Times New Roman" w:hAnsi="Times New Roman" w:cs="Times New Roman"/>
          <w:b/>
          <w:bCs/>
          <w:smallCaps w:val="0"/>
          <w:color w:val="auto"/>
          <w:sz w:val="22"/>
          <w:szCs w:val="56"/>
          <w:lang w:val="en-GB"/>
        </w:rPr>
        <w:fldChar w:fldCharType="end"/>
      </w:r>
      <w:r w:rsidRPr="009A5E9A">
        <w:rPr>
          <w:rFonts w:ascii="Times New Roman" w:hAnsi="Times New Roman" w:cs="Times New Roman"/>
          <w:b/>
          <w:bCs/>
          <w:smallCaps w:val="0"/>
          <w:color w:val="auto"/>
          <w:sz w:val="22"/>
          <w:szCs w:val="56"/>
          <w:lang w:val="en-GB"/>
        </w:rPr>
        <w:t xml:space="preserve">: </w:t>
      </w:r>
      <w:r w:rsidR="009A5E9A">
        <w:rPr>
          <w:rFonts w:ascii="Times New Roman" w:hAnsi="Times New Roman" w:cs="Times New Roman"/>
          <w:b/>
          <w:bCs/>
          <w:smallCaps w:val="0"/>
          <w:color w:val="auto"/>
          <w:sz w:val="22"/>
          <w:szCs w:val="56"/>
          <w:lang w:val="en-GB"/>
        </w:rPr>
        <w:t>Annual cost of intervention (</w:t>
      </w:r>
      <w:r w:rsidRPr="009A5E9A">
        <w:rPr>
          <w:rFonts w:ascii="Times New Roman" w:hAnsi="Times New Roman" w:cs="Times New Roman"/>
          <w:b/>
          <w:bCs/>
          <w:smallCaps w:val="0"/>
          <w:color w:val="auto"/>
          <w:sz w:val="22"/>
          <w:szCs w:val="56"/>
          <w:lang w:val="en-GB"/>
        </w:rPr>
        <w:t xml:space="preserve">drug acquisition </w:t>
      </w:r>
      <w:r w:rsidR="009A5E9A">
        <w:rPr>
          <w:rFonts w:ascii="Times New Roman" w:hAnsi="Times New Roman" w:cs="Times New Roman"/>
          <w:b/>
          <w:bCs/>
          <w:smallCaps w:val="0"/>
          <w:color w:val="auto"/>
          <w:sz w:val="22"/>
          <w:szCs w:val="56"/>
          <w:lang w:val="en-GB"/>
        </w:rPr>
        <w:t xml:space="preserve">cost </w:t>
      </w:r>
      <w:r w:rsidRPr="009A5E9A">
        <w:rPr>
          <w:rFonts w:ascii="Times New Roman" w:hAnsi="Times New Roman" w:cs="Times New Roman"/>
          <w:b/>
          <w:bCs/>
          <w:smallCaps w:val="0"/>
          <w:color w:val="auto"/>
          <w:sz w:val="22"/>
          <w:szCs w:val="56"/>
          <w:lang w:val="en-GB"/>
        </w:rPr>
        <w:t>per patient</w:t>
      </w:r>
      <w:r w:rsidR="000053BD">
        <w:rPr>
          <w:rFonts w:ascii="Times New Roman" w:hAnsi="Times New Roman" w:cs="Times New Roman"/>
          <w:b/>
          <w:bCs/>
          <w:smallCaps w:val="0"/>
          <w:color w:val="auto"/>
          <w:sz w:val="22"/>
          <w:szCs w:val="56"/>
          <w:lang w:val="en-GB"/>
        </w:rPr>
        <w:t>, PVL</w:t>
      </w:r>
      <w:r w:rsidR="009A5E9A">
        <w:rPr>
          <w:rFonts w:ascii="Times New Roman" w:hAnsi="Times New Roman" w:cs="Times New Roman"/>
          <w:b/>
          <w:bCs/>
          <w:smallCaps w:val="0"/>
          <w:color w:val="auto"/>
          <w:sz w:val="22"/>
          <w:szCs w:val="56"/>
          <w:lang w:val="en-GB"/>
        </w:rPr>
        <w:t>)</w:t>
      </w:r>
      <w:bookmarkEnd w:id="166"/>
    </w:p>
    <w:tbl>
      <w:tblPr>
        <w:tblStyle w:val="Tabladelista3"/>
        <w:tblW w:w="14852" w:type="dxa"/>
        <w:tblInd w:w="751" w:type="dxa"/>
        <w:tblLook w:val="00A0" w:firstRow="1" w:lastRow="0" w:firstColumn="1" w:lastColumn="0" w:noHBand="0" w:noVBand="0"/>
      </w:tblPr>
      <w:tblGrid>
        <w:gridCol w:w="2117"/>
        <w:gridCol w:w="1819"/>
        <w:gridCol w:w="1819"/>
        <w:gridCol w:w="1819"/>
        <w:gridCol w:w="1820"/>
        <w:gridCol w:w="1819"/>
        <w:gridCol w:w="1819"/>
        <w:gridCol w:w="1820"/>
      </w:tblGrid>
      <w:tr w:rsidR="004722FF" w:rsidRPr="009A5E9A" w14:paraId="48EE353E" w14:textId="77777777" w:rsidTr="002D7D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17" w:type="dxa"/>
            <w:tcMar>
              <w:top w:w="28" w:type="dxa"/>
              <w:bottom w:w="28" w:type="dxa"/>
            </w:tcMar>
            <w:vAlign w:val="center"/>
          </w:tcPr>
          <w:p w14:paraId="6B4A5447" w14:textId="77777777" w:rsidR="002B1202" w:rsidRPr="009A5E9A" w:rsidRDefault="002B1202" w:rsidP="00677C01">
            <w:pPr>
              <w:spacing w:before="0" w:after="0" w:line="240" w:lineRule="auto"/>
              <w:jc w:val="left"/>
              <w:rPr>
                <w:rFonts w:ascii="Times New Roman" w:hAnsi="Times New Roman" w:cs="Times New Roman"/>
                <w:sz w:val="20"/>
                <w:szCs w:val="20"/>
                <w:lang w:val="en-GB"/>
              </w:rPr>
            </w:pPr>
            <w:r w:rsidRPr="009A5E9A">
              <w:rPr>
                <w:rFonts w:ascii="Times New Roman" w:hAnsi="Times New Roman" w:cs="Times New Roman"/>
                <w:sz w:val="20"/>
                <w:szCs w:val="20"/>
                <w:lang w:val="en-GB"/>
              </w:rPr>
              <w:t>Variable</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1D90199D" w14:textId="77777777" w:rsidR="002B1202" w:rsidRPr="009A5E9A" w:rsidRDefault="008136F8" w:rsidP="00677C01">
            <w:pPr>
              <w:spacing w:before="0" w:after="0" w:line="240" w:lineRule="auto"/>
              <w:jc w:val="center"/>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BKZ</w:t>
            </w:r>
          </w:p>
        </w:tc>
        <w:tc>
          <w:tcPr>
            <w:tcW w:w="1819" w:type="dxa"/>
            <w:tcMar>
              <w:top w:w="28" w:type="dxa"/>
              <w:bottom w:w="28" w:type="dxa"/>
            </w:tcMar>
            <w:vAlign w:val="center"/>
          </w:tcPr>
          <w:p w14:paraId="3C334C37" w14:textId="77777777" w:rsidR="002B1202" w:rsidRPr="009A5E9A" w:rsidRDefault="002B1202"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PBO</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16FFABF4" w14:textId="77777777" w:rsidR="002B1202" w:rsidRPr="009A5E9A" w:rsidRDefault="002B1202" w:rsidP="00677C01">
            <w:pPr>
              <w:spacing w:before="0" w:after="0" w:line="240" w:lineRule="auto"/>
              <w:jc w:val="center"/>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ADA</w:t>
            </w:r>
          </w:p>
        </w:tc>
        <w:tc>
          <w:tcPr>
            <w:tcW w:w="1820" w:type="dxa"/>
            <w:tcMar>
              <w:top w:w="28" w:type="dxa"/>
              <w:bottom w:w="28" w:type="dxa"/>
            </w:tcMar>
            <w:vAlign w:val="center"/>
          </w:tcPr>
          <w:p w14:paraId="69747E8A" w14:textId="77777777" w:rsidR="002B1202" w:rsidRPr="009A5E9A" w:rsidRDefault="002B1202"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UST</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3527583D" w14:textId="77777777" w:rsidR="002B1202" w:rsidRPr="009A5E9A" w:rsidRDefault="002B1202" w:rsidP="00677C01">
            <w:pPr>
              <w:spacing w:before="0" w:after="0" w:line="240" w:lineRule="auto"/>
              <w:jc w:val="center"/>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SEC</w:t>
            </w:r>
          </w:p>
        </w:tc>
        <w:tc>
          <w:tcPr>
            <w:tcW w:w="1819" w:type="dxa"/>
            <w:tcMar>
              <w:top w:w="28" w:type="dxa"/>
              <w:bottom w:w="28" w:type="dxa"/>
            </w:tcMar>
            <w:vAlign w:val="center"/>
          </w:tcPr>
          <w:p w14:paraId="4170E969" w14:textId="77777777" w:rsidR="002B1202" w:rsidRPr="009A5E9A" w:rsidRDefault="002B1202" w:rsidP="00677C0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IXE</w:t>
            </w:r>
          </w:p>
        </w:tc>
        <w:tc>
          <w:tcPr>
            <w:cnfStyle w:val="000010000000" w:firstRow="0" w:lastRow="0" w:firstColumn="0" w:lastColumn="0" w:oddVBand="1" w:evenVBand="0" w:oddHBand="0" w:evenHBand="0" w:firstRowFirstColumn="0" w:firstRowLastColumn="0" w:lastRowFirstColumn="0" w:lastRowLastColumn="0"/>
            <w:tcW w:w="1820" w:type="dxa"/>
            <w:tcMar>
              <w:top w:w="28" w:type="dxa"/>
              <w:bottom w:w="28" w:type="dxa"/>
            </w:tcMar>
            <w:vAlign w:val="center"/>
          </w:tcPr>
          <w:p w14:paraId="23B74567" w14:textId="77777777" w:rsidR="002B1202" w:rsidRPr="009A5E9A" w:rsidRDefault="002B1202" w:rsidP="00677C01">
            <w:pPr>
              <w:spacing w:before="0" w:after="0" w:line="240" w:lineRule="auto"/>
              <w:jc w:val="center"/>
              <w:rPr>
                <w:rFonts w:ascii="Times New Roman" w:hAnsi="Times New Roman" w:cs="Times New Roman"/>
                <w:b w:val="0"/>
                <w:bCs w:val="0"/>
                <w:sz w:val="20"/>
                <w:szCs w:val="20"/>
                <w:lang w:val="en-GB"/>
              </w:rPr>
            </w:pPr>
            <w:r w:rsidRPr="009A5E9A">
              <w:rPr>
                <w:rFonts w:ascii="Times New Roman" w:hAnsi="Times New Roman" w:cs="Times New Roman"/>
                <w:sz w:val="20"/>
                <w:szCs w:val="20"/>
                <w:lang w:val="en-GB"/>
              </w:rPr>
              <w:t>RIS</w:t>
            </w:r>
          </w:p>
        </w:tc>
      </w:tr>
      <w:tr w:rsidR="004722FF" w:rsidRPr="009A5E9A" w14:paraId="5D60A413" w14:textId="77777777" w:rsidTr="002D7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7" w:type="dxa"/>
            <w:tcMar>
              <w:top w:w="28" w:type="dxa"/>
              <w:bottom w:w="28" w:type="dxa"/>
            </w:tcMar>
            <w:vAlign w:val="center"/>
          </w:tcPr>
          <w:p w14:paraId="757D6788" w14:textId="77777777" w:rsidR="009D5D22" w:rsidRPr="009A5E9A" w:rsidRDefault="009D5D22" w:rsidP="009D5D22">
            <w:pPr>
              <w:spacing w:before="0" w:after="0" w:line="240" w:lineRule="auto"/>
              <w:jc w:val="left"/>
              <w:rPr>
                <w:rFonts w:ascii="Times New Roman" w:hAnsi="Times New Roman" w:cs="Times New Roman"/>
                <w:b w:val="0"/>
                <w:bCs w:val="0"/>
                <w:sz w:val="20"/>
                <w:szCs w:val="20"/>
                <w:lang w:val="en-GB"/>
              </w:rPr>
            </w:pPr>
            <w:r w:rsidRPr="009A5E9A">
              <w:rPr>
                <w:rFonts w:ascii="Times New Roman" w:hAnsi="Times New Roman" w:cs="Times New Roman"/>
                <w:b w:val="0"/>
                <w:bCs w:val="0"/>
                <w:sz w:val="20"/>
                <w:szCs w:val="20"/>
                <w:lang w:val="en-GB"/>
              </w:rPr>
              <w:t>Year 1</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66F9CEB4" w14:textId="77777777" w:rsidR="009D5D22" w:rsidRPr="009A5E9A" w:rsidRDefault="00CD05EE"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€ 19,433</w:t>
            </w:r>
          </w:p>
        </w:tc>
        <w:tc>
          <w:tcPr>
            <w:tcW w:w="1819" w:type="dxa"/>
            <w:tcMar>
              <w:top w:w="28" w:type="dxa"/>
              <w:bottom w:w="28" w:type="dxa"/>
            </w:tcMar>
            <w:vAlign w:val="center"/>
          </w:tcPr>
          <w:p w14:paraId="187BCACD" w14:textId="77777777" w:rsidR="009D5D22" w:rsidRPr="009A5E9A" w:rsidRDefault="009D5D22" w:rsidP="009D5D2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€ 0</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601FD42A" w14:textId="77777777" w:rsidR="009D5D22" w:rsidRPr="009A5E9A" w:rsidRDefault="00AC4A03"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€ 12,237 - € 14,396</w:t>
            </w:r>
          </w:p>
        </w:tc>
        <w:tc>
          <w:tcPr>
            <w:tcW w:w="1820" w:type="dxa"/>
            <w:tcMar>
              <w:top w:w="28" w:type="dxa"/>
              <w:bottom w:w="28" w:type="dxa"/>
            </w:tcMar>
            <w:vAlign w:val="center"/>
          </w:tcPr>
          <w:p w14:paraId="401B4A37" w14:textId="77777777" w:rsidR="009D5D22" w:rsidRPr="009A5E9A" w:rsidRDefault="008E29F4" w:rsidP="009D5D2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€ 16,484 - € 18,600</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71FAFC97" w14:textId="77777777" w:rsidR="009D5D22" w:rsidRPr="009A5E9A" w:rsidRDefault="00BB5A31"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€ 19,433</w:t>
            </w:r>
          </w:p>
        </w:tc>
        <w:tc>
          <w:tcPr>
            <w:tcW w:w="1819" w:type="dxa"/>
            <w:tcMar>
              <w:top w:w="28" w:type="dxa"/>
              <w:bottom w:w="28" w:type="dxa"/>
            </w:tcMar>
            <w:vAlign w:val="center"/>
          </w:tcPr>
          <w:p w14:paraId="44B91A2D" w14:textId="77777777" w:rsidR="009D5D22" w:rsidRPr="009A5E9A" w:rsidRDefault="0039482A" w:rsidP="009D5D2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€ 18,180</w:t>
            </w:r>
          </w:p>
        </w:tc>
        <w:tc>
          <w:tcPr>
            <w:cnfStyle w:val="000010000000" w:firstRow="0" w:lastRow="0" w:firstColumn="0" w:lastColumn="0" w:oddVBand="1" w:evenVBand="0" w:oddHBand="0" w:evenHBand="0" w:firstRowFirstColumn="0" w:firstRowLastColumn="0" w:lastRowFirstColumn="0" w:lastRowLastColumn="0"/>
            <w:tcW w:w="1820" w:type="dxa"/>
            <w:tcMar>
              <w:top w:w="28" w:type="dxa"/>
              <w:bottom w:w="28" w:type="dxa"/>
            </w:tcMar>
            <w:vAlign w:val="center"/>
          </w:tcPr>
          <w:p w14:paraId="0C2E0ACA" w14:textId="77777777" w:rsidR="009D5D22" w:rsidRPr="009A5E9A" w:rsidRDefault="004F1D59"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€ 23,001</w:t>
            </w:r>
          </w:p>
        </w:tc>
      </w:tr>
      <w:tr w:rsidR="004722FF" w:rsidRPr="009A5E9A" w14:paraId="254BD093" w14:textId="77777777" w:rsidTr="002D7D2A">
        <w:trPr>
          <w:trHeight w:val="273"/>
        </w:trPr>
        <w:tc>
          <w:tcPr>
            <w:cnfStyle w:val="001000000000" w:firstRow="0" w:lastRow="0" w:firstColumn="1" w:lastColumn="0" w:oddVBand="0" w:evenVBand="0" w:oddHBand="0" w:evenHBand="0" w:firstRowFirstColumn="0" w:firstRowLastColumn="0" w:lastRowFirstColumn="0" w:lastRowLastColumn="0"/>
            <w:tcW w:w="2117" w:type="dxa"/>
            <w:tcMar>
              <w:top w:w="28" w:type="dxa"/>
              <w:bottom w:w="28" w:type="dxa"/>
            </w:tcMar>
            <w:vAlign w:val="center"/>
          </w:tcPr>
          <w:p w14:paraId="5F834BAF" w14:textId="77777777" w:rsidR="009D5D22" w:rsidRPr="009A5E9A" w:rsidRDefault="009D5D22" w:rsidP="009D5D22">
            <w:pPr>
              <w:spacing w:before="0" w:after="0" w:line="240" w:lineRule="auto"/>
              <w:jc w:val="left"/>
              <w:rPr>
                <w:rFonts w:ascii="Times New Roman" w:hAnsi="Times New Roman" w:cs="Times New Roman"/>
                <w:b w:val="0"/>
                <w:bCs w:val="0"/>
                <w:sz w:val="20"/>
                <w:szCs w:val="20"/>
                <w:lang w:val="en-GB"/>
              </w:rPr>
            </w:pPr>
            <w:r w:rsidRPr="009A5E9A">
              <w:rPr>
                <w:rFonts w:ascii="Times New Roman" w:hAnsi="Times New Roman" w:cs="Times New Roman"/>
                <w:b w:val="0"/>
                <w:bCs w:val="0"/>
                <w:sz w:val="20"/>
                <w:szCs w:val="20"/>
                <w:lang w:val="en-GB"/>
              </w:rPr>
              <w:t>Year 2 and following</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4AFB7029" w14:textId="77777777" w:rsidR="009D5D22" w:rsidRPr="009A5E9A" w:rsidRDefault="009D5D22"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€ 14,860</w:t>
            </w:r>
          </w:p>
        </w:tc>
        <w:tc>
          <w:tcPr>
            <w:tcW w:w="1819" w:type="dxa"/>
            <w:tcMar>
              <w:top w:w="28" w:type="dxa"/>
              <w:bottom w:w="28" w:type="dxa"/>
            </w:tcMar>
            <w:vAlign w:val="center"/>
          </w:tcPr>
          <w:p w14:paraId="2B0AAAD7" w14:textId="77777777" w:rsidR="009D5D22" w:rsidRPr="009A5E9A" w:rsidRDefault="009D5D22" w:rsidP="009D5D2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€ 0</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5348BAB1" w14:textId="77777777" w:rsidR="009D5D22" w:rsidRPr="009A5E9A" w:rsidRDefault="009D5D22"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€ 11,362 - € 13,368</w:t>
            </w:r>
          </w:p>
        </w:tc>
        <w:tc>
          <w:tcPr>
            <w:tcW w:w="1820" w:type="dxa"/>
            <w:tcMar>
              <w:top w:w="28" w:type="dxa"/>
              <w:bottom w:w="28" w:type="dxa"/>
            </w:tcMar>
            <w:vAlign w:val="center"/>
          </w:tcPr>
          <w:p w14:paraId="282F082C" w14:textId="77777777" w:rsidR="009D5D22" w:rsidRPr="009A5E9A" w:rsidRDefault="008E29F4" w:rsidP="009D5D2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€ 10,989 - € 12,400</w:t>
            </w:r>
          </w:p>
        </w:tc>
        <w:tc>
          <w:tcPr>
            <w:cnfStyle w:val="000010000000" w:firstRow="0" w:lastRow="0" w:firstColumn="0" w:lastColumn="0" w:oddVBand="1" w:evenVBand="0" w:oddHBand="0" w:evenHBand="0" w:firstRowFirstColumn="0" w:firstRowLastColumn="0" w:lastRowFirstColumn="0" w:lastRowLastColumn="0"/>
            <w:tcW w:w="1819" w:type="dxa"/>
            <w:tcMar>
              <w:top w:w="28" w:type="dxa"/>
              <w:bottom w:w="28" w:type="dxa"/>
            </w:tcMar>
            <w:vAlign w:val="center"/>
          </w:tcPr>
          <w:p w14:paraId="2F593ABB" w14:textId="77777777" w:rsidR="009D5D22" w:rsidRPr="009A5E9A" w:rsidRDefault="009D5D22"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€ 14,860</w:t>
            </w:r>
          </w:p>
        </w:tc>
        <w:tc>
          <w:tcPr>
            <w:tcW w:w="1819" w:type="dxa"/>
            <w:tcMar>
              <w:top w:w="28" w:type="dxa"/>
              <w:bottom w:w="28" w:type="dxa"/>
            </w:tcMar>
            <w:vAlign w:val="center"/>
          </w:tcPr>
          <w:p w14:paraId="0D2EDAFF" w14:textId="77777777" w:rsidR="009D5D22" w:rsidRPr="009A5E9A" w:rsidRDefault="0036226E" w:rsidP="009D5D2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A5E9A">
              <w:rPr>
                <w:rFonts w:ascii="Times New Roman" w:hAnsi="Times New Roman" w:cs="Times New Roman"/>
                <w:sz w:val="20"/>
                <w:szCs w:val="20"/>
                <w:lang w:val="en-GB"/>
              </w:rPr>
              <w:t>€ 13,130</w:t>
            </w:r>
          </w:p>
        </w:tc>
        <w:tc>
          <w:tcPr>
            <w:cnfStyle w:val="000010000000" w:firstRow="0" w:lastRow="0" w:firstColumn="0" w:lastColumn="0" w:oddVBand="1" w:evenVBand="0" w:oddHBand="0" w:evenHBand="0" w:firstRowFirstColumn="0" w:firstRowLastColumn="0" w:lastRowFirstColumn="0" w:lastRowLastColumn="0"/>
            <w:tcW w:w="1820" w:type="dxa"/>
            <w:tcMar>
              <w:top w:w="28" w:type="dxa"/>
              <w:bottom w:w="28" w:type="dxa"/>
            </w:tcMar>
            <w:vAlign w:val="center"/>
          </w:tcPr>
          <w:p w14:paraId="599431EA" w14:textId="77777777" w:rsidR="009D5D22" w:rsidRPr="009A5E9A" w:rsidRDefault="004F1D59" w:rsidP="009D5D22">
            <w:pPr>
              <w:spacing w:before="0" w:after="0" w:line="240" w:lineRule="auto"/>
              <w:jc w:val="center"/>
              <w:rPr>
                <w:rFonts w:ascii="Times New Roman" w:hAnsi="Times New Roman" w:cs="Times New Roman"/>
                <w:sz w:val="20"/>
                <w:szCs w:val="20"/>
                <w:lang w:val="en-GB"/>
              </w:rPr>
            </w:pPr>
            <w:r w:rsidRPr="009A5E9A">
              <w:rPr>
                <w:rFonts w:ascii="Times New Roman" w:hAnsi="Times New Roman" w:cs="Times New Roman"/>
                <w:sz w:val="20"/>
                <w:szCs w:val="20"/>
                <w:lang w:val="en-GB"/>
              </w:rPr>
              <w:t>€ 15,334</w:t>
            </w:r>
          </w:p>
        </w:tc>
      </w:tr>
    </w:tbl>
    <w:p w14:paraId="688D66D3" w14:textId="33CA684C" w:rsidR="009D5D22" w:rsidRPr="004722FF" w:rsidRDefault="009D5D22" w:rsidP="009D5D22">
      <w:pPr>
        <w:spacing w:before="60" w:line="240" w:lineRule="auto"/>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Notes: (i) PVL: laboratory sale</w:t>
      </w:r>
      <w:r w:rsidR="000053BD">
        <w:rPr>
          <w:rFonts w:ascii="Times New Roman" w:hAnsi="Times New Roman" w:cs="Times New Roman"/>
          <w:sz w:val="20"/>
          <w:szCs w:val="20"/>
          <w:lang w:val="en-GB"/>
        </w:rPr>
        <w:t>s</w:t>
      </w:r>
      <w:r w:rsidRPr="004722FF">
        <w:rPr>
          <w:rFonts w:ascii="Times New Roman" w:hAnsi="Times New Roman" w:cs="Times New Roman"/>
          <w:sz w:val="20"/>
          <w:szCs w:val="20"/>
          <w:lang w:val="en-GB"/>
        </w:rPr>
        <w:t xml:space="preserve"> price</w:t>
      </w:r>
      <w:r w:rsidR="000053BD">
        <w:rPr>
          <w:rFonts w:ascii="Times New Roman" w:hAnsi="Times New Roman" w:cs="Times New Roman"/>
          <w:sz w:val="20"/>
          <w:szCs w:val="20"/>
          <w:lang w:val="en-GB"/>
        </w:rPr>
        <w:t xml:space="preserve"> (“</w:t>
      </w:r>
      <w:r w:rsidR="005C25A9">
        <w:rPr>
          <w:rFonts w:ascii="Times New Roman" w:hAnsi="Times New Roman" w:cs="Times New Roman"/>
          <w:sz w:val="20"/>
          <w:szCs w:val="20"/>
          <w:lang w:val="en-GB"/>
        </w:rPr>
        <w:t>notified</w:t>
      </w:r>
      <w:r w:rsidR="000053BD">
        <w:rPr>
          <w:rFonts w:ascii="Times New Roman" w:hAnsi="Times New Roman" w:cs="Times New Roman"/>
          <w:sz w:val="20"/>
          <w:szCs w:val="20"/>
          <w:lang w:val="en-GB"/>
        </w:rPr>
        <w:t xml:space="preserve"> price”)</w:t>
      </w:r>
      <w:r w:rsidRPr="004722FF">
        <w:rPr>
          <w:rFonts w:ascii="Times New Roman" w:hAnsi="Times New Roman" w:cs="Times New Roman"/>
          <w:sz w:val="20"/>
          <w:szCs w:val="20"/>
          <w:lang w:val="en-GB"/>
        </w:rPr>
        <w:t xml:space="preserve">. (ii) </w:t>
      </w:r>
      <w:r w:rsidR="000053BD">
        <w:rPr>
          <w:rFonts w:ascii="Times New Roman" w:hAnsi="Times New Roman" w:cs="Times New Roman"/>
          <w:sz w:val="20"/>
          <w:szCs w:val="20"/>
          <w:lang w:val="en-GB"/>
        </w:rPr>
        <w:t>The prices considered are PVL</w:t>
      </w:r>
      <w:r w:rsidRPr="004722FF">
        <w:rPr>
          <w:rFonts w:ascii="Times New Roman" w:hAnsi="Times New Roman" w:cs="Times New Roman"/>
          <w:sz w:val="20"/>
          <w:szCs w:val="20"/>
          <w:lang w:val="en-GB"/>
        </w:rPr>
        <w:t xml:space="preserve">, without </w:t>
      </w:r>
      <w:r w:rsidR="000053BD">
        <w:rPr>
          <w:rFonts w:ascii="Times New Roman" w:hAnsi="Times New Roman" w:cs="Times New Roman"/>
          <w:sz w:val="20"/>
          <w:szCs w:val="20"/>
          <w:lang w:val="en-GB"/>
        </w:rPr>
        <w:t xml:space="preserve">considering the </w:t>
      </w:r>
      <w:r w:rsidRPr="004722FF">
        <w:rPr>
          <w:rFonts w:ascii="Times New Roman" w:hAnsi="Times New Roman" w:cs="Times New Roman"/>
          <w:sz w:val="20"/>
          <w:szCs w:val="20"/>
          <w:lang w:val="en-GB"/>
        </w:rPr>
        <w:t xml:space="preserve">discount </w:t>
      </w:r>
      <w:r w:rsidR="000053BD">
        <w:rPr>
          <w:rFonts w:ascii="Times New Roman" w:hAnsi="Times New Roman" w:cs="Times New Roman"/>
          <w:sz w:val="20"/>
          <w:szCs w:val="20"/>
          <w:lang w:val="en-GB"/>
        </w:rPr>
        <w:t xml:space="preserve">related to the Royal Decree </w:t>
      </w:r>
      <w:r w:rsidRPr="004722FF">
        <w:rPr>
          <w:rFonts w:ascii="Times New Roman" w:hAnsi="Times New Roman" w:cs="Times New Roman"/>
          <w:sz w:val="20"/>
          <w:szCs w:val="20"/>
          <w:lang w:val="en-GB"/>
        </w:rPr>
        <w:t xml:space="preserve">RDL 8/2010, and without VAT. (iii) The costs </w:t>
      </w:r>
      <w:r w:rsidR="000053BD">
        <w:rPr>
          <w:rFonts w:ascii="Times New Roman" w:hAnsi="Times New Roman" w:cs="Times New Roman"/>
          <w:sz w:val="20"/>
          <w:szCs w:val="20"/>
          <w:lang w:val="en-GB"/>
        </w:rPr>
        <w:t xml:space="preserve">related to the administration of the </w:t>
      </w:r>
      <w:r w:rsidRPr="004722FF">
        <w:rPr>
          <w:rFonts w:ascii="Times New Roman" w:hAnsi="Times New Roman" w:cs="Times New Roman"/>
          <w:sz w:val="20"/>
          <w:szCs w:val="20"/>
          <w:lang w:val="en-GB"/>
        </w:rPr>
        <w:t>drug are not considered, since they are self-administered. (iv)</w:t>
      </w:r>
      <w:r w:rsidRPr="004722FF">
        <w:rPr>
          <w:rFonts w:ascii="Times New Roman" w:hAnsi="Times New Roman" w:cs="Times New Roman"/>
          <w:b/>
          <w:sz w:val="20"/>
          <w:szCs w:val="20"/>
          <w:highlight w:val="lightGray"/>
          <w:lang w:val="en-GB"/>
        </w:rPr>
        <w:t xml:space="preserve">Bimekizumab is not yet marketed in Spain, so its acquisition price is unknown. For this MCDA, we assume the same </w:t>
      </w:r>
      <w:r w:rsidR="007B4464">
        <w:rPr>
          <w:rFonts w:ascii="Times New Roman" w:hAnsi="Times New Roman" w:cs="Times New Roman"/>
          <w:b/>
          <w:sz w:val="20"/>
          <w:szCs w:val="20"/>
          <w:highlight w:val="lightGray"/>
          <w:lang w:val="en-GB"/>
        </w:rPr>
        <w:t xml:space="preserve">annual </w:t>
      </w:r>
      <w:r w:rsidRPr="004722FF">
        <w:rPr>
          <w:rFonts w:ascii="Times New Roman" w:hAnsi="Times New Roman" w:cs="Times New Roman"/>
          <w:b/>
          <w:sz w:val="20"/>
          <w:szCs w:val="20"/>
          <w:highlight w:val="lightGray"/>
          <w:lang w:val="en-GB"/>
        </w:rPr>
        <w:t>cost</w:t>
      </w:r>
      <w:r w:rsidR="007B4464">
        <w:rPr>
          <w:rFonts w:ascii="Times New Roman" w:hAnsi="Times New Roman" w:cs="Times New Roman"/>
          <w:b/>
          <w:sz w:val="20"/>
          <w:szCs w:val="20"/>
          <w:highlight w:val="lightGray"/>
          <w:lang w:val="en-GB"/>
        </w:rPr>
        <w:t>per patient</w:t>
      </w:r>
      <w:r w:rsidRPr="004722FF">
        <w:rPr>
          <w:rFonts w:ascii="Times New Roman" w:hAnsi="Times New Roman" w:cs="Times New Roman"/>
          <w:b/>
          <w:sz w:val="20"/>
          <w:szCs w:val="20"/>
          <w:highlight w:val="lightGray"/>
          <w:lang w:val="en-GB"/>
        </w:rPr>
        <w:t xml:space="preserve"> as secukinumab</w:t>
      </w:r>
      <w:r w:rsidRPr="004722FF">
        <w:rPr>
          <w:rFonts w:ascii="Times New Roman" w:hAnsi="Times New Roman" w:cs="Times New Roman"/>
          <w:sz w:val="20"/>
          <w:szCs w:val="20"/>
          <w:lang w:val="en-GB"/>
        </w:rPr>
        <w:t>, being a drug that inhibits interleukin IL17A. (v) The costs of adalimumab consider the prices of the biosimilars, in addition to the cost of the original biological. (vi) The costs of ustekinumab consider the guidelines and prices according to the weight of the patient. (vii) It should be taken into account that the costs shown in the table refer to notified prices, but that biological drugs actually have a price financed by the SNS (confidential) that is lower than the official notified price. BKZ: Bimekizumab. PBO: placebo. ADA: Adalimumab. UST: Ustekinumab. SEC: Secukinumab. IXE: Ixekizumab. RIS: Risankizumab.</w:t>
      </w:r>
    </w:p>
    <w:p w14:paraId="13AE9B2D" w14:textId="13456095" w:rsidR="00046F89" w:rsidRPr="004722FF" w:rsidRDefault="009D5D22" w:rsidP="001B12B3">
      <w:pPr>
        <w:spacing w:before="60"/>
        <w:ind w:left="709"/>
        <w:rPr>
          <w:rFonts w:ascii="Times New Roman" w:hAnsi="Times New Roman" w:cs="Times New Roman"/>
          <w:sz w:val="20"/>
          <w:szCs w:val="20"/>
          <w:lang w:val="en-GB"/>
        </w:rPr>
      </w:pPr>
      <w:r w:rsidRPr="004722FF">
        <w:rPr>
          <w:rFonts w:ascii="Times New Roman" w:hAnsi="Times New Roman" w:cs="Times New Roman"/>
          <w:sz w:val="20"/>
          <w:szCs w:val="20"/>
          <w:lang w:val="en-GB"/>
        </w:rPr>
        <w:t>Sources: BOTPLUS (2021)</w:t>
      </w:r>
      <w:r w:rsidRPr="004722FF">
        <w:rPr>
          <w:rFonts w:ascii="Times New Roman" w:hAnsi="Times New Roman" w:cs="Times New Roman"/>
          <w:sz w:val="20"/>
          <w:szCs w:val="20"/>
          <w:lang w:val="en-GB"/>
        </w:rPr>
        <w:fldChar w:fldCharType="begin"/>
      </w:r>
      <w:r w:rsidR="00EF06FB">
        <w:rPr>
          <w:rFonts w:ascii="Times New Roman" w:hAnsi="Times New Roman" w:cs="Times New Roman"/>
          <w:sz w:val="20"/>
          <w:szCs w:val="20"/>
          <w:lang w:val="en-GB"/>
        </w:rPr>
        <w:instrText xml:space="preserve"> ADDIN ZOTERO_ITEM CSL_CITATION {"citationID":"dJWiPCUM","properties":{"formattedCitation":"\\super 63\\nosupersub{}","plainCitation":"63","noteIndex":0},"citationItems":[{"id":57018,"uris":["http://zotero.org/groups/337550/items/EQ3IBDV5"],"uri":["http://zotero.org/groups/337550/items/EQ3IBDV5"],"itemData":{"id":57018,"type":"webpage","title":"Base de datos de información sanitaria (BOT PLUS)","URL":"https://botplusweb.portalfarma.com/","author":[{"family":"Consejo General de Colegios Oficiales de Farmacéuticos","given":""}],"issued":{"date-parts":[["2021"]]}}}],"schema":"https://github.com/citation-style-language/schema/raw/master/csl-citation.json"} </w:instrText>
      </w:r>
      <w:r w:rsidRPr="004722FF">
        <w:rPr>
          <w:rFonts w:ascii="Times New Roman" w:hAnsi="Times New Roman" w:cs="Times New Roman"/>
          <w:sz w:val="20"/>
          <w:szCs w:val="20"/>
          <w:lang w:val="en-GB"/>
        </w:rPr>
        <w:fldChar w:fldCharType="separate"/>
      </w:r>
      <w:r w:rsidR="00EF06FB" w:rsidRPr="00EF06FB">
        <w:rPr>
          <w:rFonts w:ascii="Times New Roman" w:hAnsi="Times New Roman" w:cs="Times New Roman"/>
          <w:sz w:val="20"/>
          <w:szCs w:val="24"/>
          <w:vertAlign w:val="superscript"/>
        </w:rPr>
        <w:t>63</w:t>
      </w:r>
      <w:r w:rsidRPr="004722FF">
        <w:rPr>
          <w:rFonts w:ascii="Times New Roman" w:hAnsi="Times New Roman" w:cs="Times New Roman"/>
          <w:sz w:val="20"/>
          <w:szCs w:val="20"/>
          <w:lang w:val="en-GB"/>
        </w:rPr>
        <w:fldChar w:fldCharType="end"/>
      </w:r>
      <w:r w:rsidRPr="004722FF">
        <w:rPr>
          <w:rFonts w:ascii="Times New Roman" w:hAnsi="Times New Roman" w:cs="Times New Roman"/>
          <w:sz w:val="20"/>
          <w:szCs w:val="20"/>
          <w:lang w:val="en-GB"/>
        </w:rPr>
        <w:t xml:space="preserve"> and AEMPS (2021)</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{"citationID":"vBoQoOSO","properties":{"formattedCitation":"\\super 46\\nosupersub{}","plainCitation":"46","noteIndex":0},"citationItems":[{"id":18102,"uris":["http://zotero.org/groups/337550/items/CWQJPCU6"],"uri":["http://zotero.org/groups/337550/items/CWQJPCU6"],"itemData":{"id":18102,"type":"webpage","title":"Centro de Información online de Medicamentos de la AEMPS (CIMA)","URL":"https://www.aemps.gob.es/cima/fichasTecnicas.do?metodo=buscar","author":[{"family":"AEMPS","given":""}]}}],"schema":"https://github.com/citation-style-language/schema/raw/master/csl-citation.json"}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A0A45">
        <w:rPr>
          <w:rFonts w:ascii="Times New Roman" w:hAnsi="Times New Roman" w:cs="Times New Roman"/>
          <w:sz w:val="20"/>
          <w:szCs w:val="24"/>
          <w:vertAlign w:val="superscript"/>
        </w:rPr>
        <w:t>46</w:t>
      </w:r>
      <w:r w:rsidRPr="004722FF">
        <w:rPr>
          <w:rFonts w:ascii="Times New Roman" w:hAnsi="Times New Roman" w:cs="Times New Roman"/>
          <w:sz w:val="20"/>
          <w:szCs w:val="20"/>
          <w:lang w:val="en-GB"/>
        </w:rPr>
        <w:fldChar w:fldCharType="end"/>
      </w:r>
    </w:p>
    <w:p w14:paraId="2C83BDC1" w14:textId="77777777" w:rsidR="001B12B3" w:rsidRPr="004722FF" w:rsidRDefault="001B12B3" w:rsidP="001B12B3">
      <w:pPr>
        <w:spacing w:before="60"/>
        <w:ind w:left="709"/>
        <w:rPr>
          <w:rFonts w:ascii="Times New Roman" w:hAnsi="Times New Roman" w:cs="Times New Roman"/>
          <w:sz w:val="20"/>
          <w:szCs w:val="20"/>
          <w:lang w:val="en-GB"/>
        </w:rPr>
      </w:pPr>
    </w:p>
    <w:p w14:paraId="551355A0" w14:textId="77777777" w:rsidR="001B12B3" w:rsidRPr="004722FF" w:rsidRDefault="001B12B3" w:rsidP="001B12B3">
      <w:pPr>
        <w:spacing w:before="60"/>
        <w:ind w:left="709"/>
        <w:rPr>
          <w:rFonts w:ascii="Times New Roman" w:hAnsi="Times New Roman" w:cs="Times New Roman"/>
          <w:sz w:val="20"/>
          <w:szCs w:val="20"/>
          <w:lang w:val="en-GB"/>
        </w:rPr>
      </w:pPr>
    </w:p>
    <w:p w14:paraId="61C8C406" w14:textId="77777777" w:rsidR="001B12B3" w:rsidRPr="004722FF" w:rsidRDefault="001B12B3" w:rsidP="001B12B3">
      <w:pPr>
        <w:spacing w:before="60"/>
        <w:ind w:left="709"/>
        <w:rPr>
          <w:rFonts w:ascii="Times New Roman" w:hAnsi="Times New Roman" w:cs="Times New Roman"/>
          <w:sz w:val="20"/>
          <w:szCs w:val="20"/>
          <w:lang w:val="en-GB"/>
        </w:rPr>
      </w:pPr>
    </w:p>
    <w:p w14:paraId="6E14FF68" w14:textId="77777777" w:rsidR="000148CE" w:rsidRPr="004722FF" w:rsidRDefault="000148CE" w:rsidP="001B12B3">
      <w:pPr>
        <w:spacing w:before="60"/>
        <w:ind w:left="709"/>
        <w:rPr>
          <w:rFonts w:ascii="Times New Roman" w:hAnsi="Times New Roman" w:cs="Times New Roman"/>
          <w:sz w:val="20"/>
          <w:szCs w:val="20"/>
          <w:lang w:val="en-GB"/>
        </w:rPr>
      </w:pPr>
    </w:p>
    <w:p w14:paraId="369721D5" w14:textId="77777777" w:rsidR="000148CE" w:rsidRPr="004722FF" w:rsidRDefault="000148CE" w:rsidP="001B12B3">
      <w:pPr>
        <w:spacing w:before="60"/>
        <w:ind w:left="709"/>
        <w:rPr>
          <w:rFonts w:ascii="Times New Roman" w:hAnsi="Times New Roman" w:cs="Times New Roman"/>
          <w:sz w:val="20"/>
          <w:szCs w:val="20"/>
          <w:lang w:val="en-GB"/>
        </w:rPr>
      </w:pPr>
    </w:p>
    <w:p w14:paraId="5EF9B554" w14:textId="5E8B241B" w:rsidR="000148CE" w:rsidRDefault="000148CE" w:rsidP="001B12B3">
      <w:pPr>
        <w:spacing w:before="60"/>
        <w:ind w:left="709"/>
        <w:rPr>
          <w:rFonts w:ascii="Times New Roman" w:hAnsi="Times New Roman" w:cs="Times New Roman"/>
          <w:sz w:val="20"/>
          <w:szCs w:val="20"/>
          <w:lang w:val="en-GB"/>
        </w:rPr>
      </w:pPr>
    </w:p>
    <w:p w14:paraId="1AF514A0" w14:textId="4724F86B" w:rsidR="00464891" w:rsidRDefault="00464891" w:rsidP="001B12B3">
      <w:pPr>
        <w:spacing w:before="60"/>
        <w:ind w:left="709"/>
        <w:rPr>
          <w:rFonts w:ascii="Times New Roman" w:hAnsi="Times New Roman" w:cs="Times New Roman"/>
          <w:sz w:val="20"/>
          <w:szCs w:val="20"/>
          <w:lang w:val="en-GB"/>
        </w:rPr>
      </w:pPr>
    </w:p>
    <w:p w14:paraId="705B06D9" w14:textId="6F2294D6" w:rsidR="00464891" w:rsidRDefault="00464891" w:rsidP="001B12B3">
      <w:pPr>
        <w:spacing w:before="60"/>
        <w:ind w:left="709"/>
        <w:rPr>
          <w:rFonts w:ascii="Times New Roman" w:hAnsi="Times New Roman" w:cs="Times New Roman"/>
          <w:sz w:val="20"/>
          <w:szCs w:val="20"/>
          <w:lang w:val="en-GB"/>
        </w:rPr>
      </w:pPr>
    </w:p>
    <w:p w14:paraId="1CB4C610" w14:textId="5E1F1214" w:rsidR="00464891" w:rsidRDefault="00464891" w:rsidP="001B12B3">
      <w:pPr>
        <w:spacing w:before="60"/>
        <w:ind w:left="709"/>
        <w:rPr>
          <w:rFonts w:ascii="Times New Roman" w:hAnsi="Times New Roman" w:cs="Times New Roman"/>
          <w:sz w:val="20"/>
          <w:szCs w:val="20"/>
          <w:lang w:val="en-GB"/>
        </w:rPr>
      </w:pPr>
    </w:p>
    <w:p w14:paraId="690560EE" w14:textId="77777777" w:rsidR="00464891" w:rsidRPr="004722FF" w:rsidRDefault="00464891" w:rsidP="001B12B3">
      <w:pPr>
        <w:spacing w:before="60"/>
        <w:ind w:left="709"/>
        <w:rPr>
          <w:rFonts w:ascii="Times New Roman" w:hAnsi="Times New Roman" w:cs="Times New Roman"/>
          <w:sz w:val="20"/>
          <w:szCs w:val="20"/>
          <w:lang w:val="en-GB"/>
        </w:rPr>
      </w:pPr>
    </w:p>
    <w:p w14:paraId="2CAE4643" w14:textId="77777777" w:rsidR="000148CE" w:rsidRPr="004722FF" w:rsidRDefault="000148CE" w:rsidP="001B12B3">
      <w:pPr>
        <w:spacing w:before="60"/>
        <w:ind w:left="709"/>
        <w:rPr>
          <w:rFonts w:ascii="Times New Roman" w:hAnsi="Times New Roman" w:cs="Times New Roman"/>
          <w:sz w:val="20"/>
          <w:szCs w:val="20"/>
          <w:lang w:val="en-GB"/>
        </w:rPr>
      </w:pPr>
    </w:p>
    <w:p w14:paraId="34CA3DA6" w14:textId="77777777" w:rsidR="001B12B3" w:rsidRPr="004722FF" w:rsidRDefault="001B12B3" w:rsidP="001B12B3">
      <w:pPr>
        <w:spacing w:before="60"/>
        <w:ind w:left="709"/>
        <w:rPr>
          <w:rFonts w:ascii="Times New Roman" w:hAnsi="Times New Roman" w:cs="Times New Roman"/>
          <w:sz w:val="20"/>
          <w:szCs w:val="20"/>
          <w:lang w:val="en-GB"/>
        </w:rPr>
      </w:pPr>
    </w:p>
    <w:p w14:paraId="564FB2F3" w14:textId="770FF111" w:rsidR="001D179C" w:rsidRPr="00464891" w:rsidRDefault="00356F9F" w:rsidP="00B406C9">
      <w:pPr>
        <w:pStyle w:val="Ttulo2"/>
        <w:numPr>
          <w:ilvl w:val="1"/>
          <w:numId w:val="1"/>
        </w:numPr>
        <w:spacing w:before="120" w:line="240" w:lineRule="auto"/>
        <w:ind w:left="993" w:firstLine="0"/>
        <w:rPr>
          <w:rFonts w:ascii="Times New Roman" w:hAnsi="Times New Roman" w:cs="Times New Roman"/>
          <w:b/>
          <w:bCs/>
          <w:smallCaps w:val="0"/>
          <w:color w:val="auto"/>
          <w:sz w:val="20"/>
          <w:szCs w:val="20"/>
          <w:lang w:val="en-GB"/>
        </w:rPr>
      </w:pPr>
      <w:bookmarkStart w:id="167" w:name="_Toc89351175"/>
      <w:r>
        <w:rPr>
          <w:rFonts w:ascii="Times New Roman" w:hAnsi="Times New Roman" w:cs="Times New Roman"/>
          <w:b/>
          <w:bCs/>
          <w:smallCaps w:val="0"/>
          <w:color w:val="auto"/>
          <w:sz w:val="22"/>
          <w:szCs w:val="22"/>
          <w:lang w:val="en-GB"/>
        </w:rPr>
        <w:lastRenderedPageBreak/>
        <w:t>Impact on o</w:t>
      </w:r>
      <w:r w:rsidRPr="00464891">
        <w:rPr>
          <w:rFonts w:ascii="Times New Roman" w:hAnsi="Times New Roman" w:cs="Times New Roman"/>
          <w:b/>
          <w:bCs/>
          <w:smallCaps w:val="0"/>
          <w:color w:val="auto"/>
          <w:sz w:val="22"/>
          <w:szCs w:val="22"/>
          <w:lang w:val="en-GB"/>
        </w:rPr>
        <w:t xml:space="preserve">ther </w:t>
      </w:r>
      <w:r w:rsidR="00464891" w:rsidRPr="00464891">
        <w:rPr>
          <w:rFonts w:ascii="Times New Roman" w:hAnsi="Times New Roman" w:cs="Times New Roman"/>
          <w:b/>
          <w:bCs/>
          <w:smallCaps w:val="0"/>
          <w:color w:val="auto"/>
          <w:sz w:val="22"/>
          <w:szCs w:val="22"/>
          <w:lang w:val="en-GB"/>
        </w:rPr>
        <w:t>direct costs</w:t>
      </w:r>
      <w:bookmarkEnd w:id="167"/>
    </w:p>
    <w:p w14:paraId="4A90EEF1" w14:textId="77777777" w:rsidR="007D65FB" w:rsidRPr="004722FF" w:rsidRDefault="007D65FB"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 xml:space="preserve">No specific evidence is available for this criterion. </w:t>
      </w:r>
    </w:p>
    <w:p w14:paraId="352B6526" w14:textId="09D65BBD" w:rsidR="007D65FB" w:rsidRPr="004722FF" w:rsidRDefault="007D65FB"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 xml:space="preserve">It must therefore be scored trying to determine to what extent the improvement in health produced by bimekizumab could translate into a lower consumption of </w:t>
      </w:r>
      <w:r w:rsidR="001A4122">
        <w:rPr>
          <w:rFonts w:ascii="Times New Roman" w:hAnsi="Times New Roman" w:cs="Times New Roman"/>
          <w:lang w:val="en-GB"/>
        </w:rPr>
        <w:t xml:space="preserve">other direct </w:t>
      </w:r>
      <w:r w:rsidRPr="004722FF">
        <w:rPr>
          <w:rFonts w:ascii="Times New Roman" w:hAnsi="Times New Roman" w:cs="Times New Roman"/>
          <w:lang w:val="en-GB"/>
        </w:rPr>
        <w:t xml:space="preserve">health resources compared to the different comparators, in terms of medical visits, tests, hospitalizations or visits to the emergency room. </w:t>
      </w:r>
    </w:p>
    <w:p w14:paraId="5CD43539" w14:textId="7B819271" w:rsidR="007D65FB" w:rsidRPr="004722FF" w:rsidRDefault="007D65FB"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What is documented is that, in Spain, the cost of a patient with severe psoriasis is 1.7 times higher than that of a patient with moderate psoriasis and that, of the total direct healthcare costs, 15% - 43% are non-pharmacological</w:t>
      </w:r>
      <w:r w:rsidR="001A4122">
        <w:rPr>
          <w:rFonts w:ascii="Times New Roman" w:hAnsi="Times New Roman" w:cs="Times New Roman"/>
          <w:lang w:val="en-GB"/>
        </w:rPr>
        <w:t xml:space="preserve"> costs</w:t>
      </w:r>
      <w:r w:rsidRPr="004722FF">
        <w:rPr>
          <w:rFonts w:ascii="Times New Roman" w:hAnsi="Times New Roman" w:cs="Times New Roman"/>
          <w:lang w:val="en-GB"/>
        </w:rPr>
        <w:t>, the most important being medical visits</w:t>
      </w:r>
      <w:r w:rsidR="0088682C" w:rsidRPr="004722FF">
        <w:rPr>
          <w:rFonts w:ascii="Times New Roman" w:hAnsi="Times New Roman" w:cs="Times New Roman"/>
          <w:lang w:val="en-GB"/>
        </w:rPr>
        <w:fldChar w:fldCharType="begin"/>
      </w:r>
      <w:r w:rsidR="00775F51">
        <w:rPr>
          <w:rFonts w:ascii="Times New Roman" w:hAnsi="Times New Roman" w:cs="Times New Roman"/>
          <w:lang w:val="en-GB"/>
        </w:rPr>
        <w:instrText xml:space="preserve"> ADDIN ZOTERO_ITEM CSL_CITATION {"citationID":"1FxfCQdT","properties":{"formattedCitation":"\\super 3,17,67\\nosupersub{}","plainCitation":"3,17,67","dontUpdate":true,"noteIndex":0},"citationItems":[{"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Á"}],"issued":{"date-parts":[["2016"]]}}},{"id":24619,"uris":["http://zotero.org/groups/337550/items/XPE3IJMC"],"uri":["http://zotero.org/groups/337550/items/XPE3IJMC"],"itemData":{"id":24619,"type":"article-journal","abstract":"Objective  To estimate the direct and indirect costs related to psoriasis in Spain. Methods  We performed a 12-month, multicentre, prospective longitudinal and observational study. Overall expense of care was assessed as the sum of direct and indirect costs. Results  A total of 797 patients with varying demographics and different degrees of severity of psoriasis were included in the study. The mean total cost of psoriasis, including direct and indirect items, was 1079€ per patient and year. The major sources of expenditure were prescription drugs (46.6%), followed by medical activities (34.5%). Mean costs in patients with moderate and severe psoriasis were approximately 1.5 and 2.5 times higher than in those with mild psoriasis, respectively. Conclusions  In Spain, psoriasis is associated with substantial costs both to the National Health System and to the patients.","container-title":"Journal of the European Academy of Dermatology and Venereology","DOI":"10.1111/j.1468-3083.2006.01659.x","ISSN":"1468-3083","issue":"7","language":"en","page":"840-845","source":"Wiley Online Library","title":"A prospective evaluation of the cost of psoriasis in Spain (EPIDERMA project: Phase II)","title-short":"A prospective evaluation of the cost of psoriasis in Spain (EPIDERMA project","volume":"20","author":[{"family":"Carrascosa","given":"Jm"},{"family":"Pujol","given":"R"},{"family":"Daudén","given":"E"},{"family":"Hernanz-Hermosa","given":"Jm"},{"family":"Bordas","given":"X"},{"family":"Smandia","given":"Ja"},{"family":"Ferrándiz","given":"C"}],"issued":{"date-parts":[["2006"]]}}},{"id":55960,"uris":["http://zotero.org/groups/337550/items/B8HEV8X3"],"uri":["http://zotero.org/groups/337550/items/B8HEV8X3"],"itemData":{"id":55960,"type":"article-journal","container-title":"Value in Health","DOI":"10.1016/S1098-3015(10)75247-5","ISSN":"10983015","issue":"7","journalAbbreviation":"Value in Health","language":"en","page":"A454","source":"DOI.org (Crossref)","title":"PSS10 COST OF MODERATE TO SEVERE PSORIASIS PATIENTS IN SPAIN","volume":"12","author":[{"family":"Sánchez-Carazo","given":"Jl"},{"family":"Daudén","given":"E"},{"family":"Vanaclocha","given":"F"},{"family":"Toribio","given":"J"},{"family":"Pujol","given":"R"},{"family":"Puig","given":"L"},{"family":"Yébenes","given":"M"},{"family":"Sabater","given":"Fj"}],"issued":{"date-parts":[["2009"]]}}}],"schema":"https://github.com/citation-style-language/schema/raw/master/csl-citation.json"} </w:instrText>
      </w:r>
      <w:r w:rsidR="0088682C" w:rsidRPr="004722FF">
        <w:rPr>
          <w:rFonts w:ascii="Times New Roman" w:hAnsi="Times New Roman" w:cs="Times New Roman"/>
          <w:lang w:val="en-GB"/>
        </w:rPr>
        <w:fldChar w:fldCharType="separate"/>
      </w:r>
      <w:r w:rsidR="008C73CD" w:rsidRPr="004722FF">
        <w:rPr>
          <w:rFonts w:ascii="Times New Roman" w:hAnsi="Times New Roman" w:cs="Times New Roman"/>
          <w:szCs w:val="24"/>
          <w:vertAlign w:val="superscript"/>
          <w:lang w:val="en-GB"/>
        </w:rPr>
        <w:t>3.17.67</w:t>
      </w:r>
      <w:r w:rsidR="0088682C" w:rsidRPr="004722FF">
        <w:rPr>
          <w:rFonts w:ascii="Times New Roman" w:hAnsi="Times New Roman" w:cs="Times New Roman"/>
          <w:lang w:val="en-GB"/>
        </w:rPr>
        <w:fldChar w:fldCharType="end"/>
      </w:r>
      <w:r w:rsidRPr="004722FF">
        <w:rPr>
          <w:rFonts w:ascii="Times New Roman" w:hAnsi="Times New Roman" w:cs="Times New Roman"/>
          <w:lang w:val="en-GB"/>
        </w:rPr>
        <w:t xml:space="preserve">. </w:t>
      </w:r>
    </w:p>
    <w:p w14:paraId="540AC46A" w14:textId="72ECD00B" w:rsidR="007D65FB" w:rsidRPr="004722FF" w:rsidRDefault="007D65FB"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On the other hand, in a North American study, it has been shown that patients who require treatment changes (switch) have average non-pharmacological direct healthcare costs between 12% and 33% higher than those of patients who do not require changes in treatment</w:t>
      </w:r>
      <w:r w:rsidR="0088682C"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{"citationID":"VvF8YfIt","properties":{"formattedCitation":"\\super 65\\nosupersub{}","plainCitation":"65","noteIndex":0},"citationItems":[{"id":57753,"uris":["http://zotero.org/groups/337550/items/8GEYYMPJ"],"uri":["http://zotero.org/groups/337550/items/8GEYYMPJ"],"itemData":{"id":57753,"type":"article-journal","abstract":"Aim: Treatment switching and healthcare costs were compared among biologic-naive psoriasis patients initiating apremilast or biologics with ≥12 months pre-/post-index continuous enrollment in Optum Clinformatics™ Data Mart. Methods: After propensity score matching, switch rates (new therapy post-index) and days between index and switch were assessed. Total and per-patient per-month costs by service type were assessed. Results: Apremilast initiators (n = 533) were matched and compared with biologic initiators (n = 955). Twelve-month cumulative switch rates and days to switch were similar. Apremilast initiators had significantly lower total healthcare costs than biologic initiators; apremilast switchers and nonswitchers had significantly lower per-patient per-month costs than biologic switchers and nonswitchers, driven mainly by reduced outpatient pharmacy costs. Conclusion: Apremilast initiators had lower healthcare costs even with treatment switching.","container-title":"Journal of Comparative Effectiveness Research","DOI":"10.2217/cer-2020-0045","ISSN":"2042-6313","issue":"11","journalAbbreviation":"J Comp Eff Res","language":"eng","note":"PMID: 32638609","page":"767-779","source":"PubMed","title":"Real-world switch patterns and healthcare costs in biologic-naive psoriasis patients initiating apremilast or biologics","volume":"9","author":[{"family":"Wu","given":"Jashin J."},{"family":"Pelletier","given":"Corey"},{"family":"Ung","given":"Brian"},{"family":"Tian","given":"Marc"},{"family":"Khilfeh","given":"Ibrahim"},{"family":"Curtis","given":"Jeffrey R."}],"issued":{"date-parts":[["2020"]]}}}],"schema":"https://github.com/citation-style-language/schema/raw/master/csl-citation.json"} </w:instrText>
      </w:r>
      <w:r w:rsidR="0088682C" w:rsidRPr="004722FF">
        <w:rPr>
          <w:rFonts w:ascii="Times New Roman" w:hAnsi="Times New Roman" w:cs="Times New Roman"/>
          <w:lang w:val="en-GB"/>
        </w:rPr>
        <w:fldChar w:fldCharType="separate"/>
      </w:r>
      <w:r w:rsidR="00EF06FB" w:rsidRPr="007B4152">
        <w:rPr>
          <w:rFonts w:ascii="Times New Roman" w:hAnsi="Times New Roman" w:cs="Times New Roman"/>
          <w:szCs w:val="24"/>
          <w:vertAlign w:val="superscript"/>
          <w:lang w:val="en-US"/>
        </w:rPr>
        <w:t>65</w:t>
      </w:r>
      <w:r w:rsidR="0088682C" w:rsidRPr="004722FF">
        <w:rPr>
          <w:rFonts w:ascii="Times New Roman" w:hAnsi="Times New Roman" w:cs="Times New Roman"/>
          <w:lang w:val="en-GB"/>
        </w:rPr>
        <w:fldChar w:fldCharType="end"/>
      </w:r>
      <w:r w:rsidRPr="004722FF">
        <w:rPr>
          <w:rFonts w:ascii="Times New Roman" w:hAnsi="Times New Roman" w:cs="Times New Roman"/>
          <w:lang w:val="en-GB"/>
        </w:rPr>
        <w:t xml:space="preserve">. </w:t>
      </w:r>
    </w:p>
    <w:p w14:paraId="3C1E0840" w14:textId="0F74B3A3" w:rsidR="007D65FB" w:rsidRPr="004722FF" w:rsidRDefault="007D65FB"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In a study in Italy, the introduction of biological drugs (TNF) resulted in savings of 69% in other non-pharmacological direct healthcare costs</w:t>
      </w:r>
      <w:r w:rsidR="0088682C"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{"citationID":"bxS22D7X","properties":{"formattedCitation":"\\super 66\\nosupersub{}","plainCitation":"66","noteIndex":0},"citationItems":[{"id":20059,"uris":["http://zotero.org/groups/337550/items/8JNKJ2TZ"],"uri":["http://zotero.org/groups/337550/items/8JNKJ2TZ"],"itemData":{"id":20059,"type":"article-journal","abstract":"OBJECTIVE: Psoriasis is one of the most common forms of chronic dermatitis, affecting 2-3% of the worldwide population. It has a serious effect on the way patients perceive themselves and others, thereby prejudicing their quality of life and giving rise to a significant deterioration in their psycho-physical well-being; it also poses greater difficulties for them in leading a normal social life, including their ability to conduct a normal working life. All the above-mentioned issues imply a cost for the society. This study proposes to evaluate the impact on societal costs for the treatment of chronic plaque psoriasis with biologics (etanercept, infliximab and adalimumab) in the Italian clinical practice.\nMETHOD: A prospective observational study has been conducted in 12 specialized centres of the Psocare network, located throughout Italy. Direct and indirect costs (as well as the health-related quality of life of patients with plaque psoriasis undergoing biologic treatments) have been estimated, while the societal impact has been determined using a cost-utility approach.\nRESULTS: Non-medical and indirect costs account for as much as 44.97% of the total cost prior to treatment and to 6.59% after treatment, with an overall 71.38% decrease. Adopting a societal perspective in the actual clinical practice of the Italian participating centres, the ICER of biologic therapies for treating plaque psoriasis amounted to €18634.40 per QALY gained--a value far from the €28656.30 obtained by adopting a third-party payer perspective.\nCONCLUSION: Our study confirms that chronic psoriasis subjects patients to a considerable burden, together with their families and caregivers, stressing how important it is to take the societal perspective into consideration during the appraisal process. Besides, using data derived from Italian actual practice, treatment with biologics shows a noteworthy benefit in social terms.","container-title":"Journal of the European Academy of Dermatology and Venereology: JEADV","DOI":"10.1111/jdv.13307","ISSN":"1468-3083","issue":"12","journalAbbreviation":"J Eur Acad Dermatol Venereol","language":"eng","note":"PMID: 26370321","page":"2411-2416","source":"PubMed","title":"The impact of biologic therapy in chronic plaque psoriasis from a societal perspective: an analysis based on Italian actual clinical practice","title-short":"The impact of biologic therapy in chronic plaque psoriasis from a societal perspective","volume":"29","author":[{"family":"Polistena","given":"B."},{"family":"Calzavara-Pinton","given":"P."},{"family":"Altomare","given":"G."},{"family":"Berardesca","given":"E."},{"family":"Girolomoni","given":"G."},{"family":"Martini","given":"P."},{"family":"Peserico","given":"A."},{"family":"Puglisi Guerra","given":"A."},{"family":"Spandonaro","given":"F."},{"family":"Vena Gino","given":"A."},{"family":"Chimenti","given":"S."},{"family":"Ayala","given":"F."}],"issued":{"date-parts":[["2015"]]}}}],"schema":"https://github.com/citation-style-language/schema/raw/master/csl-citation.json"} </w:instrText>
      </w:r>
      <w:r w:rsidR="0088682C" w:rsidRPr="004722FF">
        <w:rPr>
          <w:rFonts w:ascii="Times New Roman" w:hAnsi="Times New Roman" w:cs="Times New Roman"/>
          <w:lang w:val="en-GB"/>
        </w:rPr>
        <w:fldChar w:fldCharType="separate"/>
      </w:r>
      <w:r w:rsidR="00EF06FB" w:rsidRPr="00EF06FB">
        <w:rPr>
          <w:rFonts w:ascii="Times New Roman" w:hAnsi="Times New Roman" w:cs="Times New Roman"/>
          <w:szCs w:val="24"/>
          <w:vertAlign w:val="superscript"/>
        </w:rPr>
        <w:t>66</w:t>
      </w:r>
      <w:r w:rsidR="0088682C"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672F4EBF" w14:textId="3FD8732E" w:rsidR="0088682C" w:rsidRPr="004722FF" w:rsidRDefault="0088682C" w:rsidP="00464891">
      <w:pPr>
        <w:pStyle w:val="Prrafodelista"/>
        <w:numPr>
          <w:ilvl w:val="0"/>
          <w:numId w:val="10"/>
        </w:numPr>
        <w:spacing w:before="120"/>
        <w:ind w:left="1712" w:hanging="357"/>
        <w:contextualSpacing w:val="0"/>
        <w:rPr>
          <w:rFonts w:ascii="Times New Roman" w:hAnsi="Times New Roman" w:cs="Times New Roman"/>
          <w:lang w:val="en-GB"/>
        </w:rPr>
      </w:pPr>
      <w:r w:rsidRPr="004722FF">
        <w:rPr>
          <w:rFonts w:ascii="Times New Roman" w:hAnsi="Times New Roman" w:cs="Times New Roman"/>
          <w:b/>
          <w:bCs/>
          <w:lang w:val="en-GB"/>
        </w:rPr>
        <w:t>Adalimumab, secukinumab, ustekinumab</w:t>
      </w:r>
      <w:r w:rsidRPr="004722FF">
        <w:rPr>
          <w:rFonts w:ascii="Times New Roman" w:hAnsi="Times New Roman" w:cs="Times New Roman"/>
          <w:lang w:val="en-GB"/>
        </w:rPr>
        <w:t>: The use of adalimumab and secukinumab seems to be associated with a similar consumption of direct healthcare costs (non-pharmacological) to that of other biologics already marketed, while the use of ustekinumab seems to be associated with a greater consumption of these resources. For reference only, a study based on data from routine clinical practice with 7,800 patients in the United States compared direct healthcare and non-drug costs between adalimumab, secukinumab, ustekinumab, etanercept, and apremilast. The total costs, over a 2-year horizon, of medical visits and hospitalizations for patients treated with adalimumab amounted to $ 18,500, compared to $ 17,650 for etanercept, $ 18,800 for apremilast and secukinumab, and $ 24,750 for ustekinumab</w:t>
      </w:r>
      <w:r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{"citationID":"7aVy0KKX","properties":{"formattedCitation":"\\super 67\\nosupersub{}","plainCitation":"67","noteIndex":0},"citationItems":[{"id":56898,"uris":["http://zotero.org/groups/337550/items/AU83CQUT"],"uri":["http://zotero.org/groups/337550/items/AU83CQUT"],"itemData":{"id":56898,"type":"article-journal","abstract":"BACKGROUND: Psoriasis is associated with a high economic burden to society. New psoriasis systemic treatments offer the potential for improved skin clearance. Whether a higher degree of clearing translates into economic benefit through decreased work impairment has not been fully determined.\nOBJECTIVE: To assess whether more complete clearing of psoriasis is associated with a reduction in disease-related indirect costs.\nMETHODS: Pooled data from employed patients included in the CLEAR study, a phase 3b study comparing the efficacy and safety of secukinumab (337 subjects) versus ustekinumab (339 subjects), were classified into 4 levels of skin clearance improvement at weeks 16 and 52: Psoriasis Area and Severity Index (PASI) improvement from baseline of &lt; 50% (PASI &lt; 50), 50%-74% (PASI 50-74), 75%-89% (PASI 75-89), and ≥ 90% (PASI ≥ 90). Patients completed the Work Productivity and Activity Impairment questionnaire for psoriasis (WPAI-PSO), which assessed absenteeism, presenteeism, and a composite overall work impairment over the previous 7 days at weeks 16 and 52. U.S. Department of Labor data were used to calculate annual indirect costs due to work productivity loss.\nRESULTS: In the CLEAR study, 452 (67%) were employed at baseline and included in this analysis. At week 16, mean overall work impairment significantly decreased with higher PASI improvements: 22.8% for PASI &lt; 50, compared with 13.3% for PASI 50-74 (P = 0.001); 6.4% for PASI 75-89 (P &lt; 0.001); and 4.9% for PASI ≥ 90 (P &lt; 0.001), with the majority of work impairment related to presenteeism. Calculated mean work hours lost by overall work impairment decreased with higher PASI improvements: 8.2 hours lost/week (429 hours/year) for patients with PASI 50; 4.6 hours lost/week (251 hours/year) for PASI 50-74; 2.3 hours lost/week (121 hours/year) for PASI 75-89; and 1.8 hours lost/week (93 hours/year) for PASI ≥ 90. Associated mean annual indirect costs due to work productivity loss per worker decreased with higher PASI improvements: $10,318 for PASI &lt; 50, $6,042 for PASI 50-74, $2,901 for PASI 75-89, and $2,233 for PASI ≥ 90. Similar results were observed at week 52. Mean overall work impairment decreased with higher PASI improvements, ranging from 26.3% for PASI &lt; 50 to 6.9% for PASI ≥ 90. A decrease in overall work hours lost (ranging from 9.5 hours lost/week [495 hours/year] for PASI &lt; 50 to 2.5 hours/week [130 hours/year] for PASI ≥ 90), as well as associated annual indirect costs due to work productivity loss (ranging from $11,906 for PASI &lt; 50 to $3,125 for PASI ≥ 90), were also shown with higher PASI improvements at week 52.\nCONCLUSIONS: Among working patients with moderate to severe psoriasis, higher PASI improvements were associated with lower work productivity loss and reduced annual indirect costs. By improving and sustaining skin clearance, psoriasis treatments may contribute to increased work productivity and decreased societal economic burden.\nDISCLOSURES: Funding for this study was provided by Novartis Pharmaceuticals. Zhao and Herrera are employed by Novartis. Gilloteau is employed by Novartis Pharma AG. McBride, Graham, and Miles are employed by RTI Health Solutions, which provides consulting and other research services to pharmaceutical, device, governmental, and nongovernmental organizations and received funding from Novartis for manuscript development, analysis development, and general consultation. Feldman reports grants and personal fees from Novartis, Abbvie, Janssen, Lilly, and Celgene, along with personal fees from Amgen and Valeant.","container-title":"Journal of Managed Care &amp; Specialty Pharmacy","DOI":"10.18553/jmcp.2018.24.7.617","ISSN":"2376-1032","issue":"7","journalAbbreviation":"J Manag Care Spec Pharm","language":"eng","note":"PMID: 29952701","page":"617-622","source":"PubMed","title":"Higher Psoriasis Skin Clearance Is Associated with Lower Annual Indirect Costs in the United States: A Post Hoc Analysis from the CLEAR Study","title-short":"Higher Psoriasis Skin Clearance Is Associated with Lower Annual Indirect Costs in the United States","volume":"24","author":[{"family":"Feldman","given":"Steven R."},{"family":"Zhao","given":"Yang"},{"family":"Gilloteau","given":"Isabelle"},{"family":"Graham","given":"Christopher N."},{"family":"Miles","given":"LaStella"},{"family":"McBride","given":"Doreen"},{"family":"Herrera","given":"Vivian"}],"issued":{"date-parts":[["2018"]]}}}],"schema":"https://github.com/citation-style-language/schema/raw/master/csl-citation.json"} </w:instrText>
      </w:r>
      <w:r w:rsidRPr="004722FF">
        <w:rPr>
          <w:rFonts w:ascii="Times New Roman" w:hAnsi="Times New Roman" w:cs="Times New Roman"/>
          <w:lang w:val="en-GB"/>
        </w:rPr>
        <w:fldChar w:fldCharType="separate"/>
      </w:r>
      <w:r w:rsidR="00EF06FB" w:rsidRPr="00EF06FB">
        <w:rPr>
          <w:rFonts w:ascii="Times New Roman" w:hAnsi="Times New Roman" w:cs="Times New Roman"/>
          <w:szCs w:val="24"/>
          <w:vertAlign w:val="superscript"/>
        </w:rPr>
        <w:t>67</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1CECEAE0" w14:textId="77777777" w:rsidR="00C50403" w:rsidRPr="004722FF" w:rsidRDefault="00C50403" w:rsidP="00C50403">
      <w:pPr>
        <w:spacing w:before="120" w:line="240" w:lineRule="auto"/>
        <w:jc w:val="left"/>
        <w:rPr>
          <w:rFonts w:ascii="Times New Roman" w:hAnsi="Times New Roman" w:cs="Times New Roman"/>
          <w:lang w:val="en-GB"/>
        </w:rPr>
      </w:pPr>
    </w:p>
    <w:p w14:paraId="47FB6605" w14:textId="77777777" w:rsidR="00C50403" w:rsidRPr="004722FF" w:rsidRDefault="00C50403" w:rsidP="00C50403">
      <w:pPr>
        <w:spacing w:before="120" w:line="240" w:lineRule="auto"/>
        <w:jc w:val="left"/>
        <w:rPr>
          <w:rFonts w:ascii="Times New Roman" w:hAnsi="Times New Roman" w:cs="Times New Roman"/>
          <w:lang w:val="en-GB"/>
        </w:rPr>
      </w:pPr>
    </w:p>
    <w:p w14:paraId="1285B512" w14:textId="77777777" w:rsidR="00C50403" w:rsidRPr="004722FF" w:rsidRDefault="00C50403" w:rsidP="00C50403">
      <w:pPr>
        <w:spacing w:before="120" w:line="240" w:lineRule="auto"/>
        <w:jc w:val="left"/>
        <w:rPr>
          <w:rFonts w:ascii="Times New Roman" w:hAnsi="Times New Roman" w:cs="Times New Roman"/>
          <w:lang w:val="en-GB"/>
        </w:rPr>
      </w:pPr>
    </w:p>
    <w:p w14:paraId="2E80328E" w14:textId="77777777" w:rsidR="00C50403" w:rsidRPr="004722FF" w:rsidRDefault="00C50403" w:rsidP="00C50403">
      <w:pPr>
        <w:spacing w:before="120" w:line="240" w:lineRule="auto"/>
        <w:jc w:val="left"/>
        <w:rPr>
          <w:rFonts w:ascii="Times New Roman" w:hAnsi="Times New Roman" w:cs="Times New Roman"/>
          <w:lang w:val="en-GB"/>
        </w:rPr>
      </w:pPr>
    </w:p>
    <w:p w14:paraId="07204236" w14:textId="77777777" w:rsidR="00C50403" w:rsidRPr="004722FF" w:rsidRDefault="00C50403" w:rsidP="00C50403">
      <w:pPr>
        <w:spacing w:before="120" w:line="240" w:lineRule="auto"/>
        <w:jc w:val="left"/>
        <w:rPr>
          <w:rFonts w:ascii="Times New Roman" w:hAnsi="Times New Roman" w:cs="Times New Roman"/>
          <w:lang w:val="en-GB"/>
        </w:rPr>
      </w:pPr>
    </w:p>
    <w:p w14:paraId="7B98D62C" w14:textId="77777777" w:rsidR="00C50403" w:rsidRPr="004722FF" w:rsidRDefault="00C50403" w:rsidP="00C50403">
      <w:pPr>
        <w:spacing w:before="120" w:line="240" w:lineRule="auto"/>
        <w:jc w:val="left"/>
        <w:rPr>
          <w:rFonts w:ascii="Times New Roman" w:hAnsi="Times New Roman" w:cs="Times New Roman"/>
          <w:lang w:val="en-GB"/>
        </w:rPr>
      </w:pPr>
    </w:p>
    <w:p w14:paraId="315D5DE8" w14:textId="77777777" w:rsidR="00C50403" w:rsidRPr="004722FF" w:rsidRDefault="00C50403" w:rsidP="00C50403">
      <w:pPr>
        <w:spacing w:before="120" w:line="240" w:lineRule="auto"/>
        <w:jc w:val="left"/>
        <w:rPr>
          <w:rFonts w:ascii="Times New Roman" w:hAnsi="Times New Roman" w:cs="Times New Roman"/>
          <w:lang w:val="en-GB"/>
        </w:rPr>
      </w:pPr>
    </w:p>
    <w:p w14:paraId="65E853F0" w14:textId="1D78C302" w:rsidR="00C50403" w:rsidRDefault="00C50403" w:rsidP="00C50403">
      <w:pPr>
        <w:spacing w:before="120" w:line="240" w:lineRule="auto"/>
        <w:jc w:val="left"/>
        <w:rPr>
          <w:rFonts w:ascii="Times New Roman" w:hAnsi="Times New Roman" w:cs="Times New Roman"/>
          <w:lang w:val="en-GB"/>
        </w:rPr>
      </w:pPr>
    </w:p>
    <w:p w14:paraId="3CDDE690" w14:textId="77777777" w:rsidR="004B5573" w:rsidRPr="004722FF" w:rsidRDefault="004B5573" w:rsidP="00C50403">
      <w:pPr>
        <w:spacing w:before="120" w:line="240" w:lineRule="auto"/>
        <w:jc w:val="left"/>
        <w:rPr>
          <w:rFonts w:ascii="Times New Roman" w:hAnsi="Times New Roman" w:cs="Times New Roman"/>
          <w:lang w:val="en-GB"/>
        </w:rPr>
      </w:pPr>
    </w:p>
    <w:p w14:paraId="1CE9030B" w14:textId="77777777" w:rsidR="00C50403" w:rsidRPr="004722FF" w:rsidRDefault="00C50403" w:rsidP="00C50403">
      <w:pPr>
        <w:spacing w:before="120" w:line="240" w:lineRule="auto"/>
        <w:jc w:val="left"/>
        <w:rPr>
          <w:rFonts w:ascii="Times New Roman" w:hAnsi="Times New Roman" w:cs="Times New Roman"/>
          <w:lang w:val="en-GB"/>
        </w:rPr>
      </w:pPr>
    </w:p>
    <w:p w14:paraId="0A84434D" w14:textId="5C4CFE52" w:rsidR="001D179C" w:rsidRPr="001A4122" w:rsidRDefault="00356F9F" w:rsidP="00B406C9">
      <w:pPr>
        <w:pStyle w:val="Ttulo2"/>
        <w:numPr>
          <w:ilvl w:val="1"/>
          <w:numId w:val="1"/>
        </w:numPr>
        <w:spacing w:before="120" w:line="240" w:lineRule="auto"/>
        <w:ind w:left="993" w:firstLine="0"/>
        <w:rPr>
          <w:rFonts w:ascii="Times New Roman" w:hAnsi="Times New Roman" w:cs="Times New Roman"/>
          <w:b/>
          <w:bCs/>
          <w:smallCaps w:val="0"/>
          <w:color w:val="auto"/>
          <w:sz w:val="20"/>
          <w:szCs w:val="44"/>
          <w:lang w:val="en-GB"/>
        </w:rPr>
      </w:pPr>
      <w:bookmarkStart w:id="168" w:name="_Toc89351176"/>
      <w:r>
        <w:rPr>
          <w:rFonts w:ascii="Times New Roman" w:hAnsi="Times New Roman" w:cs="Times New Roman"/>
          <w:b/>
          <w:bCs/>
          <w:smallCaps w:val="0"/>
          <w:color w:val="auto"/>
          <w:sz w:val="22"/>
          <w:szCs w:val="48"/>
          <w:lang w:val="en-GB"/>
        </w:rPr>
        <w:lastRenderedPageBreak/>
        <w:t>Impact on i</w:t>
      </w:r>
      <w:r w:rsidRPr="001A4122">
        <w:rPr>
          <w:rFonts w:ascii="Times New Roman" w:hAnsi="Times New Roman" w:cs="Times New Roman"/>
          <w:b/>
          <w:bCs/>
          <w:smallCaps w:val="0"/>
          <w:color w:val="auto"/>
          <w:sz w:val="22"/>
          <w:szCs w:val="48"/>
          <w:lang w:val="en-GB"/>
        </w:rPr>
        <w:t xml:space="preserve">ndirect </w:t>
      </w:r>
      <w:r w:rsidR="001A4122" w:rsidRPr="001A4122">
        <w:rPr>
          <w:rFonts w:ascii="Times New Roman" w:hAnsi="Times New Roman" w:cs="Times New Roman"/>
          <w:b/>
          <w:bCs/>
          <w:smallCaps w:val="0"/>
          <w:color w:val="auto"/>
          <w:sz w:val="22"/>
          <w:szCs w:val="48"/>
          <w:lang w:val="en-GB"/>
        </w:rPr>
        <w:t>costs</w:t>
      </w:r>
      <w:bookmarkEnd w:id="168"/>
    </w:p>
    <w:p w14:paraId="0F16998C" w14:textId="77777777" w:rsidR="00C50403" w:rsidRPr="004722FF" w:rsidRDefault="00C50403" w:rsidP="001A4122">
      <w:pPr>
        <w:pStyle w:val="Prrafodelista"/>
        <w:numPr>
          <w:ilvl w:val="0"/>
          <w:numId w:val="11"/>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 xml:space="preserve">There are no studies on the impact of bimekizumab on the work productivity or personal care of patients. </w:t>
      </w:r>
    </w:p>
    <w:p w14:paraId="710D48A7" w14:textId="76D83C53" w:rsidR="00C50403" w:rsidRPr="004722FF" w:rsidRDefault="00C50403" w:rsidP="001A4122">
      <w:pPr>
        <w:pStyle w:val="Prrafodelista"/>
        <w:numPr>
          <w:ilvl w:val="0"/>
          <w:numId w:val="11"/>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 xml:space="preserve">The score should therefore be based on your experience and / or intuition, trying to assess to what extent the improvement produced by bimekizumab in the patient's health could be reflected in lower </w:t>
      </w:r>
      <w:r w:rsidR="001A4122">
        <w:rPr>
          <w:rFonts w:ascii="Times New Roman" w:hAnsi="Times New Roman" w:cs="Times New Roman"/>
          <w:lang w:val="en-GB"/>
        </w:rPr>
        <w:t xml:space="preserve">indirect </w:t>
      </w:r>
      <w:r w:rsidRPr="004722FF">
        <w:rPr>
          <w:rFonts w:ascii="Times New Roman" w:hAnsi="Times New Roman" w:cs="Times New Roman"/>
          <w:lang w:val="en-GB"/>
        </w:rPr>
        <w:t xml:space="preserve">costs. </w:t>
      </w:r>
    </w:p>
    <w:p w14:paraId="25A922BC" w14:textId="6E959E60" w:rsidR="00C50403" w:rsidRPr="004722FF" w:rsidRDefault="00C50403" w:rsidP="001A4122">
      <w:pPr>
        <w:pStyle w:val="Prrafodelista"/>
        <w:numPr>
          <w:ilvl w:val="0"/>
          <w:numId w:val="11"/>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The total cost of a patient with moderate-</w:t>
      </w:r>
      <w:r w:rsidR="004C74A0">
        <w:rPr>
          <w:rFonts w:ascii="Times New Roman" w:hAnsi="Times New Roman" w:cs="Times New Roman"/>
          <w:lang w:val="en-GB"/>
        </w:rPr>
        <w:t>to-</w:t>
      </w:r>
      <w:r w:rsidRPr="004722FF">
        <w:rPr>
          <w:rFonts w:ascii="Times New Roman" w:hAnsi="Times New Roman" w:cs="Times New Roman"/>
          <w:lang w:val="en-GB"/>
        </w:rPr>
        <w:t>severe psoriasis in Spain could reach € 11,000 per year (based on data from studies published up to 2009), of which 20% would be indirect costs</w:t>
      </w:r>
      <w:r w:rsidRPr="004722FF">
        <w:rPr>
          <w:rFonts w:ascii="Times New Roman" w:hAnsi="Times New Roman" w:cs="Times New Roman"/>
          <w:sz w:val="20"/>
          <w:szCs w:val="20"/>
          <w:lang w:val="en-GB"/>
        </w:rPr>
        <w:fldChar w:fldCharType="begin"/>
      </w:r>
      <w:r w:rsidR="007A0A45">
        <w:rPr>
          <w:rFonts w:ascii="Times New Roman" w:hAnsi="Times New Roman" w:cs="Times New Roman"/>
          <w:sz w:val="20"/>
          <w:szCs w:val="20"/>
          <w:lang w:val="en-GB"/>
        </w:rPr>
        <w:instrText xml:space="preserve"> ADDIN ZOTERO_ITEM CSL_CITATION {"citationID":"TsSJopx0","properties":{"formattedCitation":"\\super 17\\nosupersub{}","plainCitation":"17","noteIndex":0},"citationItems":[{"id":22214,"uris":["http://zotero.org/groups/337550/items/2EWFZBKC"],"uri":["http://zotero.org/groups/337550/items/2EWFZBKC"],"itemData":{"id":22214,"type":"article-journal","container-title":"Actas Dermo-Sifiliográficas (English Edition)","DOI":"10.1016/j.adengl.2016.04.001","ISSN":"1578-2190","issue":"7","journalAbbreviation":"Actas Dermosifiliogr","language":"en","page":"577-590","source":"www.actasdermo.org","title":"The Cost of Psoriasis and Psoriatic Arthritis in 5 European Countries: A Systematic Review","title-short":"The Cost of Psoriasis and Psoriatic Arthritis in 5 European Countries","volume":"107","author":[{"family":"Burgos-Pol","given":"R."},{"family":"Martínez-Sesmero","given":"J. M."},{"family":"Ventura-Cerdá","given":"J. M."},{"family":"Elías","given":"I."},{"family":"Caloto","given":"M. T."},{"family":"Casado","given":"M. Á"}],"issued":{"date-parts":[["2016"]]}}}],"schema":"https://github.com/citation-style-language/schema/raw/master/csl-citation.json"} </w:instrText>
      </w:r>
      <w:r w:rsidRPr="004722FF">
        <w:rPr>
          <w:rFonts w:ascii="Times New Roman" w:hAnsi="Times New Roman" w:cs="Times New Roman"/>
          <w:sz w:val="20"/>
          <w:szCs w:val="20"/>
          <w:lang w:val="en-GB"/>
        </w:rPr>
        <w:fldChar w:fldCharType="separate"/>
      </w:r>
      <w:r w:rsidR="007A0A45" w:rsidRPr="007B4152">
        <w:rPr>
          <w:rFonts w:ascii="Times New Roman" w:hAnsi="Times New Roman" w:cs="Times New Roman"/>
          <w:sz w:val="20"/>
          <w:szCs w:val="24"/>
          <w:vertAlign w:val="superscript"/>
          <w:lang w:val="en-US"/>
        </w:rPr>
        <w:t>17</w:t>
      </w:r>
      <w:r w:rsidRPr="004722FF">
        <w:rPr>
          <w:rFonts w:ascii="Times New Roman" w:hAnsi="Times New Roman" w:cs="Times New Roman"/>
          <w:sz w:val="20"/>
          <w:szCs w:val="20"/>
          <w:lang w:val="en-GB"/>
        </w:rPr>
        <w:fldChar w:fldCharType="end"/>
      </w:r>
      <w:r w:rsidRPr="004722FF">
        <w:rPr>
          <w:rFonts w:ascii="Times New Roman" w:hAnsi="Times New Roman" w:cs="Times New Roman"/>
          <w:lang w:val="en-GB"/>
        </w:rPr>
        <w:t xml:space="preserve">. </w:t>
      </w:r>
    </w:p>
    <w:p w14:paraId="64A647B5" w14:textId="74673ED3" w:rsidR="00C50403" w:rsidRPr="004722FF" w:rsidRDefault="00C50403" w:rsidP="001A4122">
      <w:pPr>
        <w:pStyle w:val="Prrafodelista"/>
        <w:numPr>
          <w:ilvl w:val="0"/>
          <w:numId w:val="11"/>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 xml:space="preserve">A UK study found a positive correlation between PASI and </w:t>
      </w:r>
      <w:r w:rsidR="001A4122" w:rsidRPr="004722FF">
        <w:rPr>
          <w:rFonts w:ascii="Times New Roman" w:hAnsi="Times New Roman" w:cs="Times New Roman"/>
          <w:lang w:val="en-GB"/>
        </w:rPr>
        <w:t>labour</w:t>
      </w:r>
      <w:r w:rsidRPr="004722FF">
        <w:rPr>
          <w:rFonts w:ascii="Times New Roman" w:hAnsi="Times New Roman" w:cs="Times New Roman"/>
          <w:lang w:val="en-GB"/>
        </w:rPr>
        <w:t xml:space="preserve"> productivity. Patients with PASI &lt;50 had a loss of productivity of 22.8%, compared to 13.3% of patients with PASI 50-74 (p = 0.001); 6.4% of patients with PASI 75-89 (p &lt;0.001) and 4.9% of patients with PASI ≥90 (p &lt;0.001). The number of annual hours lost by these patients was 429 (PASI &lt;50), 251 (PASI 50-74), 121 (PASI 75-89) and 93 (PASI ≥90)</w:t>
      </w:r>
      <w:r w:rsidRPr="004722FF">
        <w:rPr>
          <w:rFonts w:ascii="Times New Roman" w:hAnsi="Times New Roman" w:cs="Times New Roman"/>
          <w:sz w:val="20"/>
          <w:szCs w:val="20"/>
          <w:lang w:val="en-GB"/>
        </w:rPr>
        <w:t xml:space="preserve"> </w:t>
      </w:r>
      <w:r w:rsidRPr="004722FF">
        <w:rPr>
          <w:rFonts w:ascii="Times New Roman" w:hAnsi="Times New Roman" w:cs="Times New Roman"/>
          <w:sz w:val="20"/>
          <w:szCs w:val="20"/>
          <w:lang w:val="en-GB"/>
        </w:rPr>
        <w:fldChar w:fldCharType="begin"/>
      </w:r>
      <w:r w:rsidR="00EF06FB">
        <w:rPr>
          <w:rFonts w:ascii="Times New Roman" w:hAnsi="Times New Roman" w:cs="Times New Roman"/>
          <w:sz w:val="20"/>
          <w:szCs w:val="20"/>
          <w:lang w:val="en-GB"/>
        </w:rPr>
        <w:instrText xml:space="preserve"> ADDIN ZOTERO_ITEM CSL_CITATION {"citationID":"jLSX58XH","properties":{"formattedCitation":"\\super 68\\nosupersub{}","plainCitation":"68","noteIndex":0},"citationItems":[{"id":54607,"uris":["http://zotero.org/groups/337550/items/XT79WC7Y"],"uri":["http://zotero.org/groups/337550/items/XT79WC7Y"],"itemData":{"id":54607,"type":"article-journal","abstract":"BACKGROUND: Psoriasis causes work productivity impairment that increases with disease severity. Whether differential treatment efficacy translates into differential indirect cost savings is unknown.\nOBJECTIVE: To assess work hours lost and indirect costs associated with secukinumab versus ustekinumab and etanercept in the United Kingdom (UK).\nMETHODS: This was a post hoc analysis of work impairment data collected in the CLEAR study (secukinumab vs. ustekinumab) and applied to the FIXTURE study (secukinumab vs. etanercept). Weighted weekly and annual average indirect costs per patient per treatment were calculated from (i) overall work impairment derived from Work Productivity and Activity Impairment data collected in CLEAR at 16 and 52 weeks by Psoriasis Area and Severity Index (PASI) response level; (ii) weekly/annual work productivity loss by PASI response level; (iii) weekly and annual indirect costs by PASI response level, based on hours of work productivity loss; and (iv) weighted average indirect costs for each treatment. In the primary analysis, work impairment data for employed patients in CLEAR at Week 16 were used to compare secukinumab and ustekinumab. Secondary analyses were conducted at different time points and with patient cohorts, including FIXTURE.\nRESULTS: In CLEAR, 452 patients (67%) were employed at baseline. At Week 16, percentages of weekly work impairment/mean hours lost decreased with higher PASI: PASI &lt; 50: 22.8%/7.60 h; PASI 50-74: 13.3%/4.45 h; PASI 75-89: 6.4%/2.14 h; PASI ≥ 90: 4.9%/1.65 h. Weighted mean weekly/annual work hours lost were significantly lower for secukinumab than ustekinumab (1.96/102.51 vs. 2.40/125.12; P = 0.0006). Results were consistent for secukinumab versus etanercept (2.29/119.67 vs. 3.59/187.17; Ρ&lt;0.0001). Average annual indirect cost savings with secukinumab were £355 vs. ustekinumab and £1061 versus etanercept. Results at 52 weeks were similar.\nCONCLUSIONS: Secukinumab significantly reduced work impairment and associated indirect costs of psoriasis compared with ustekinumab and etanercept at Week 16 through 52 in the United Kingdom.","container-title":"Journal of the European Academy of Dermatology and Venereology: JEADV","DOI":"10.1111/jdv.15094","ISSN":"1468-3083","issue":"12","journalAbbreviation":"J Eur Acad Dermatol Venereol","language":"eng","note":"PMID: 29846965\nPMCID: PMC6586050","page":"2178-2184","source":"PubMed","title":"Secukinumab significantly reduces psoriasis-related work impairment and indirect costs compared with ustekinumab and etanercept in the United Kingdom","volume":"32","author":[{"family":"Warren","given":"R. B."},{"family":"Halliday","given":"A."},{"family":"Graham","given":"C. N."},{"family":"Gilloteau","given":"I."},{"family":"Miles","given":"L."},{"family":"McBride","given":"D."}],"issued":{"date-parts":[["2018"]]}}}],"schema":"https://github.com/citation-style-language/schema/raw/master/csl-citation.json"} </w:instrText>
      </w:r>
      <w:r w:rsidRPr="004722FF">
        <w:rPr>
          <w:rFonts w:ascii="Times New Roman" w:hAnsi="Times New Roman" w:cs="Times New Roman"/>
          <w:sz w:val="20"/>
          <w:szCs w:val="20"/>
          <w:lang w:val="en-GB"/>
        </w:rPr>
        <w:fldChar w:fldCharType="separate"/>
      </w:r>
      <w:r w:rsidR="00EF06FB" w:rsidRPr="00EF06FB">
        <w:rPr>
          <w:rFonts w:ascii="Times New Roman" w:hAnsi="Times New Roman" w:cs="Times New Roman"/>
          <w:sz w:val="20"/>
          <w:szCs w:val="24"/>
          <w:vertAlign w:val="superscript"/>
        </w:rPr>
        <w:t>68</w:t>
      </w:r>
      <w:r w:rsidRPr="004722FF">
        <w:rPr>
          <w:rFonts w:ascii="Times New Roman" w:hAnsi="Times New Roman" w:cs="Times New Roman"/>
          <w:sz w:val="20"/>
          <w:szCs w:val="20"/>
          <w:lang w:val="en-GB"/>
        </w:rPr>
        <w:fldChar w:fldCharType="end"/>
      </w:r>
      <w:r w:rsidRPr="004722FF">
        <w:rPr>
          <w:rFonts w:ascii="Times New Roman" w:hAnsi="Times New Roman" w:cs="Times New Roman"/>
          <w:lang w:val="en-GB"/>
        </w:rPr>
        <w:t>.</w:t>
      </w:r>
    </w:p>
    <w:p w14:paraId="5A19DA8C" w14:textId="3EE3A1F8" w:rsidR="00A0242A" w:rsidRPr="004722FF" w:rsidRDefault="00C50403" w:rsidP="001A4122">
      <w:pPr>
        <w:pStyle w:val="Prrafodelista"/>
        <w:numPr>
          <w:ilvl w:val="0"/>
          <w:numId w:val="11"/>
        </w:numPr>
        <w:spacing w:before="120"/>
        <w:ind w:left="1712" w:hanging="357"/>
        <w:contextualSpacing w:val="0"/>
        <w:rPr>
          <w:rFonts w:ascii="Times New Roman" w:hAnsi="Times New Roman" w:cs="Times New Roman"/>
          <w:sz w:val="24"/>
          <w:szCs w:val="24"/>
          <w:lang w:val="en-GB"/>
        </w:rPr>
      </w:pPr>
      <w:r w:rsidRPr="004722FF">
        <w:rPr>
          <w:rFonts w:ascii="Times New Roman" w:hAnsi="Times New Roman" w:cs="Times New Roman"/>
          <w:lang w:val="en-GB"/>
        </w:rPr>
        <w:t>Another study concluded that the implementation of an IL-23 generated savings of 50% in indirect costs for patients with psoriasis. At week 16, 65.6% of patients treated with an IL-23 (guselkumab) reported being able to return to work, compared to 22.2% of patients on placebo. This difference represented a saving of $ 7,578 in indirect costs ($ 6,225 with IL-23 vs. $ 13,803 in the placebo group)</w:t>
      </w:r>
      <w:r w:rsidRPr="004722FF">
        <w:rPr>
          <w:rFonts w:ascii="Times New Roman" w:hAnsi="Times New Roman" w:cs="Times New Roman"/>
          <w:sz w:val="20"/>
          <w:szCs w:val="20"/>
          <w:lang w:val="en-GB"/>
        </w:rPr>
        <w:fldChar w:fldCharType="begin"/>
      </w:r>
      <w:r w:rsidR="00EF06FB">
        <w:rPr>
          <w:rFonts w:ascii="Times New Roman" w:hAnsi="Times New Roman" w:cs="Times New Roman"/>
          <w:sz w:val="20"/>
          <w:szCs w:val="20"/>
          <w:lang w:val="en-GB"/>
        </w:rPr>
        <w:instrText xml:space="preserve"> ADDIN ZOTERO_ITEM CSL_CITATION {"citationID":"TThXpBUn","properties":{"formattedCitation":"\\super 69\\nosupersub{}","plainCitation":"69","noteIndex":0},"citationItems":[{"id":54610,"uris":["http://zotero.org/groups/337550/items/5UKV5KIP"],"uri":["http://zotero.org/groups/337550/items/5UKV5KIP"],"itemData":{"id":54610,"type":"article-journal","abstract":"Background: Work productivity loss (WPL) is a major contributor to the indirect costs of psoriasis. Newer biologic therapies are effective at reducing disease symptoms and improving quality of life, but their impact on WPL and associated indirect cost savings compared to previously approved biologic therapies is largely unknown.Objectives: To compare the effects of guselkumab and adalimumab on WPL and associated indirect cost savings in patients with moderate-to-severe psoriasis.Methods: Using data from the VOYAGE 1 (NCT02207231) trial, improvements from baseline in Dermatology Life Quality Index (DLQI) work/study domain scores were compared for patients receiving guselkumab or adalimumab at 24 and 48 weeks of treatment. Improvements in WPL and associated cost savings were calculated using a previously established DLQI-WPL algorithm.Results: Among patients who could not work/study at baseline (DLQI work/study domain score = 3), a significantly greater proportion of guselkumab-treated patients could work/study without problems (DLQI work/study domain score = 0) than adalimumab-treated patients at Weeks 24 and 48. Improvements from baseline in WPL and associated cost savings were greater with guselkumab than with adalimumab at Week 48.Conclusions: Guselkumab was superior to adalimumab for improvement in WPL and associated indirect cost savings, and its use may reduce the economic burden of psoriasis.","container-title":"The Journal of Dermatological Treatment","DOI":"10.1080/09546634.2020.1750552","ISSN":"1471-1753","journalAbbreviation":"J Dermatolog Treat","language":"eng","note":"PMID: 32233940","page":"1-6","source":"PubMed","title":"Work/study productivity gain and associated indirect cost savings with guselkumab compared with adalimumab in moderate-to-severe psoriasis: results from the VOYAGE 1 study","title-short":"Work/study productivity gain and associated indirect cost savings with guselkumab compared with adalimumab in moderate-to-severe psoriasis","author":[{"family":"Li","given":"N."},{"family":"Teeple","given":"A."},{"family":"Muser","given":"E."},{"family":"You","given":"Y."},{"family":"Song","given":"M."},{"family":"Armstrong","given":"A. W."}],"issued":{"date-parts":[["2020"]]}}}],"schema":"https://github.com/citation-style-language/schema/raw/master/csl-citation.json"} </w:instrText>
      </w:r>
      <w:r w:rsidRPr="004722FF">
        <w:rPr>
          <w:rFonts w:ascii="Times New Roman" w:hAnsi="Times New Roman" w:cs="Times New Roman"/>
          <w:sz w:val="20"/>
          <w:szCs w:val="20"/>
          <w:lang w:val="en-GB"/>
        </w:rPr>
        <w:fldChar w:fldCharType="separate"/>
      </w:r>
      <w:r w:rsidR="00EF06FB" w:rsidRPr="007B4152">
        <w:rPr>
          <w:rFonts w:ascii="Times New Roman" w:hAnsi="Times New Roman" w:cs="Times New Roman"/>
          <w:sz w:val="20"/>
          <w:szCs w:val="24"/>
          <w:vertAlign w:val="superscript"/>
          <w:lang w:val="en-US"/>
        </w:rPr>
        <w:t>69</w:t>
      </w:r>
      <w:r w:rsidRPr="004722FF">
        <w:rPr>
          <w:rFonts w:ascii="Times New Roman" w:hAnsi="Times New Roman" w:cs="Times New Roman"/>
          <w:sz w:val="20"/>
          <w:szCs w:val="20"/>
          <w:lang w:val="en-GB"/>
        </w:rPr>
        <w:fldChar w:fldCharType="end"/>
      </w:r>
      <w:r w:rsidRPr="004722FF">
        <w:rPr>
          <w:rFonts w:ascii="Times New Roman" w:hAnsi="Times New Roman" w:cs="Times New Roman"/>
          <w:lang w:val="en-GB"/>
        </w:rPr>
        <w:t>. This same study found that the use of an IL-23 (guselkumab) versus adalimumab</w:t>
      </w:r>
      <w:r w:rsidR="00A0242A" w:rsidRPr="004722FF">
        <w:rPr>
          <w:rFonts w:ascii="Times New Roman" w:hAnsi="Times New Roman" w:cs="Times New Roman"/>
          <w:lang w:val="en-GB"/>
        </w:rPr>
        <w:t xml:space="preserve"> </w:t>
      </w:r>
      <w:r w:rsidR="001A4122">
        <w:rPr>
          <w:rFonts w:ascii="Times New Roman" w:hAnsi="Times New Roman" w:cs="Times New Roman"/>
          <w:lang w:val="en-GB"/>
        </w:rPr>
        <w:t>generated</w:t>
      </w:r>
      <w:r w:rsidR="00A0242A" w:rsidRPr="004722FF">
        <w:rPr>
          <w:rFonts w:ascii="Times New Roman" w:hAnsi="Times New Roman" w:cs="Times New Roman"/>
          <w:lang w:val="en-GB"/>
        </w:rPr>
        <w:t xml:space="preserve"> productivity gains. At week 48, the indirect costs of patients with IL-23 amounted to $ 5,452, and were therefore 34% lower than the indirect costs of patients treated with adalimumab ($ 8,337)</w:t>
      </w:r>
      <w:r w:rsidR="00A0242A"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{"citationID":"ALk0Fbvx","properties":{"formattedCitation":"\\super 69\\nosupersub{}","plainCitation":"69","noteIndex":0},"citationItems":[{"id":54610,"uris":["http://zotero.org/groups/337550/items/5UKV5KIP"],"uri":["http://zotero.org/groups/337550/items/5UKV5KIP"],"itemData":{"id":54610,"type":"article-journal","abstract":"Background: Work productivity loss (WPL) is a major contributor to the indirect costs of psoriasis. Newer biologic therapies are effective at reducing disease symptoms and improving quality of life, but their impact on WPL and associated indirect cost savings compared to previously approved biologic therapies is largely unknown.Objectives: To compare the effects of guselkumab and adalimumab on WPL and associated indirect cost savings in patients with moderate-to-severe psoriasis.Methods: Using data from the VOYAGE 1 (NCT02207231) trial, improvements from baseline in Dermatology Life Quality Index (DLQI) work/study domain scores were compared for patients receiving guselkumab or adalimumab at 24 and 48 weeks of treatment. Improvements in WPL and associated cost savings were calculated using a previously established DLQI-WPL algorithm.Results: Among patients who could not work/study at baseline (DLQI work/study domain score = 3), a significantly greater proportion of guselkumab-treated patients could work/study without problems (DLQI work/study domain score = 0) than adalimumab-treated patients at Weeks 24 and 48. Improvements from baseline in WPL and associated cost savings were greater with guselkumab than with adalimumab at Week 48.Conclusions: Guselkumab was superior to adalimumab for improvement in WPL and associated indirect cost savings, and its use may reduce the economic burden of psoriasis.","container-title":"The Journal of Dermatological Treatment","DOI":"10.1080/09546634.2020.1750552","ISSN":"1471-1753","journalAbbreviation":"J Dermatolog Treat","language":"eng","note":"PMID: 32233940","page":"1-6","source":"PubMed","title":"Work/study productivity gain and associated indirect cost savings with guselkumab compared with adalimumab in moderate-to-severe psoriasis: results from the VOYAGE 1 study","title-short":"Work/study productivity gain and associated indirect cost savings with guselkumab compared with adalimumab in moderate-to-severe psoriasis","author":[{"family":"Li","given":"N."},{"family":"Teeple","given":"A."},{"family":"Muser","given":"E."},{"family":"You","given":"Y."},{"family":"Song","given":"M."},{"family":"Armstrong","given":"A. W."}],"issued":{"date-parts":[["2020"]]}}}],"schema":"https://github.com/citation-style-language/schema/raw/master/csl-citation.json"} </w:instrText>
      </w:r>
      <w:r w:rsidR="00A0242A" w:rsidRPr="004722FF">
        <w:rPr>
          <w:rFonts w:ascii="Times New Roman" w:hAnsi="Times New Roman" w:cs="Times New Roman"/>
          <w:lang w:val="en-GB"/>
        </w:rPr>
        <w:fldChar w:fldCharType="separate"/>
      </w:r>
      <w:r w:rsidR="00EF06FB" w:rsidRPr="00EF06FB">
        <w:rPr>
          <w:rFonts w:ascii="Times New Roman" w:hAnsi="Times New Roman" w:cs="Times New Roman"/>
          <w:szCs w:val="24"/>
          <w:vertAlign w:val="superscript"/>
        </w:rPr>
        <w:t>69</w:t>
      </w:r>
      <w:r w:rsidR="00A0242A" w:rsidRPr="004722FF">
        <w:rPr>
          <w:rFonts w:ascii="Times New Roman" w:hAnsi="Times New Roman" w:cs="Times New Roman"/>
          <w:lang w:val="en-GB"/>
        </w:rPr>
        <w:fldChar w:fldCharType="end"/>
      </w:r>
      <w:r w:rsidR="00A0242A" w:rsidRPr="004722FF">
        <w:rPr>
          <w:rFonts w:ascii="Times New Roman" w:hAnsi="Times New Roman" w:cs="Times New Roman"/>
          <w:lang w:val="en-GB"/>
        </w:rPr>
        <w:t xml:space="preserve">.  </w:t>
      </w:r>
    </w:p>
    <w:p w14:paraId="2CE20700" w14:textId="5C7C0BCE" w:rsidR="00A0242A" w:rsidRPr="004722FF" w:rsidRDefault="00D37FF9" w:rsidP="001A4122">
      <w:pPr>
        <w:pStyle w:val="Prrafodelista"/>
        <w:numPr>
          <w:ilvl w:val="0"/>
          <w:numId w:val="11"/>
        </w:numPr>
        <w:spacing w:before="120"/>
        <w:contextualSpacing w:val="0"/>
        <w:rPr>
          <w:rFonts w:ascii="Times New Roman" w:hAnsi="Times New Roman" w:cs="Times New Roman"/>
          <w:sz w:val="24"/>
          <w:szCs w:val="24"/>
          <w:lang w:val="en-GB"/>
        </w:rPr>
      </w:pPr>
      <w:r w:rsidRPr="004722FF">
        <w:rPr>
          <w:rFonts w:ascii="Times New Roman" w:hAnsi="Times New Roman" w:cs="Times New Roman"/>
          <w:lang w:val="en-GB"/>
        </w:rPr>
        <w:t>Another study found that the use of secukinumab versus ustekinumab</w:t>
      </w:r>
      <w:r w:rsidR="00A0242A" w:rsidRPr="004722FF">
        <w:rPr>
          <w:rFonts w:ascii="Times New Roman" w:hAnsi="Times New Roman" w:cs="Times New Roman"/>
          <w:lang w:val="en-GB"/>
        </w:rPr>
        <w:t xml:space="preserve"> </w:t>
      </w:r>
      <w:r w:rsidR="00C20CC9">
        <w:rPr>
          <w:rFonts w:ascii="Times New Roman" w:hAnsi="Times New Roman" w:cs="Times New Roman"/>
          <w:lang w:val="en-GB"/>
        </w:rPr>
        <w:t>created</w:t>
      </w:r>
      <w:r w:rsidR="00A0242A" w:rsidRPr="004722FF">
        <w:rPr>
          <w:rFonts w:ascii="Times New Roman" w:hAnsi="Times New Roman" w:cs="Times New Roman"/>
          <w:lang w:val="en-GB"/>
        </w:rPr>
        <w:t xml:space="preserve"> productivity gains. At week 48, indirect costs for patients on secukinumab amounted to 1,611£, and were 20% lower than the indirect costs of patients treated with ustekinumab (1,996£)</w:t>
      </w:r>
      <w:r w:rsidR="00A0242A"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{"citationID":"GE3vm6qO","properties":{"formattedCitation":"\\super 68\\nosupersub{}","plainCitation":"68","noteIndex":0},"citationItems":[{"id":54607,"uris":["http://zotero.org/groups/337550/items/XT79WC7Y"],"uri":["http://zotero.org/groups/337550/items/XT79WC7Y"],"itemData":{"id":54607,"type":"article-journal","abstract":"BACKGROUND: Psoriasis causes work productivity impairment that increases with disease severity. Whether differential treatment efficacy translates into differential indirect cost savings is unknown.\nOBJECTIVE: To assess work hours lost and indirect costs associated with secukinumab versus ustekinumab and etanercept in the United Kingdom (UK).\nMETHODS: This was a post hoc analysis of work impairment data collected in the CLEAR study (secukinumab vs. ustekinumab) and applied to the FIXTURE study (secukinumab vs. etanercept). Weighted weekly and annual average indirect costs per patient per treatment were calculated from (i) overall work impairment derived from Work Productivity and Activity Impairment data collected in CLEAR at 16 and 52 weeks by Psoriasis Area and Severity Index (PASI) response level; (ii) weekly/annual work productivity loss by PASI response level; (iii) weekly and annual indirect costs by PASI response level, based on hours of work productivity loss; and (iv) weighted average indirect costs for each treatment. In the primary analysis, work impairment data for employed patients in CLEAR at Week 16 were used to compare secukinumab and ustekinumab. Secondary analyses were conducted at different time points and with patient cohorts, including FIXTURE.\nRESULTS: In CLEAR, 452 patients (67%) were employed at baseline. At Week 16, percentages of weekly work impairment/mean hours lost decreased with higher PASI: PASI &lt; 50: 22.8%/7.60 h; PASI 50-74: 13.3%/4.45 h; PASI 75-89: 6.4%/2.14 h; PASI ≥ 90: 4.9%/1.65 h. Weighted mean weekly/annual work hours lost were significantly lower for secukinumab than ustekinumab (1.96/102.51 vs. 2.40/125.12; P = 0.0006). Results were consistent for secukinumab versus etanercept (2.29/119.67 vs. 3.59/187.17; Ρ&lt;0.0001). Average annual indirect cost savings with secukinumab were £355 vs. ustekinumab and £1061 versus etanercept. Results at 52 weeks were similar.\nCONCLUSIONS: Secukinumab significantly reduced work impairment and associated indirect costs of psoriasis compared with ustekinumab and etanercept at Week 16 through 52 in the United Kingdom.","container-title":"Journal of the European Academy of Dermatology and Venereology: JEADV","DOI":"10.1111/jdv.15094","ISSN":"1468-3083","issue":"12","journalAbbreviation":"J Eur Acad Dermatol Venereol","language":"eng","note":"PMID: 29846965\nPMCID: PMC6586050","page":"2178-2184","source":"PubMed","title":"Secukinumab significantly reduces psoriasis-related work impairment and indirect costs compared with ustekinumab and etanercept in the United Kingdom","volume":"32","author":[{"family":"Warren","given":"R. B."},{"family":"Halliday","given":"A."},{"family":"Graham","given":"C. N."},{"family":"Gilloteau","given":"I."},{"family":"Miles","given":"L."},{"family":"McBride","given":"D."}],"issued":{"date-parts":[["2018"]]}}}],"schema":"https://github.com/citation-style-language/schema/raw/master/csl-citation.json"} </w:instrText>
      </w:r>
      <w:r w:rsidR="00A0242A" w:rsidRPr="004722FF">
        <w:rPr>
          <w:rFonts w:ascii="Times New Roman" w:hAnsi="Times New Roman" w:cs="Times New Roman"/>
          <w:lang w:val="en-GB"/>
        </w:rPr>
        <w:fldChar w:fldCharType="separate"/>
      </w:r>
      <w:r w:rsidR="00EF06FB" w:rsidRPr="00EF06FB">
        <w:rPr>
          <w:rFonts w:ascii="Times New Roman" w:hAnsi="Times New Roman" w:cs="Times New Roman"/>
          <w:szCs w:val="24"/>
          <w:vertAlign w:val="superscript"/>
        </w:rPr>
        <w:t>68</w:t>
      </w:r>
      <w:r w:rsidR="00A0242A" w:rsidRPr="004722FF">
        <w:rPr>
          <w:rFonts w:ascii="Times New Roman" w:hAnsi="Times New Roman" w:cs="Times New Roman"/>
          <w:lang w:val="en-GB"/>
        </w:rPr>
        <w:fldChar w:fldCharType="end"/>
      </w:r>
      <w:r w:rsidR="00A0242A" w:rsidRPr="004722FF">
        <w:rPr>
          <w:rFonts w:ascii="Times New Roman" w:hAnsi="Times New Roman" w:cs="Times New Roman"/>
          <w:lang w:val="en-GB"/>
        </w:rPr>
        <w:t>.</w:t>
      </w:r>
    </w:p>
    <w:p w14:paraId="7633522E" w14:textId="6E08AC27" w:rsidR="00A0242A" w:rsidRPr="004722FF" w:rsidRDefault="00A0242A" w:rsidP="001A4122">
      <w:pPr>
        <w:pStyle w:val="Prrafodelista"/>
        <w:numPr>
          <w:ilvl w:val="0"/>
          <w:numId w:val="11"/>
        </w:numPr>
        <w:spacing w:before="120"/>
        <w:contextualSpacing w:val="0"/>
        <w:rPr>
          <w:rFonts w:ascii="Times New Roman" w:hAnsi="Times New Roman" w:cs="Times New Roman"/>
          <w:lang w:val="en-GB"/>
        </w:rPr>
      </w:pPr>
      <w:r w:rsidRPr="004722FF">
        <w:rPr>
          <w:rFonts w:ascii="Times New Roman" w:hAnsi="Times New Roman" w:cs="Times New Roman"/>
          <w:lang w:val="en-GB"/>
        </w:rPr>
        <w:t xml:space="preserve">In the UNCOVER trials, ixekizumab patients reported improvements in work productivity versus placebo. This was measured through the average changes compared to the start of treatment observed in the data collected by the </w:t>
      </w:r>
      <w:r w:rsidR="00C20CC9" w:rsidRPr="00C20CC9">
        <w:rPr>
          <w:rFonts w:ascii="Times New Roman" w:hAnsi="Times New Roman" w:cs="Times New Roman"/>
          <w:lang w:val="en-GB"/>
        </w:rPr>
        <w:t>Work Productivity and Activity Impairment Questionnaire: Psoriasis</w:t>
      </w:r>
      <w:r w:rsidRPr="004722FF">
        <w:rPr>
          <w:rFonts w:ascii="Times New Roman" w:hAnsi="Times New Roman" w:cs="Times New Roman"/>
          <w:lang w:val="en-GB"/>
        </w:rPr>
        <w:t xml:space="preserve"> (WPAI-PSO). At the beginning of treatment, the productivity index was between 22 and 25. After 60 months, these indexes were reduced to between 5 and 18 (improvements of between 28% and 77%)</w:t>
      </w:r>
      <w:r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{"citationID":"mEW2ONe9","properties":{"formattedCitation":"\\super 70\\nosupersub{}","plainCitation":"70","noteIndex":0},"citationItems":[{"id":57702,"uris":["http://zotero.org/groups/337550/items/CX93DVU2"],"uri":["http://zotero.org/groups/337550/items/CX93DVU2"],"itemData":{"id":57702,"type":"article-journal","abstract":"IMPORTANCE: Therapies that reduce psoriasis symptoms may improve work productivity.\nOBJECTIVE: To assess the effect of ixekizumab therapy on work productivity, measured by the Work Productivity and Activity Impairment-Psoriasis (WPAI-PSO).\nDESIGN, SETTING, AND PARTICIPANTS: Three multicenter, randomized double-blind phase 3 trials conducted during the following periods: December 2011 through August 2014 (UNCOVER-1), May 2012 through April 2015 (UNCOVER-2), and August 2012 through July 2014 (UNCOVER-3). Adult outpatients with moderate-to-severe chronic plaque psoriasis were included.\nINTERVENTIONS: In UNCOVER-1, patients were randomized 1:1:1 to subcutaneous placebo or 80 mg ixekizumab every 2 weeks (Q2W) or every 4 weeks (Q4W) for 12 weeks; UNCOVER-2 and UNCOVER-3 also had an etanercept arm (50 mg twice weekly). Maintenance of initial ixekizumab response was evaluated in UNCOVER-1 and UNCOVER-2 during a randomized withdrawal period following week 12 through week 60. The WPAI-PSO questionnaire was administered at baseline and week 12 for all patients and at weeks 24, 36, 52, and 60 for patients in UNCOVER-1 and UNCOVER-2.\nMAIN OUTCOMES AND MEASURES: Change in work productivity from baseline as measured by WPAI-PSO scores.\nRESULTS: Across trials, 5101 patients consented; 3866 were randomized (mean [SD] age, UNCOVER-1, 45.7 [12.9] y, 68.1% male; UNCOVER-2: 45.0 [13.0] y, 67.1% male; UNCOVER-3: 45.8 [13.1] y, 68.2% male). At week 12 in UNCOVER-1, the ixekizumab Q4W and ixekizumab Q2W groups showed significantly greater improvements in WPAI-PSO scores (least squares mean change from baseline [SE]) relative to placebo: absenteeism (-3.5 [0.87], P &lt; .001; -2.6 [0.84], P = .003, respectively, vs 0.2 [0.88]), presenteeism (-18.8 [1.28], P &lt; .001; -18.3 [1.24], P &lt; .001, vs 0.5 [1.30]), work productivity loss (-20.6 [1.38], P &lt; .001; -19.8 [1.33], P &lt; .001, vs -0.8 [1.40]), and activity impairment (-24.5 [1.18], P &lt; .001; -25.2 [1.15], P &lt; .001, vs 0.8 [1.18]). Similar results were obtained for UNCOVER-2 and UNCOVER-3, with the exception of absenteeism with ixekizumab Q4W in UNCOVER-2. Additionally, ixekizumab-treated patients showed significantly greater improvements in WPAI-PSO scores vs etanercept-treated patients: UNCOVER-2: presenteeism, work productivity loss, activity impairment (P &lt; .001 both doses), UNCOVER-3: activity impairment (ie, regular activities outside of work) (ixekizumab Q2W; P = .009). Improvements in WPAI-PSO scores at week 12 were sustained to at least week 60.\nCONCLUSIONS AND RELEVANCE: Ixekizumab-treated patients reported short- and long-term improvements in work productivity, which could lead to reduced productivity-related cost burden in patients with psoriasis.\nTRIAL REGISTRATION: clinicaltrials.gov Identifiers: NCT01474512, NCT01597245, NCT01646177.","container-title":"JAMA dermatology","DOI":"10.1001/jamadermatol.2016.0269","ISSN":"2168-6084","issue":"6","journalAbbreviation":"JAMA Dermatol","language":"eng","note":"PMID: 26953848","page":"661-669","source":"PubMed","title":"Effect of Ixekizumab Treatment on Work Productivity for Patients With Moderate-to-Severe Plaque Psoriasis: Analysis of Results From 3 Randomized Phase 3 Clinical Trials","title-short":"Effect of Ixekizumab Treatment on Work Productivity for Patients With Moderate-to-Severe Plaque Psoriasis","volume":"152","author":[{"family":"Armstrong","given":"April W."},{"family":"Lynde","given":"Charles W."},{"family":"McBride","given":"Sandy R."},{"family":"Ståhle","given":"Mona"},{"family":"Edson-Heredia","given":"Emily"},{"family":"Zhu","given":"Baojin"},{"family":"Amato","given":"David"},{"family":"Nikaï","given":"Enkeleida"},{"family":"Yang","given":"Fan Emily"},{"family":"Gordon","given":"Kenneth B."}],"issued":{"date-parts":[["2016"]]}}}],"schema":"https://github.com/citation-style-language/schema/raw/master/csl-citation.json"} </w:instrText>
      </w:r>
      <w:r w:rsidRPr="004722FF">
        <w:rPr>
          <w:rFonts w:ascii="Times New Roman" w:hAnsi="Times New Roman" w:cs="Times New Roman"/>
          <w:lang w:val="en-GB"/>
        </w:rPr>
        <w:fldChar w:fldCharType="separate"/>
      </w:r>
      <w:r w:rsidR="00EF06FB" w:rsidRPr="00EF06FB">
        <w:rPr>
          <w:rFonts w:ascii="Times New Roman" w:hAnsi="Times New Roman" w:cs="Times New Roman"/>
          <w:szCs w:val="24"/>
          <w:vertAlign w:val="superscript"/>
        </w:rPr>
        <w:t>70</w:t>
      </w:r>
      <w:r w:rsidRPr="004722FF">
        <w:rPr>
          <w:rFonts w:ascii="Times New Roman" w:hAnsi="Times New Roman" w:cs="Times New Roman"/>
          <w:lang w:val="en-GB"/>
        </w:rPr>
        <w:fldChar w:fldCharType="end"/>
      </w:r>
      <w:r w:rsidRPr="004722FF">
        <w:rPr>
          <w:rFonts w:ascii="Times New Roman" w:hAnsi="Times New Roman" w:cs="Times New Roman"/>
          <w:lang w:val="en-GB"/>
        </w:rPr>
        <w:t xml:space="preserve">.  </w:t>
      </w:r>
    </w:p>
    <w:p w14:paraId="29E49DFB" w14:textId="4A9B492F" w:rsidR="00A0242A" w:rsidRPr="004B5573" w:rsidRDefault="00A0242A" w:rsidP="001A4122">
      <w:pPr>
        <w:pStyle w:val="Prrafodelista"/>
        <w:numPr>
          <w:ilvl w:val="0"/>
          <w:numId w:val="11"/>
        </w:numPr>
        <w:spacing w:before="120"/>
        <w:contextualSpacing w:val="0"/>
        <w:rPr>
          <w:rFonts w:ascii="Times New Roman" w:hAnsi="Times New Roman" w:cs="Times New Roman"/>
          <w:sz w:val="24"/>
          <w:szCs w:val="24"/>
          <w:lang w:val="en-GB"/>
        </w:rPr>
      </w:pPr>
      <w:r w:rsidRPr="004722FF">
        <w:rPr>
          <w:rFonts w:ascii="Times New Roman" w:hAnsi="Times New Roman" w:cs="Times New Roman"/>
          <w:lang w:val="en-GB"/>
        </w:rPr>
        <w:t>In a recent North American study based on machine learning</w:t>
      </w:r>
      <w:r w:rsidR="00C20CC9">
        <w:rPr>
          <w:rFonts w:ascii="Times New Roman" w:hAnsi="Times New Roman" w:cs="Times New Roman"/>
          <w:lang w:val="en-GB"/>
        </w:rPr>
        <w:t xml:space="preserve"> algorithm</w:t>
      </w:r>
      <w:r w:rsidRPr="004722FF">
        <w:rPr>
          <w:rFonts w:ascii="Times New Roman" w:hAnsi="Times New Roman" w:cs="Times New Roman"/>
          <w:lang w:val="en-GB"/>
        </w:rPr>
        <w:t xml:space="preserve">, the authors estimated that the use of risankizumab could generate 17% improvements in the patient's </w:t>
      </w:r>
      <w:r w:rsidR="00C20CC9" w:rsidRPr="004722FF">
        <w:rPr>
          <w:rFonts w:ascii="Times New Roman" w:hAnsi="Times New Roman" w:cs="Times New Roman"/>
          <w:lang w:val="en-GB"/>
        </w:rPr>
        <w:t>labour</w:t>
      </w:r>
      <w:r w:rsidRPr="004722FF">
        <w:rPr>
          <w:rFonts w:ascii="Times New Roman" w:hAnsi="Times New Roman" w:cs="Times New Roman"/>
          <w:lang w:val="en-GB"/>
        </w:rPr>
        <w:t xml:space="preserve"> productivity compared to the use of placebo, with indirect cost savings of $ 11,301 per patient / year</w:t>
      </w:r>
      <w:r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{"citationID":"tsHXqQzv","properties":{"formattedCitation":"\\super 71\\nosupersub{}","plainCitation":"71","noteIndex":0},"citationItems":[{"id":54618,"uris":["http://zotero.org/groups/337550/items/7TUZZ4T9"],"uri":["http://zotero.org/groups/337550/items/7TUZZ4T9"],"itemData":{"id":54618,"type":"article-journal","abstract":"OBJECTIVES: To compare the impact of Psoriasis Area and Severity Index (PASI) response on total work productivity impairment (TWPI) in patients with moderate-to-severe psoriasis; to compare TWPI and associated indirect costs among patients treated with risankizumab, adalimumab, ustekinumab, and placebo.\nMETHODS: Data from REVEAL (adalimumab phase III trial) were used to assess differences in trial-observed TWPI across PASI response cohorts. A machine learning model used REVEAL data to predict TWPI for patients in the risankizumab trials. These values were used to estimate work loss hours and work impairment-related indirect costs for each treatment cohort.\nRESULTS: Among REVEAL patients (N = 741), TWPI in the PASI 100, 90-99, 75-89 cohorts was lower than the PASI &lt;75 cohort (p &lt; 0.05); mean TWPI was lowest with PASI 100 (1.7%) vs. 90-99 (2.5%) vs. 75-89 (4.8%) vs. &lt;75 (14.3%). There was a significant (p &lt; 0.0001) monotonic relationship between higher PASI response and lower TWPI. In the risankizumab trials (N = 2,046), incremental TWPI relative to risankizumab was 3.4%/week for ustekinumab/adalimumab, and 17.1%/week for placebo; incremental indirect cost savings for risankizumab were $2,179/year vs. adalimumab, $2,321/year vs. ustekinumab, and $11,284/year vs. placebo.\nCONCLUSIONS: Higher PASI responses were associated with reduced TWPI. Risankizumab was associated with less work impairment/indirect costs versus ustekinumab/adalimumab/placebo.","container-title":"The Journal of Dermatological Treatment","DOI":"10.1080/09546634.2021.1919287","ISSN":"1471-1753","journalAbbreviation":"J Dermatolog Treat","language":"eng","note":"PMID: 33899655","page":"1-26","source":"PubMed","title":"Impact of PASI response on work productivity and the effect of risankizumab on indirect costs using machine learning in patients with moderate-to-Severe psoriasis","author":[{"family":"Lebwohl","given":"Mark"},{"family":"Soliman","given":"Ahmed M."},{"family":"Yang","given":"Hongbo"},{"family":"Wang","given":"Jessie"},{"family":"Freimark","given":"Jonathan"},{"family":"Puig","given":"Lluís"}],"issued":{"date-parts":[["2021"]]}}}],"schema":"https://github.com/citation-style-language/schema/raw/master/csl-citation.json"} </w:instrText>
      </w:r>
      <w:r w:rsidRPr="004722FF">
        <w:rPr>
          <w:rFonts w:ascii="Times New Roman" w:hAnsi="Times New Roman" w:cs="Times New Roman"/>
          <w:lang w:val="en-GB"/>
        </w:rPr>
        <w:fldChar w:fldCharType="separate"/>
      </w:r>
      <w:r w:rsidR="00EF06FB" w:rsidRPr="007B4152">
        <w:rPr>
          <w:rFonts w:ascii="Times New Roman" w:hAnsi="Times New Roman" w:cs="Times New Roman"/>
          <w:szCs w:val="24"/>
          <w:vertAlign w:val="superscript"/>
          <w:lang w:val="en-US"/>
        </w:rPr>
        <w:t>71</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425362CC" w14:textId="77777777" w:rsidR="004B5573" w:rsidRPr="004B5573" w:rsidRDefault="004B5573" w:rsidP="004B5573">
      <w:pPr>
        <w:spacing w:before="120"/>
        <w:ind w:left="708"/>
        <w:rPr>
          <w:rFonts w:ascii="Times New Roman" w:hAnsi="Times New Roman" w:cs="Times New Roman"/>
          <w:sz w:val="24"/>
          <w:szCs w:val="24"/>
          <w:lang w:val="en-GB"/>
        </w:rPr>
      </w:pPr>
    </w:p>
    <w:p w14:paraId="41F5708C" w14:textId="7460B0C6" w:rsidR="001D179C" w:rsidRPr="001E383C" w:rsidRDefault="006D324E" w:rsidP="001E383C">
      <w:pPr>
        <w:pStyle w:val="Ttulo1"/>
        <w:shd w:val="clear" w:color="auto" w:fill="A6A6A6" w:themeFill="background1" w:themeFillShade="A6"/>
        <w:spacing w:before="120" w:after="120"/>
        <w:ind w:left="709"/>
        <w:jc w:val="left"/>
        <w:rPr>
          <w:rStyle w:val="TEXTOGENERALCar"/>
          <w:rFonts w:ascii="Times New Roman" w:hAnsi="Times New Roman" w:cs="Times New Roman"/>
          <w:bCs/>
          <w:color w:val="FFFFFF" w:themeColor="background1"/>
          <w:sz w:val="32"/>
          <w:szCs w:val="32"/>
        </w:rPr>
      </w:pPr>
      <w:bookmarkStart w:id="169" w:name="_Toc74645733"/>
      <w:bookmarkStart w:id="170" w:name="_Toc89351177"/>
      <w:r w:rsidRPr="001E383C">
        <w:rPr>
          <w:rStyle w:val="TEXTOGENERALCar"/>
          <w:rFonts w:ascii="Times New Roman" w:hAnsi="Times New Roman" w:cs="Times New Roman"/>
          <w:b/>
          <w:bCs/>
          <w:color w:val="FFFFFF" w:themeColor="background1"/>
          <w:sz w:val="32"/>
          <w:szCs w:val="32"/>
        </w:rPr>
        <w:lastRenderedPageBreak/>
        <w:t>5</w:t>
      </w:r>
      <w:r w:rsidR="004E765D">
        <w:rPr>
          <w:rStyle w:val="TEXTOGENERALCar"/>
          <w:rFonts w:ascii="Times New Roman" w:hAnsi="Times New Roman" w:cs="Times New Roman"/>
          <w:b/>
          <w:bCs/>
          <w:color w:val="FFFFFF" w:themeColor="background1"/>
          <w:sz w:val="32"/>
          <w:szCs w:val="32"/>
        </w:rPr>
        <w:t>.</w:t>
      </w:r>
      <w:r w:rsidR="001D179C" w:rsidRPr="001E383C">
        <w:rPr>
          <w:rStyle w:val="TEXTOGENERALCar"/>
          <w:rFonts w:ascii="Times New Roman" w:hAnsi="Times New Roman" w:cs="Times New Roman"/>
          <w:b/>
          <w:bCs/>
          <w:color w:val="FFFFFF" w:themeColor="background1"/>
          <w:sz w:val="32"/>
          <w:szCs w:val="32"/>
        </w:rPr>
        <w:t xml:space="preserve"> </w:t>
      </w:r>
      <w:r w:rsidR="001D179C" w:rsidRPr="001E383C">
        <w:rPr>
          <w:rStyle w:val="TEXTOGENERALCar"/>
          <w:rFonts w:ascii="Times New Roman" w:hAnsi="Times New Roman" w:cs="Times New Roman"/>
          <w:b/>
          <w:bCs/>
          <w:color w:val="FFFFFF" w:themeColor="background1"/>
          <w:sz w:val="32"/>
        </w:rPr>
        <w:t>Knowledge of the intervention</w:t>
      </w:r>
      <w:bookmarkEnd w:id="169"/>
      <w:bookmarkEnd w:id="170"/>
    </w:p>
    <w:p w14:paraId="7FEB824C" w14:textId="77777777" w:rsidR="001D179C" w:rsidRPr="004722FF" w:rsidRDefault="001D179C" w:rsidP="00B406C9">
      <w:pPr>
        <w:pStyle w:val="Prrafodelista"/>
        <w:numPr>
          <w:ilvl w:val="0"/>
          <w:numId w:val="1"/>
        </w:numPr>
        <w:spacing w:before="120" w:line="240" w:lineRule="auto"/>
        <w:ind w:left="709" w:firstLine="0"/>
        <w:contextualSpacing w:val="0"/>
        <w:jc w:val="left"/>
        <w:outlineLvl w:val="1"/>
        <w:rPr>
          <w:rFonts w:ascii="Times New Roman" w:eastAsiaTheme="majorEastAsia" w:hAnsi="Times New Roman" w:cs="Times New Roman"/>
          <w:smallCaps/>
          <w:vanish/>
          <w:spacing w:val="5"/>
          <w:sz w:val="32"/>
          <w:szCs w:val="60"/>
          <w:lang w:val="en-GB"/>
        </w:rPr>
      </w:pPr>
      <w:bookmarkStart w:id="171" w:name="_Toc73538780"/>
      <w:bookmarkStart w:id="172" w:name="_Toc73538907"/>
      <w:bookmarkStart w:id="173" w:name="_Toc73538950"/>
      <w:bookmarkStart w:id="174" w:name="_Toc73539174"/>
      <w:bookmarkStart w:id="175" w:name="_Toc73541281"/>
      <w:bookmarkStart w:id="176" w:name="_Toc73602811"/>
      <w:bookmarkStart w:id="177" w:name="_Toc74314124"/>
      <w:bookmarkStart w:id="178" w:name="_Toc74639572"/>
      <w:bookmarkStart w:id="179" w:name="_Toc74645734"/>
      <w:bookmarkStart w:id="180" w:name="_Toc89076830"/>
      <w:bookmarkStart w:id="181" w:name="_Toc89077576"/>
      <w:bookmarkStart w:id="182" w:name="_Toc89077684"/>
      <w:bookmarkStart w:id="183" w:name="_Toc89077715"/>
      <w:bookmarkStart w:id="184" w:name="_Toc89077950"/>
      <w:bookmarkStart w:id="185" w:name="_Toc89077975"/>
      <w:bookmarkStart w:id="186" w:name="_Toc89078010"/>
      <w:bookmarkStart w:id="187" w:name="_Toc89078072"/>
      <w:bookmarkStart w:id="188" w:name="_Toc89078127"/>
      <w:bookmarkStart w:id="189" w:name="_Toc89078217"/>
      <w:bookmarkStart w:id="190" w:name="_Toc89078419"/>
      <w:bookmarkStart w:id="191" w:name="_Toc8935117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08F29CD7" w14:textId="77777777" w:rsidR="001D179C" w:rsidRPr="001E383C" w:rsidRDefault="001D179C" w:rsidP="00B406C9">
      <w:pPr>
        <w:pStyle w:val="Ttulo2"/>
        <w:numPr>
          <w:ilvl w:val="1"/>
          <w:numId w:val="1"/>
        </w:numPr>
        <w:spacing w:before="120" w:line="240" w:lineRule="auto"/>
        <w:ind w:left="993" w:firstLine="0"/>
        <w:rPr>
          <w:rFonts w:ascii="Times New Roman" w:hAnsi="Times New Roman" w:cs="Times New Roman"/>
          <w:b/>
          <w:bCs/>
          <w:smallCaps w:val="0"/>
          <w:color w:val="auto"/>
          <w:sz w:val="22"/>
          <w:szCs w:val="22"/>
          <w:lang w:val="en-GB"/>
        </w:rPr>
      </w:pPr>
      <w:bookmarkStart w:id="192" w:name="_Toc74645735"/>
      <w:bookmarkStart w:id="193" w:name="_Toc89351179"/>
      <w:r w:rsidRPr="001E383C">
        <w:rPr>
          <w:rFonts w:ascii="Times New Roman" w:hAnsi="Times New Roman" w:cs="Times New Roman"/>
          <w:b/>
          <w:bCs/>
          <w:smallCaps w:val="0"/>
          <w:color w:val="auto"/>
          <w:sz w:val="22"/>
          <w:szCs w:val="22"/>
          <w:lang w:val="en-GB"/>
        </w:rPr>
        <w:t>Quality of the evidence</w:t>
      </w:r>
      <w:bookmarkEnd w:id="192"/>
      <w:bookmarkEnd w:id="193"/>
    </w:p>
    <w:p w14:paraId="2F77645A" w14:textId="0590151D" w:rsidR="005B00BB" w:rsidRPr="00B37D9F" w:rsidRDefault="005B00BB" w:rsidP="00544BDF">
      <w:pPr>
        <w:pStyle w:val="Prrafodelista"/>
        <w:numPr>
          <w:ilvl w:val="0"/>
          <w:numId w:val="12"/>
        </w:numPr>
        <w:spacing w:before="120"/>
        <w:ind w:left="1712" w:hanging="357"/>
        <w:contextualSpacing w:val="0"/>
        <w:rPr>
          <w:rFonts w:ascii="Times New Roman" w:hAnsi="Times New Roman" w:cs="Times New Roman"/>
          <w:lang w:val="en-GB"/>
        </w:rPr>
      </w:pPr>
      <w:r w:rsidRPr="00B37D9F">
        <w:rPr>
          <w:rFonts w:ascii="Times New Roman" w:hAnsi="Times New Roman" w:cs="Times New Roman"/>
          <w:lang w:val="en-GB"/>
        </w:rPr>
        <w:t xml:space="preserve">All clinical trials included in this study were randomized, double-blind, multinational, and </w:t>
      </w:r>
      <w:r w:rsidR="001E383C" w:rsidRPr="00B37D9F">
        <w:rPr>
          <w:rFonts w:ascii="Times New Roman" w:hAnsi="Times New Roman" w:cs="Times New Roman"/>
          <w:lang w:val="en-GB"/>
        </w:rPr>
        <w:t>multicentre</w:t>
      </w:r>
      <w:r w:rsidRPr="00B37D9F">
        <w:rPr>
          <w:rFonts w:ascii="Times New Roman" w:hAnsi="Times New Roman" w:cs="Times New Roman"/>
          <w:lang w:val="en-GB"/>
        </w:rPr>
        <w:t xml:space="preserve"> trials, which were conducted in accordance with the Good Clinical Practices (GCP) guidelines of the </w:t>
      </w:r>
      <w:r w:rsidR="001E383C" w:rsidRPr="00B37D9F">
        <w:rPr>
          <w:rFonts w:ascii="Times New Roman" w:hAnsi="Times New Roman" w:cs="Times New Roman"/>
          <w:lang w:val="en-GB"/>
        </w:rPr>
        <w:t>International Council for Harmonisation of Technical Requirements for Pharmaceuticals for Human Use</w:t>
      </w:r>
      <w:r w:rsidRPr="00B37D9F">
        <w:rPr>
          <w:rFonts w:ascii="Times New Roman" w:hAnsi="Times New Roman" w:cs="Times New Roman"/>
          <w:lang w:val="en-GB"/>
        </w:rPr>
        <w:t xml:space="preserve"> (ICH), the principles of the Declaration of Helsinki and the local laws of the countries involved.</w:t>
      </w:r>
      <w:r w:rsidR="00B37D9F" w:rsidRPr="00B37D9F">
        <w:rPr>
          <w:rFonts w:ascii="Times New Roman" w:hAnsi="Times New Roman" w:cs="Times New Roman"/>
          <w:lang w:val="en-GB"/>
        </w:rPr>
        <w:t xml:space="preserve"> </w:t>
      </w:r>
      <w:r w:rsidRPr="00B37D9F">
        <w:rPr>
          <w:rFonts w:ascii="Times New Roman" w:hAnsi="Times New Roman" w:cs="Times New Roman"/>
          <w:lang w:val="en-GB"/>
        </w:rPr>
        <w:t>All data refer to head-to-head comparisons, except for the comparison between bimekizumab and ixekizumab, and between bimekizumab and risankizumab, which uses trials vs. placebo.</w:t>
      </w:r>
    </w:p>
    <w:p w14:paraId="125191D0" w14:textId="74D3BB27" w:rsidR="005B00BB" w:rsidRDefault="005B00BB" w:rsidP="00B37D9F">
      <w:pPr>
        <w:pStyle w:val="Prrafodelista"/>
        <w:numPr>
          <w:ilvl w:val="0"/>
          <w:numId w:val="12"/>
        </w:numPr>
        <w:spacing w:before="120"/>
        <w:ind w:left="1712" w:hanging="357"/>
        <w:contextualSpacing w:val="0"/>
        <w:rPr>
          <w:rFonts w:ascii="Times New Roman" w:hAnsi="Times New Roman" w:cs="Times New Roman"/>
          <w:lang w:val="en-GB"/>
        </w:rPr>
      </w:pPr>
      <w:r w:rsidRPr="004722FF">
        <w:rPr>
          <w:rFonts w:ascii="Times New Roman" w:hAnsi="Times New Roman" w:cs="Times New Roman"/>
          <w:lang w:val="en-GB"/>
        </w:rPr>
        <w:t>For the comparison of these drugs (bimekizumab versus ixekizumab, and bimekizumab versus risankizumab), an indirect comparison study was also used (Sbidian, 2021)</w:t>
      </w:r>
      <w:r w:rsidRPr="004722FF">
        <w:rPr>
          <w:rFonts w:ascii="Times New Roman" w:hAnsi="Times New Roman" w:cs="Times New Roman"/>
          <w:lang w:val="en-GB"/>
        </w:rPr>
        <w:fldChar w:fldCharType="begin"/>
      </w:r>
      <w:r w:rsidR="00EF06FB">
        <w:rPr>
          <w:rFonts w:ascii="Times New Roman" w:hAnsi="Times New Roman" w:cs="Times New Roman"/>
          <w:lang w:val="en-GB"/>
        </w:rPr>
        <w:instrText xml:space="preserve"> ADDIN ZOTERO_ITEM CSL_CITATION {"citationID":"31veTGvE","properties":{"formattedCitation":"\\super 72\\nosupersub{}","plainCitation":"72","noteIndex":0},"citationItems":[{"id":54044,"uris":["http://zotero.org/groups/337550/items/HJ5T68WI"],"uri":["http://zotero.org/groups/337550/items/HJ5T68WI"],"itemData":{"id":54044,"type":"article-journal","container-title":"Cochrane Database of Systematic Reviews","DOI":"10.1002/14651858.CD011535.pub4","ISSN":"1465-1858","issue":"4","language":"en","note":"publisher: John Wiley &amp; Sons, Ltd","source":"www.cochranelibrary.com","title":"Systemic pharmacological treatments for chronic plaque psoriasis: a network meta‐analysis","title-short":"Systemic pharmacological treatments for chronic plaque psoriasis","URL":"https://www.cochranelibrary.com/cdsr/doi/10.1002/14651858.CD011535.pub4/full","author":[{"family":"Sbidian","given":"Emilie"},{"family":"Chaimani","given":"Anna"},{"family":"Garcia-Doval","given":"Ignacio"},{"family":"Doney","given":"Liz"},{"family":"Dressler","given":"Corinna"},{"family":"Hua","given":"Camille"},{"family":"Hughes","given":"Carolyn"},{"family":"Naldi","given":"Luigi"},{"family":"Afach","given":"Sivem"},{"family":"Cleach","given":"Laurence Le"}],"accessed":{"date-parts":[["2021",4,20]]},"issued":{"date-parts":[["2021"]]}}}],"schema":"https://github.com/citation-style-language/schema/raw/master/csl-citation.json"} </w:instrText>
      </w:r>
      <w:r w:rsidRPr="004722FF">
        <w:rPr>
          <w:rFonts w:ascii="Times New Roman" w:hAnsi="Times New Roman" w:cs="Times New Roman"/>
          <w:lang w:val="en-GB"/>
        </w:rPr>
        <w:fldChar w:fldCharType="separate"/>
      </w:r>
      <w:r w:rsidR="00EF06FB" w:rsidRPr="007B4152">
        <w:rPr>
          <w:rFonts w:ascii="Times New Roman" w:hAnsi="Times New Roman" w:cs="Times New Roman"/>
          <w:szCs w:val="24"/>
          <w:vertAlign w:val="superscript"/>
          <w:lang w:val="en-US"/>
        </w:rPr>
        <w:t>72</w:t>
      </w:r>
      <w:r w:rsidRPr="004722FF">
        <w:rPr>
          <w:rFonts w:ascii="Times New Roman" w:hAnsi="Times New Roman" w:cs="Times New Roman"/>
          <w:lang w:val="en-GB"/>
        </w:rPr>
        <w:fldChar w:fldCharType="end"/>
      </w:r>
      <w:r w:rsidRPr="004722FF">
        <w:rPr>
          <w:rFonts w:ascii="Times New Roman" w:hAnsi="Times New Roman" w:cs="Times New Roman"/>
          <w:lang w:val="en-GB"/>
        </w:rPr>
        <w:t>, which includes 158 randomized clinical trials, published until September 2020, with 57,831 adult patients with moderate</w:t>
      </w:r>
      <w:r w:rsidR="004C74A0">
        <w:rPr>
          <w:rFonts w:ascii="Times New Roman" w:hAnsi="Times New Roman" w:cs="Times New Roman"/>
          <w:lang w:val="en-GB"/>
        </w:rPr>
        <w:t>-</w:t>
      </w:r>
      <w:r w:rsidRPr="004722FF">
        <w:rPr>
          <w:rFonts w:ascii="Times New Roman" w:hAnsi="Times New Roman" w:cs="Times New Roman"/>
          <w:lang w:val="en-GB"/>
        </w:rPr>
        <w:t>to</w:t>
      </w:r>
      <w:r w:rsidR="004C74A0">
        <w:rPr>
          <w:rFonts w:ascii="Times New Roman" w:hAnsi="Times New Roman" w:cs="Times New Roman"/>
          <w:lang w:val="en-GB"/>
        </w:rPr>
        <w:t>-</w:t>
      </w:r>
      <w:r w:rsidRPr="004722FF">
        <w:rPr>
          <w:rFonts w:ascii="Times New Roman" w:hAnsi="Times New Roman" w:cs="Times New Roman"/>
          <w:lang w:val="en-GB"/>
        </w:rPr>
        <w:t xml:space="preserve">severe psoriasis, and 20 drugs (systemic non-biological agents, small molecules and biological agents). 58% of the included trials were placebo controlled, while 30% were head-to-head comparisons, and 12% were active comparator and placebo studies. The main variables </w:t>
      </w:r>
      <w:r w:rsidR="00B37D9F" w:rsidRPr="004722FF">
        <w:rPr>
          <w:rFonts w:ascii="Times New Roman" w:hAnsi="Times New Roman" w:cs="Times New Roman"/>
          <w:lang w:val="en-GB"/>
        </w:rPr>
        <w:t>analysed</w:t>
      </w:r>
      <w:r w:rsidRPr="004722FF">
        <w:rPr>
          <w:rFonts w:ascii="Times New Roman" w:hAnsi="Times New Roman" w:cs="Times New Roman"/>
          <w:lang w:val="en-GB"/>
        </w:rPr>
        <w:t xml:space="preserve"> are PASI 90 and serious adverse events in the induction period (weeks 8 to 24). The secondary variables included in the analysis are PASI 75, the Physician's Global Assessment (PGA 0/1) and quality of life data (different instruments). The authors emphasize that one of the main limitations of any meta-analysis is that indirect comparisons are made. They add other limitations, especially in relation to the measures adopted by the researchers to perform double blindness in the included studies (30% of the studies were considered as having a high risk of implementation bias - "performance bias", and 22% with high risk related to double blindness - “blinding bias”). </w:t>
      </w:r>
      <w:r w:rsidRPr="00B37D9F">
        <w:rPr>
          <w:rFonts w:ascii="Times New Roman" w:hAnsi="Times New Roman" w:cs="Times New Roman"/>
          <w:lang w:val="en-GB"/>
        </w:rPr>
        <w:t>In addition, they comment on limitations in relation to how the missing data have been treated, and to a selective reporting of the results. The authors claim to have rigorously considered all the assumptions related to the validity of the comparisons, ensuring that the evidence presented is sufficiently consistent. Finally, it should be noted that this NMA only collects information from the phase 2 trial of bimekizumab (BE ABLE)</w:t>
      </w:r>
      <w:r w:rsidRPr="00B37D9F">
        <w:rPr>
          <w:rFonts w:ascii="Times New Roman" w:hAnsi="Times New Roman" w:cs="Times New Roman"/>
          <w:lang w:val="en-GB"/>
        </w:rPr>
        <w:fldChar w:fldCharType="begin"/>
      </w:r>
      <w:r w:rsidR="00EF06FB" w:rsidRPr="00B37D9F">
        <w:rPr>
          <w:rFonts w:ascii="Times New Roman" w:hAnsi="Times New Roman" w:cs="Times New Roman"/>
          <w:lang w:val="en-GB"/>
        </w:rPr>
        <w:instrText xml:space="preserve"> ADDIN ZOTERO_ITEM CSL_CITATION {"citationID":"esUYQ8ix","properties":{"formattedCitation":"\\super 73\\nosupersub{}","plainCitation":"73","noteIndex":0},"citationItems":[{"id":51118,"uris":["http://zotero.org/groups/337550/items/IZDFPNZ7"],"uri":["http://zotero.org/groups/337550/items/IZDFPNZ7"],"itemData":{"id":51118,"type":"article-journal","abstract":"Background\nDual neutralization of both interleukin 17A and 17F with the monoclonal antibody bimekizumab may have greater efficacy in psoriasis than neutralization of interleukin 17A alone.\nObjective\nTo provide longer-term efficacy and safety data for bimekizumab from a phase 2b extension study in patients with moderate to severe psoriasis (BE ABLE 2).\nMethods\nAfter the 12-week initial study (BE ABLE 1), patients who had a 90% improvement in Psoriasis Area and Severity Index (PASI 90) at week 12 received bimekizumab 64, 160, or 320 mg for an additional 48 weeks (60 weeks in total). The primary objective was safety.\nResults\nAcross all dose groups (N = 217), initial PASI 90 responders generally maintained high levels of efficacy through week 60: PASI 90, 80% to 100%; 100% improvement in PASI, 69% to 83%; Investigator's Global Assessment score 0 or 1, 78% to 100% (all nonresponder imputation). Incidence of serious treatment-emergent adverse events was 15/217 (6.9%). No cases of inflammatory bowel disease, major adverse cardiovascular events, or suicidal ideation or behavior were reported.\nLimitations\nLow numbers in the bimekizumab 64 mg group (n = 15). The majority of 60-week data reported here are primarily for the week 12 PASI 90 responders only.\nConclusion\nBimekizumab response rates were maintained through week 60. A substantial proportion of patients achieved complete skin clearance. Bimekizumab was generally well tolerated.","container-title":"Journal of the American Academy of Dermatology","DOI":"10.1016/j.jaad.2020.05.105","ISSN":"0190-9622","issue":"5","journalAbbreviation":"Journal of the American Academy of Dermatology","language":"en","page":"1367-1374","source":"ScienceDirect","title":"Bimekizumab for patients with moderate to severe plaque psoriasis: 60-week results from BE ABLE 2, a randomized, double-blinded, placebo-controlled, phase 2b extension study","title-short":"Bimekizumab for patients with moderate to severe plaque psoriasis","volume":"83","author":[{"family":"Blauvelt","given":"Andrew"},{"family":"Papp","given":"Kim A."},{"family":"Merola","given":"Joseph F."},{"family":"Gottlieb","given":"Alice B."},{"family":"Cross","given":"Nancy"},{"family":"Madden","given":"Cynthia"},{"family":"Wang","given":"Maggie"},{"family":"Cioffi","given":"Christopher"},{"family":"Griffiths","given":"Christopher E. M."}],"issued":{"date-parts":[["2020"]]}}}],"schema":"https://github.com/citation-style-language/schema/raw/master/csl-citation.json"} </w:instrText>
      </w:r>
      <w:r w:rsidRPr="00B37D9F">
        <w:rPr>
          <w:rFonts w:ascii="Times New Roman" w:hAnsi="Times New Roman" w:cs="Times New Roman"/>
          <w:lang w:val="en-GB"/>
        </w:rPr>
        <w:fldChar w:fldCharType="separate"/>
      </w:r>
      <w:r w:rsidR="00EF06FB" w:rsidRPr="00B37D9F">
        <w:rPr>
          <w:rFonts w:ascii="Times New Roman" w:hAnsi="Times New Roman" w:cs="Times New Roman"/>
          <w:szCs w:val="24"/>
          <w:vertAlign w:val="superscript"/>
        </w:rPr>
        <w:t>73</w:t>
      </w:r>
      <w:r w:rsidRPr="00B37D9F">
        <w:rPr>
          <w:rFonts w:ascii="Times New Roman" w:hAnsi="Times New Roman" w:cs="Times New Roman"/>
          <w:lang w:val="en-GB"/>
        </w:rPr>
        <w:fldChar w:fldCharType="end"/>
      </w:r>
      <w:r w:rsidRPr="00B37D9F">
        <w:rPr>
          <w:rFonts w:ascii="Times New Roman" w:hAnsi="Times New Roman" w:cs="Times New Roman"/>
          <w:lang w:val="en-GB"/>
        </w:rPr>
        <w:t>, versus information from all phase 3 trials of ixekizumab</w:t>
      </w:r>
      <w:r w:rsidRPr="00B37D9F">
        <w:rPr>
          <w:rFonts w:ascii="Times New Roman" w:hAnsi="Times New Roman" w:cs="Times New Roman"/>
          <w:lang w:val="en-GB"/>
        </w:rPr>
        <w:fldChar w:fldCharType="begin"/>
      </w:r>
      <w:r w:rsidR="00EF06FB" w:rsidRPr="00B37D9F">
        <w:rPr>
          <w:rFonts w:ascii="Times New Roman" w:hAnsi="Times New Roman" w:cs="Times New Roman"/>
          <w:lang w:val="en-GB"/>
        </w:rPr>
        <w:instrText xml:space="preserve"> ADDIN ZOTERO_ITEM CSL_CITATION {"citationID":"SgTRvd2U","properties":{"formattedCitation":"\\super 72\\nosupersub{}","plainCitation":"72","noteIndex":0},"citationItems":[{"id":54044,"uris":["http://zotero.org/groups/337550/items/HJ5T68WI"],"uri":["http://zotero.org/groups/337550/items/HJ5T68WI"],"itemData":{"id":54044,"type":"article-journal","container-title":"Cochrane Database of Systematic Reviews","DOI":"10.1002/14651858.CD011535.pub4","ISSN":"1465-1858","issue":"4","language":"en","note":"publisher: John Wiley &amp; Sons, Ltd","source":"www.cochranelibrary.com","title":"Systemic pharmacological treatments for chronic plaque psoriasis: a network meta‐analysis","title-short":"Systemic pharmacological treatments for chronic plaque psoriasis","URL":"https://www.cochranelibrary.com/cdsr/doi/10.1002/14651858.CD011535.pub4/full","author":[{"family":"Sbidian","given":"Emilie"},{"family":"Chaimani","given":"Anna"},{"family":"Garcia-Doval","given":"Ignacio"},{"family":"Doney","given":"Liz"},{"family":"Dressler","given":"Corinna"},{"family":"Hua","given":"Camille"},{"family":"Hughes","given":"Carolyn"},{"family":"Naldi","given":"Luigi"},{"family":"Afach","given":"Sivem"},{"family":"Cleach","given":"Laurence Le"}],"accessed":{"date-parts":[["2021",4,20]]},"issued":{"date-parts":[["2021"]]}}}],"schema":"https://github.com/citation-style-language/schema/raw/master/csl-citation.json"} </w:instrText>
      </w:r>
      <w:r w:rsidRPr="00B37D9F">
        <w:rPr>
          <w:rFonts w:ascii="Times New Roman" w:hAnsi="Times New Roman" w:cs="Times New Roman"/>
          <w:lang w:val="en-GB"/>
        </w:rPr>
        <w:fldChar w:fldCharType="separate"/>
      </w:r>
      <w:r w:rsidR="00EF06FB" w:rsidRPr="00B37D9F">
        <w:rPr>
          <w:rFonts w:ascii="Times New Roman" w:hAnsi="Times New Roman" w:cs="Times New Roman"/>
          <w:szCs w:val="24"/>
          <w:vertAlign w:val="superscript"/>
        </w:rPr>
        <w:t>72</w:t>
      </w:r>
      <w:r w:rsidRPr="00B37D9F">
        <w:rPr>
          <w:rFonts w:ascii="Times New Roman" w:hAnsi="Times New Roman" w:cs="Times New Roman"/>
          <w:lang w:val="en-GB"/>
        </w:rPr>
        <w:fldChar w:fldCharType="end"/>
      </w:r>
      <w:r w:rsidRPr="00B37D9F">
        <w:rPr>
          <w:rFonts w:ascii="Times New Roman" w:hAnsi="Times New Roman" w:cs="Times New Roman"/>
          <w:lang w:val="en-GB"/>
        </w:rPr>
        <w:t>.</w:t>
      </w:r>
    </w:p>
    <w:p w14:paraId="3B4068DE" w14:textId="400F2F79" w:rsidR="00240D80" w:rsidRPr="00240D80" w:rsidRDefault="00240D80" w:rsidP="00240D80">
      <w:pPr>
        <w:pStyle w:val="Prrafodelista"/>
        <w:numPr>
          <w:ilvl w:val="0"/>
          <w:numId w:val="12"/>
        </w:numPr>
        <w:spacing w:before="120"/>
        <w:rPr>
          <w:rFonts w:ascii="Times New Roman" w:hAnsi="Times New Roman" w:cs="Times New Roman"/>
          <w:lang w:val="en-GB"/>
        </w:rPr>
      </w:pPr>
      <w:r>
        <w:rPr>
          <w:rFonts w:ascii="Times New Roman" w:hAnsi="Times New Roman" w:cs="Times New Roman"/>
          <w:lang w:val="en-GB"/>
        </w:rPr>
        <w:t xml:space="preserve">The NMA published by </w:t>
      </w:r>
      <w:r w:rsidRPr="00240D80">
        <w:rPr>
          <w:rFonts w:ascii="Times New Roman" w:hAnsi="Times New Roman" w:cs="Times New Roman"/>
          <w:lang w:val="en-GB"/>
        </w:rPr>
        <w:t>Armstrong (2021)</w:t>
      </w:r>
      <w:r w:rsidRPr="00F35E7C">
        <w:rPr>
          <w:rFonts w:ascii="Times New Roman" w:hAnsi="Times New Roman" w:cs="Times New Roman"/>
        </w:rPr>
        <w:fldChar w:fldCharType="begin"/>
      </w:r>
      <w:r w:rsidRPr="007B4152">
        <w:rPr>
          <w:rFonts w:ascii="Times New Roman" w:hAnsi="Times New Roman" w:cs="Times New Roman"/>
          <w:lang w:val="en-US"/>
        </w:rPr>
        <w:instrText xml:space="preserve"> ADDIN ZOTERO_ITEM CSL_CITATION {"citationID":"ZiqdRDU0","properties":{"formattedCitation":"\\super 74\\nosupersub{}","plainCitation":"74","noteIndex":0},"citationItems":[{"id":56939,"uris":["http://zotero.org/groups/337550/items/DDPZGVBA"],"uri":["http://zotero.org/groups/337550/items/DDPZGVBA"],"itemData":{"id":56939,"type":"article-journal","abstract":"Bimekizumab is a monoclonal IgG1 antibody that selectively inhibits interleukin (IL)-17A\nand IL-17F. The objective was to perform a network meta-analysis (NMA) to assess the\nrelative short-term clinical efficacy of bimekizumab versus other approved treatments\nfor plaque psoriasis (PSO).","container-title":"Value in Health","DOI":"10.1016/j.jval.2021.04.074","ISSN":"1098-3015, 1524-4733","journalAbbreviation":"Value in Health","language":"English","note":"publisher: Elsevier","page":"S14","source":"www.valueinhealthjournal.com","title":"PBI3 Comparative Efficacy of Bimekizumab for the Treatment of Moderate to Severe Plaque Psoriasis: A Network Meta-Analysis","title-short":"PBI3 Comparative Efficacy of Bimekizumab for the Treatment of Moderate to Severe Plaque Psoriasis","volume":"24","author":[{"family":"Armstrong","given":"A."},{"family":"Reich","given":"K."},{"family":"Warren","given":"R. B."},{"family":"Taieb","given":"V."},{"family":"Fahrbach","given":"K."},{"family":"Kazmierska","given":"P."},{"family":"Betts","given":"M."},{"family":"Neupane","given":"B."},{"family":"Kiri","given":"S."},{"family":"Gordon","given":"K."}],"issued":{"date-parts":[["2021"]]}}}],"schema":"https://github.com/citation-style-language/schema/raw/master/csl-citation.json"} </w:instrText>
      </w:r>
      <w:r w:rsidRPr="00F35E7C">
        <w:rPr>
          <w:rFonts w:ascii="Times New Roman" w:hAnsi="Times New Roman" w:cs="Times New Roman"/>
        </w:rPr>
        <w:fldChar w:fldCharType="separate"/>
      </w:r>
      <w:r w:rsidRPr="007B4152">
        <w:rPr>
          <w:rFonts w:ascii="Times New Roman" w:hAnsi="Times New Roman" w:cs="Times New Roman"/>
          <w:szCs w:val="24"/>
          <w:vertAlign w:val="superscript"/>
          <w:lang w:val="en-US"/>
        </w:rPr>
        <w:t>74</w:t>
      </w:r>
      <w:r w:rsidRPr="00F35E7C">
        <w:rPr>
          <w:rFonts w:ascii="Times New Roman" w:hAnsi="Times New Roman" w:cs="Times New Roman"/>
        </w:rPr>
        <w:fldChar w:fldCharType="end"/>
      </w:r>
      <w:r>
        <w:rPr>
          <w:rFonts w:ascii="Times New Roman" w:hAnsi="Times New Roman" w:cs="Times New Roman"/>
          <w:lang w:val="en-GB"/>
        </w:rPr>
        <w:t xml:space="preserve"> i</w:t>
      </w:r>
      <w:r w:rsidRPr="00240D80">
        <w:rPr>
          <w:rFonts w:ascii="Times New Roman" w:hAnsi="Times New Roman" w:cs="Times New Roman"/>
          <w:lang w:val="en-GB"/>
        </w:rPr>
        <w:t>ncludes 85 studies and 23 comparators (systemic non-biologics, small molecules and biologics), published up to July 2020. The results of the phase 3/3b studies of bimekizumab, which had not yet been published, are included. The primary endpoint analysed was PASI at weeks 10-16. This is a communication to the ISPOR congress, therefore, there are not enough details in the abstract related to the limitations of the study.</w:t>
      </w:r>
    </w:p>
    <w:p w14:paraId="5E53861E" w14:textId="77777777" w:rsidR="00FF0F68" w:rsidRPr="004722FF" w:rsidRDefault="00FF0F68" w:rsidP="00FF0F68">
      <w:pPr>
        <w:spacing w:before="120" w:line="240" w:lineRule="auto"/>
        <w:jc w:val="left"/>
        <w:rPr>
          <w:rFonts w:ascii="Times New Roman" w:hAnsi="Times New Roman" w:cs="Times New Roman"/>
          <w:lang w:val="en-GB"/>
        </w:rPr>
      </w:pPr>
    </w:p>
    <w:p w14:paraId="454D1785" w14:textId="77777777" w:rsidR="00FF0F68" w:rsidRPr="004722FF" w:rsidRDefault="00FF0F68" w:rsidP="00FF0F68">
      <w:pPr>
        <w:spacing w:before="120" w:line="240" w:lineRule="auto"/>
        <w:jc w:val="left"/>
        <w:rPr>
          <w:rFonts w:ascii="Times New Roman" w:hAnsi="Times New Roman" w:cs="Times New Roman"/>
          <w:lang w:val="en-GB"/>
        </w:rPr>
      </w:pPr>
    </w:p>
    <w:p w14:paraId="398C355D" w14:textId="77777777" w:rsidR="00FF0F68" w:rsidRPr="004722FF" w:rsidRDefault="00FF0F68" w:rsidP="00FF0F68">
      <w:pPr>
        <w:spacing w:before="120" w:line="240" w:lineRule="auto"/>
        <w:jc w:val="left"/>
        <w:rPr>
          <w:rFonts w:ascii="Times New Roman" w:hAnsi="Times New Roman" w:cs="Times New Roman"/>
          <w:lang w:val="en-GB"/>
        </w:rPr>
      </w:pPr>
    </w:p>
    <w:p w14:paraId="52E807C7" w14:textId="77777777" w:rsidR="004127E3" w:rsidRPr="004722FF" w:rsidRDefault="004127E3" w:rsidP="00FF0F68">
      <w:pPr>
        <w:spacing w:before="120" w:line="240" w:lineRule="auto"/>
        <w:jc w:val="left"/>
        <w:rPr>
          <w:rFonts w:ascii="Times New Roman" w:hAnsi="Times New Roman" w:cs="Times New Roman"/>
          <w:lang w:val="en-GB"/>
        </w:rPr>
      </w:pPr>
    </w:p>
    <w:p w14:paraId="018E8906" w14:textId="77777777" w:rsidR="00FF0F68" w:rsidRPr="004722FF" w:rsidRDefault="00FF0F68" w:rsidP="00FF0F68">
      <w:pPr>
        <w:spacing w:before="120" w:line="240" w:lineRule="auto"/>
        <w:jc w:val="left"/>
        <w:rPr>
          <w:rFonts w:ascii="Times New Roman" w:hAnsi="Times New Roman" w:cs="Times New Roman"/>
          <w:lang w:val="en-GB"/>
        </w:rPr>
      </w:pPr>
    </w:p>
    <w:p w14:paraId="542B6373" w14:textId="40B4EC5A" w:rsidR="001D179C" w:rsidRPr="00240D80" w:rsidRDefault="00812B13" w:rsidP="00B406C9">
      <w:pPr>
        <w:pStyle w:val="Ttulo2"/>
        <w:numPr>
          <w:ilvl w:val="1"/>
          <w:numId w:val="1"/>
        </w:numPr>
        <w:spacing w:before="120" w:line="240" w:lineRule="auto"/>
        <w:ind w:left="993" w:firstLine="0"/>
        <w:rPr>
          <w:rFonts w:ascii="Times New Roman" w:hAnsi="Times New Roman" w:cs="Times New Roman"/>
          <w:b/>
          <w:bCs/>
          <w:smallCaps w:val="0"/>
          <w:color w:val="auto"/>
          <w:sz w:val="22"/>
          <w:szCs w:val="22"/>
          <w:lang w:val="en-GB"/>
        </w:rPr>
      </w:pPr>
      <w:bookmarkStart w:id="194" w:name="_Toc74645736"/>
      <w:bookmarkStart w:id="195" w:name="_Toc89351180"/>
      <w:r w:rsidRPr="00240D80">
        <w:rPr>
          <w:rFonts w:ascii="Times New Roman" w:hAnsi="Times New Roman" w:cs="Times New Roman"/>
          <w:b/>
          <w:bCs/>
          <w:smallCaps w:val="0"/>
          <w:color w:val="auto"/>
          <w:sz w:val="22"/>
          <w:szCs w:val="22"/>
          <w:lang w:val="en-GB"/>
        </w:rPr>
        <w:lastRenderedPageBreak/>
        <w:t xml:space="preserve">Expert consensus </w:t>
      </w:r>
      <w:r w:rsidR="00240D80">
        <w:rPr>
          <w:rFonts w:ascii="Times New Roman" w:hAnsi="Times New Roman" w:cs="Times New Roman"/>
          <w:b/>
          <w:bCs/>
          <w:smallCaps w:val="0"/>
          <w:color w:val="auto"/>
          <w:sz w:val="22"/>
          <w:szCs w:val="22"/>
          <w:lang w:val="en-GB"/>
        </w:rPr>
        <w:t>/</w:t>
      </w:r>
      <w:r w:rsidRPr="00240D80">
        <w:rPr>
          <w:rFonts w:ascii="Times New Roman" w:hAnsi="Times New Roman" w:cs="Times New Roman"/>
          <w:b/>
          <w:bCs/>
          <w:smallCaps w:val="0"/>
          <w:color w:val="auto"/>
          <w:sz w:val="22"/>
          <w:szCs w:val="22"/>
          <w:lang w:val="en-GB"/>
        </w:rPr>
        <w:t xml:space="preserve"> clinical practice guidelines</w:t>
      </w:r>
      <w:bookmarkEnd w:id="194"/>
      <w:bookmarkEnd w:id="195"/>
    </w:p>
    <w:p w14:paraId="1F931C6E" w14:textId="3B2E20FE" w:rsidR="00F21C04" w:rsidRPr="004722FF" w:rsidRDefault="00F21C04" w:rsidP="00240D80">
      <w:pPr>
        <w:pStyle w:val="Prrafodelista"/>
        <w:numPr>
          <w:ilvl w:val="0"/>
          <w:numId w:val="14"/>
        </w:numPr>
        <w:ind w:left="1843" w:hanging="357"/>
        <w:contextualSpacing w:val="0"/>
        <w:rPr>
          <w:rFonts w:ascii="Times New Roman" w:hAnsi="Times New Roman" w:cs="Times New Roman"/>
          <w:lang w:val="en-GB"/>
        </w:rPr>
      </w:pPr>
      <w:r w:rsidRPr="00240D80">
        <w:rPr>
          <w:rFonts w:ascii="Times New Roman" w:hAnsi="Times New Roman" w:cs="Times New Roman"/>
          <w:lang w:val="en-GB"/>
        </w:rPr>
        <w:t>Bimekizumab</w:t>
      </w:r>
      <w:r w:rsidRPr="004722FF">
        <w:rPr>
          <w:rFonts w:ascii="Times New Roman" w:hAnsi="Times New Roman" w:cs="Times New Roman"/>
          <w:lang w:val="en-GB"/>
        </w:rPr>
        <w:t xml:space="preserve"> does not appear in current clinical practice guidelines</w:t>
      </w:r>
      <w:r w:rsidR="004A0EFB">
        <w:rPr>
          <w:rFonts w:ascii="Times New Roman" w:hAnsi="Times New Roman" w:cs="Times New Roman"/>
          <w:lang w:val="en-GB"/>
        </w:rPr>
        <w:t xml:space="preserve"> (CPG)</w:t>
      </w:r>
      <w:r w:rsidRPr="004722FF">
        <w:rPr>
          <w:rFonts w:ascii="Times New Roman" w:hAnsi="Times New Roman" w:cs="Times New Roman"/>
          <w:lang w:val="en-GB"/>
        </w:rPr>
        <w:t xml:space="preserve">, as it </w:t>
      </w:r>
      <w:r w:rsidR="00EB55CC">
        <w:rPr>
          <w:rFonts w:ascii="Times New Roman" w:hAnsi="Times New Roman" w:cs="Times New Roman"/>
          <w:lang w:val="en-GB"/>
        </w:rPr>
        <w:t>has only recently received the marketing authorisation by the EMA</w:t>
      </w:r>
      <w:r w:rsidR="00EB55CC" w:rsidRPr="004C209F">
        <w:rPr>
          <w:rFonts w:ascii="Times New Roman" w:hAnsi="Times New Roman" w:cs="Times New Roman"/>
          <w:sz w:val="24"/>
          <w:szCs w:val="24"/>
          <w:lang w:val="en-GB"/>
        </w:rPr>
        <w:fldChar w:fldCharType="begin"/>
      </w:r>
      <w:r w:rsidR="00EB55CC">
        <w:rPr>
          <w:rFonts w:ascii="Times New Roman" w:hAnsi="Times New Roman" w:cs="Times New Roman"/>
          <w:sz w:val="24"/>
          <w:szCs w:val="24"/>
          <w:lang w:val="en-GB"/>
        </w:rPr>
        <w:instrText xml:space="preserve"> ADDIN ZOTERO_ITEM CSL_CITATION {"citationID":"xYs0RHUr","properties":{"formattedCitation":"\\super 75,76\\nosupersub{}","plainCitation":"75,76","noteIndex":0},"citationItems":[{"id":64266,"uris":["http://zotero.org/groups/337550/items/TMUFYJST"],"uri":["http://zotero.org/groups/337550/items/TMUFYJST"],"itemData":{"id":64266,"type":"article","title":"Bimzelx. Summary of Product Characteristics.","URL":"https://www.ema.europa.eu/en/documents/product-information/bimzelx-epar-product-information_en.pdf","author":[{"family":"European Medicines Agency (EMA)","given":""}],"issued":{"date-parts":[["2021"]]}}},{"id":64267,"uris":["http://zotero.org/groups/337550/items/NW82NX23"],"uri":["http://zotero.org/groups/337550/items/NW82NX23"],"itemData":{"id":64267,"type":"post-weblog","title":"Bimzelx. Authorisation details.","URL":"https://www.ema.europa.eu/en/medicines/human/EPAR/bimzelx","author":[{"family":"European Medicines Agency (EMA)","given":""}],"issued":{"date-parts":[["2021"]]}}}],"schema":"https://github.com/citation-style-language/schema/raw/master/csl-citation.json"} </w:instrText>
      </w:r>
      <w:r w:rsidR="00EB55CC" w:rsidRPr="004C209F">
        <w:rPr>
          <w:rFonts w:ascii="Times New Roman" w:hAnsi="Times New Roman" w:cs="Times New Roman"/>
          <w:sz w:val="24"/>
          <w:szCs w:val="24"/>
          <w:lang w:val="en-GB"/>
        </w:rPr>
        <w:fldChar w:fldCharType="separate"/>
      </w:r>
      <w:r w:rsidR="00EB55CC" w:rsidRPr="007B4152">
        <w:rPr>
          <w:rFonts w:ascii="Times New Roman" w:hAnsi="Times New Roman" w:cs="Times New Roman"/>
          <w:sz w:val="24"/>
          <w:szCs w:val="24"/>
          <w:vertAlign w:val="superscript"/>
          <w:lang w:val="en-US"/>
        </w:rPr>
        <w:t>75,76</w:t>
      </w:r>
      <w:r w:rsidR="00EB55CC" w:rsidRPr="004C209F">
        <w:rPr>
          <w:rFonts w:ascii="Times New Roman" w:hAnsi="Times New Roman" w:cs="Times New Roman"/>
          <w:sz w:val="24"/>
          <w:szCs w:val="24"/>
          <w:lang w:val="en-GB"/>
        </w:rPr>
        <w:fldChar w:fldCharType="end"/>
      </w:r>
      <w:r w:rsidR="001E2200" w:rsidRPr="004722FF">
        <w:rPr>
          <w:rFonts w:ascii="Times New Roman" w:hAnsi="Times New Roman" w:cs="Times New Roman"/>
          <w:lang w:val="en-GB"/>
        </w:rPr>
        <w:t xml:space="preserve">. </w:t>
      </w:r>
    </w:p>
    <w:p w14:paraId="69B66B3F" w14:textId="77777777" w:rsidR="00B201A7" w:rsidRPr="004722FF" w:rsidRDefault="00B201A7" w:rsidP="00240D80">
      <w:pPr>
        <w:pStyle w:val="Prrafodelista"/>
        <w:numPr>
          <w:ilvl w:val="0"/>
          <w:numId w:val="14"/>
        </w:numPr>
        <w:spacing w:before="120"/>
        <w:ind w:left="1843" w:hanging="357"/>
        <w:contextualSpacing w:val="0"/>
        <w:rPr>
          <w:rFonts w:ascii="Times New Roman" w:hAnsi="Times New Roman" w:cs="Times New Roman"/>
          <w:lang w:val="en-GB"/>
        </w:rPr>
      </w:pPr>
      <w:r w:rsidRPr="004722FF">
        <w:rPr>
          <w:rFonts w:ascii="Times New Roman" w:hAnsi="Times New Roman" w:cs="Times New Roman"/>
          <w:lang w:val="en-GB"/>
        </w:rPr>
        <w:t xml:space="preserve">Therefore, the inclusion of bimekizumab in the clinical practice guidelines may take a few years, so this section should be scored based, on the one hand, on your opinion on the possible incorporation of bimekizumab in future guidelines (given the current evidence) and, on the other, in recommendations or consensus of experts already available. </w:t>
      </w:r>
    </w:p>
    <w:p w14:paraId="163D2E13" w14:textId="00946EDC" w:rsidR="002F6DB7" w:rsidRPr="004722FF" w:rsidRDefault="002F6DB7" w:rsidP="00240D80">
      <w:pPr>
        <w:pStyle w:val="Prrafodelista"/>
        <w:numPr>
          <w:ilvl w:val="0"/>
          <w:numId w:val="14"/>
        </w:numPr>
        <w:spacing w:before="120"/>
        <w:ind w:left="1843" w:hanging="357"/>
        <w:contextualSpacing w:val="0"/>
        <w:rPr>
          <w:rFonts w:ascii="Times New Roman" w:hAnsi="Times New Roman" w:cs="Times New Roman"/>
          <w:sz w:val="24"/>
          <w:szCs w:val="24"/>
          <w:lang w:val="en-GB"/>
        </w:rPr>
      </w:pPr>
      <w:r w:rsidRPr="004722FF">
        <w:rPr>
          <w:rFonts w:ascii="Times New Roman" w:hAnsi="Times New Roman" w:cs="Times New Roman"/>
          <w:lang w:val="en-GB"/>
        </w:rPr>
        <w:t>Currently, in the American, European and Spanish clinical practice guidelines for moderate-</w:t>
      </w:r>
      <w:r w:rsidR="00EB55CC">
        <w:rPr>
          <w:rFonts w:ascii="Times New Roman" w:hAnsi="Times New Roman" w:cs="Times New Roman"/>
          <w:lang w:val="en-GB"/>
        </w:rPr>
        <w:t>to-</w:t>
      </w:r>
      <w:r w:rsidRPr="004722FF">
        <w:rPr>
          <w:rFonts w:ascii="Times New Roman" w:hAnsi="Times New Roman" w:cs="Times New Roman"/>
          <w:lang w:val="en-GB"/>
        </w:rPr>
        <w:t>severe psoriasis, adalimumab, ustekinumab and secukinumab are listed as first-line biologics, after the failure of conventional or topical systemic therapies</w:t>
      </w:r>
      <w:r w:rsidRPr="004722FF">
        <w:rPr>
          <w:rFonts w:ascii="Times New Roman" w:hAnsi="Times New Roman" w:cs="Times New Roman"/>
          <w:lang w:val="en-GB"/>
        </w:rPr>
        <w:fldChar w:fldCharType="begin"/>
      </w:r>
      <w:r w:rsidR="00F35E7C">
        <w:rPr>
          <w:rFonts w:ascii="Times New Roman" w:hAnsi="Times New Roman" w:cs="Times New Roman"/>
          <w:lang w:val="en-GB"/>
        </w:rPr>
        <w:instrText xml:space="preserve"> ADDIN ZOTERO_ITEM CSL_CITATION {"citationID":"X1Feuivw","properties":{"formattedCitation":"\\super 77\\uc0\\u8211{}81\\nosupersub{}","plainCitation":"77–81","noteIndex":0},"citationItems":[{"id":54241,"uris":["http://zotero.org/groups/337550/items/W97Q64DU"],"uri":["http://zotero.org/groups/337550/items/W97Q64DU"],"itemData":{"id":54241,"type":"article-journal","abstract":"&lt;p&gt;Psoriasis is a chronic, inflammatory multisystem disease that affects up to 3.2% of the US population. This guideline addresses important clinical questions that arise in psoriasis management and care, providing recommendations based on the available evidence. The treatment of psoriasis with biologic agents will be reviewed, emphasizing treatment recommendations and the role of the dermatologist in monitoring and educating patients regarding benefits as well as associated risks.&lt;/p&gt;","container-title":"Journal of the American Academy of Dermatology","DOI":"10.1016/j.jaad.2018.11.057","ISSN":"0190-9622, 1097-6787","issue":"4","journalAbbreviation":"Journal of the American Academy of Dermatology","language":"English","note":"publisher: Elsevier\nPMID: 30772098","page":"1029-1072","source":"www.jaad.org","title":"Joint AAD-NPF guidelines of care for the management and treatment of psoriasis with biologics","volume":"80","author":[{"family":"Menter","given":"Alan"},{"family":"Strober","given":"Bruce E."},{"family":"Kaplan","given":"Daniel H."},{"family":"Kivelevitch","given":"Dario"},{"family":"Prater","given":"Elizabeth Farley"},{"family":"Stoff","given":"Benjamin"},{"family":"Armstrong","given":"April W."},{"family":"Connor","given":"Cody"},{"family":"Cordoro","given":"Kelly M."},{"family":"Davis","given":"Dawn M. R."},{"family":"Elewski","given":"Boni E."},{"family":"Gelfand","given":"Joel M."},{"family":"Gordon","given":"Kenneth B."},{"family":"Gottlieb","given":"Alice B."},{"family":"Kavanaugh","given":"Arthur"},{"family":"Kiselica","given":"Matthew"},{"family":"Korman","given":"Neil J."},{"family":"Kroshinsky","given":"Daniela"},{"family":"Lebwohl","given":"Mark"},{"family":"Leonardi","given":"Craig L."},{"family":"Lichten","given":"Jason"},{"family":"Lim","given":"Henry W."},{"family":"Mehta","given":"Nehal N."},{"family":"Paller","given":"Amy S."},{"family":"Parra","given":"Sylvia L."},{"family":"Pathy","given":"Arun L."},{"family":"Rupani","given":"Reena N."},{"family":"Siegel","given":"Michael"},{"family":"Wong","given":"Emily B."},{"family":"Wu","given":"Jashin J."},{"family":"Hariharan","given":"Vidhya"},{"family":"Elmets","given":"Craig A."}],"issued":{"date-parts":[["2019"]]}}},{"id":54262,"uris":["http://zotero.org/groups/337550/items/99FZG447"],"uri":["http://zotero.org/groups/337550/items/99FZG447"],"itemData":{"id":54262,"type":"article-journal","container-title":"Journal of the European Academy of Dermatology and Venereology","DOI":"https://doi.org/10.1111/jdv.14454","ISSN":"1468-3083","issue":"12","language":"en","note":"_eprint: https://www.onlinelibrary.wiley.com/doi/pdf/10.1111/jdv.14454","page":"1951-1963","source":"Wiley Online Library","title":"European S3-Guideline on the systemic treatment of psoriasis vulgaris – Update Apremilast and Secukinumab – EDF in cooperation with EADV and IPC","volume":"31","author":[{"family":"Nast","given":"A."},{"family":"Spuls","given":"P. I."},{"family":"Kraaij","given":"G.","dropping-particle":"van der"},{"family":"Gisondi","given":"P."},{"family":"Paul","given":"C."},{"family":"Ormerod","given":"A. D."},{"family":"Saiag","given":"P."},{"family":"Smith","given":"C. H."},{"family":"Dauden","given":"E."},{"family":"Jong","given":"E. M.","dropping-particle":"de"},{"family":"Feist","given":"E."},{"family":"Jobling","given":"R."},{"family":"Maccarone","given":"M."},{"family":"Mrowietz","given":"U."},{"family":"Papp","given":"K. A."},{"family":"Reich","given":"K."},{"family":"Rosumeck","given":"S."},{"family":"Talme","given":"T."},{"family":"Thio","given":"H. B."},{"family":"Kerkhof","given":"P.","dropping-particle":"van de"},{"family":"Werner","given":"R. N."},{"family":"Dressler","given":"C."}],"issued":{"date-parts":[["2017"]]}}},{"id":53989,"uris":["http://zotero.org/groups/337550/items/ITGJKTNR"],"uri":["http://zotero.org/groups/337550/items/ITGJKTNR"],"itemData":{"id":53989,"type":"article-journal","abstract":"The German guideline for the treatment of psoriasis vulgaris was updated using GRADE methodology. The guideline is based on a systematic literature review completed on December 1, 2016, and on a formal consensus and approval process. The second part of this short version of the guideline covers the following special patient populations and treatment situations: tuberculosis screening before and during psoriasis treatment, choice of psoriasis treatment for individuals wishing to have children, as well as during pregnancy and breast-feeding, and patients with joint involvement and vaccinations. In addition, recommendations on the choice of treatment are presented for patients with the following comorbidities: hepatitis and other hepatic impairment, HIV, malignancies, neurological and psychiatric disorders, ischemic heart disease and congestive heart failure, diabetes mellitus, renal impairment and inflammatory bowel disease.","container-title":"Journal der Deutschen Dermatologischen Gesellschaft = Journal of the German Society of Dermatology: JDDG","DOI":"10.1111/ddg.13538","ISSN":"1610-0387","issue":"6","journalAbbreviation":"J Dtsch Dermatol Ges","language":"eng","note":"PMID: 29873906","page":"806-813","source":"PubMed","title":"S3 Guideline for the treatment of psoriasis vulgaris, update - Short version part 2 - Special patient populations and treatment situations","volume":"16","author":[{"family":"Nast","given":"Alexander"},{"family":"Amelunxen","given":"Lasse"},{"family":"Augustin","given":"Matthias"},{"family":"Boehncke","given":"Wolf-Henning"},{"family":"Dressler","given":"Corinna"},{"family":"Gaskins","given":"Matthew"},{"family":"Härle","given":"Peter"},{"family":"Hoffstadt","given":"Bernd"},{"family":"Klaus","given":"Joachim"},{"family":"Koza","given":"Joachim"},{"family":"Mrowietz","given":"Ulrich"},{"family":"Ockenfels","given":"Hans-Michael"},{"family":"Philipp","given":"Sandra"},{"family":"Reich","given":"Kristian"},{"family":"Rosenbach","given":"Thomas"},{"family":"Rzany","given":"Berthold"},{"family":"Schlaeger","given":"Martin"},{"family":"Schmid-Ott","given":"Gerhard"},{"family":"Sebastian","given":"Michael"},{"family":"Kiedrowski","given":"Ralph","non-dropping-particle":"von"},{"family":"Weberschock","given":"Tobias"}],"issued":{"date-parts":[["2018"]]}}},{"id":19097,"uris":["http://zotero.org/groups/337550/items/CGTPH9X3"],"uri":["http://zotero.org/groups/337550/items/CGTPH9X3"],"itemData":{"id":19097,"type":"article-journal","abstract":"Background  The relationship between psoriasis and associated diseases has drawn particular interest in recent years. To provide appropriate management of psoriasis from an early stage, it is necessary to include prompt diagnosis of concomitant disease and to prevent and treat any comorbidity found. Such an integrated approach also serves to ensure that the drugs used to treat associated diseases do not interfere with the management of psoriasis, and vice versa. Objective  To provide the dermatologist a guide focuses specifically on the diagnosis and management of the diseases most often found in patients with psoriasis. Methods  The selection of the diseases, and corresponding supporting research, to be included was based on a systematic review of the literature. The recommendations on diagnostic criteria are based on the main clinical practice guidelines for each of the diseases discussed as well as on the recommendations of a clinical expert advisory group. The information regarding the repercussions of psoriasis treatments on associated comorbid diseases was obtained from the summary of product characteristics of each drug. In turn, the statements concerning the impact of the associated diseases, and their treatment, on psoriasis are based on the review of the literature. Results  This guide is a precise, easy-to-use tool for systematizing the diagnosis of comorbidity in patients with psoriasis and facilitate decision making regarding referral and treatment of patients diagnosed with an associated disease. Conclusion  The application of this guide not only will benefit psoriasis patients’ health and quality of life but it will also optimize available resources.","container-title":"Journal of the European Academy of Dermatology and Venereology","DOI":"10.1111/jdv.12024","ISSN":"1468-3083","issue":"11","language":"en","page":"1387-1404","source":"Wiley Online Library","title":"Clinical practice guideline for an integrated approach to comorbidity in patients with psoriasis","volume":"27","author":[{"family":"Daudén","given":"E."},{"family":"Castañeda","given":"S."},{"family":"Suárez","given":"C."},{"family":"García-Campayo","given":"J."},{"family":"Blasco","given":"A.j."},{"family":"Aguilar","given":"M.d."},{"family":"Ferrándiz","given":"C."},{"family":"Puig","given":"L."},{"family":"Sánchez-Carazo","given":"J.l."},{"literal":"on behalf of the Working Group on Comorbidity in Psoriasis"}],"issued":{"date-parts":[["2013"]]}}},{"id":57049,"uris":["http://zotero.org/groups/337550/items/ZNXX99EQ"],"uri":["http://zotero.org/groups/337550/items/ZNXX99EQ"],"itemData":{"id":57049,"type":"article-journal","abstract":"Biologic therapy is a well-established strategy for managing moderate and severe psoriasis. Nevertheless, the high cost of such therapy, the relatively short span of clinical experience with biologics, and the abundance of literature now available on these agents have made evidence-based and consensus-based clinical guidelines necessary. The ideal goal of psoriasis treatment is to achieve complete or nearly complete clearing of lesions and to maintain it over time. Failing that ideal, the goal would be to reduce involvement to localized lesions that can be controlled with topical therapy. Although current evidence allows us to directly or indirectly compare the efficacy or risk of primary or secondary failure of available biologics based on objective outcomes, clinical trial findings cannot be directly translated to routine practice. As a result, the prescribing physician must tailor the treatment regimen to the individual patient. This update of the clinical practice guidelines issued by the Spanish Academy of Dermatology and Venereology (AEDV) on biologic therapy for psoriasis incorporates information from the most recent publications on this topic.","container-title":"Actas Dermo-Sifiliograficas","DOI":"10.1016/j.adengl.2013.04.013","ISSN":"1578-2190","issue":"8","journalAbbreviation":"Actas Dermosifiliogr","language":"eng","note":"PMID: 24018211","page":"694-709","source":"PubMed","title":"Spanish evidence-based guidelines on the treatment of psoriasis with biologic agents, 2013. Part 1: on efficacy and choice of treatment. Spanish Psoriasis Group of the Spanish Academy of Dermatology and Venereology","title-short":"Spanish evidence-based guidelines on the treatment of psoriasis with biologic agents, 2013. Part 1","volume":"104","author":[{"family":"Puig","given":"L."},{"family":"Carrascosa","given":"J. M."},{"family":"Carretero","given":"G."},{"family":"Cueva","given":"P.","non-dropping-particle":"de la"},{"family":"Lafuente-Urrez","given":"R. F."},{"family":"Belinchón","given":"I."},{"family":"Sánchez-Regaña","given":"M."},{"family":"García-Bustínduy","given":"M."},{"family":"Ribera","given":"M."},{"family":"Alsina","given":"M."},{"family":"Ferrándiz","given":"C."},{"family":"Fonseca","given":"E."},{"family":"García-Patos","given":"V."},{"family":"Herrera","given":"E."},{"family":"López-Estebaranz","given":"J. L."},{"family":"Marrón","given":"S. E."},{"family":"Moreno","given":"J. C."},{"family":"Notario","given":"J."},{"family":"Rivera","given":"R."},{"family":"Rodriguez-Cerdeira","given":"C."},{"family":"Romero","given":"A."},{"family":"Ruiz-Villaverde","given":"R."},{"family":"Taberner","given":"R."},{"family":"Vidal","given":"D."},{"literal":"Spanish Psoriasis Group of the Spanish Academy of Dermatology and Venereology"}],"issued":{"date-parts":[["2013"]]}}}],"schema":"https://github.com/citation-style-language/schema/raw/master/csl-citation.json"} </w:instrText>
      </w:r>
      <w:r w:rsidRPr="004722FF">
        <w:rPr>
          <w:rFonts w:ascii="Times New Roman" w:hAnsi="Times New Roman" w:cs="Times New Roman"/>
          <w:lang w:val="en-GB"/>
        </w:rPr>
        <w:fldChar w:fldCharType="separate"/>
      </w:r>
      <w:r w:rsidR="00F35E7C" w:rsidRPr="00F35E7C">
        <w:rPr>
          <w:rFonts w:ascii="Times New Roman" w:hAnsi="Times New Roman" w:cs="Times New Roman"/>
          <w:szCs w:val="24"/>
          <w:vertAlign w:val="superscript"/>
        </w:rPr>
        <w:t>77–81</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441D4EBE" w14:textId="1C3B7094" w:rsidR="002F6DB7" w:rsidRPr="004722FF" w:rsidRDefault="002F6DB7" w:rsidP="00240D80">
      <w:pPr>
        <w:pStyle w:val="Prrafodelista"/>
        <w:numPr>
          <w:ilvl w:val="0"/>
          <w:numId w:val="14"/>
        </w:numPr>
        <w:spacing w:before="120"/>
        <w:ind w:left="1843" w:hanging="357"/>
        <w:contextualSpacing w:val="0"/>
        <w:rPr>
          <w:rFonts w:ascii="Times New Roman" w:hAnsi="Times New Roman" w:cs="Times New Roman"/>
          <w:sz w:val="24"/>
          <w:szCs w:val="24"/>
          <w:lang w:val="en-GB"/>
        </w:rPr>
      </w:pPr>
      <w:r w:rsidRPr="004722FF">
        <w:rPr>
          <w:rFonts w:ascii="Times New Roman" w:hAnsi="Times New Roman" w:cs="Times New Roman"/>
          <w:lang w:val="en-GB"/>
        </w:rPr>
        <w:t>Ixekizumab and risankizumab are listed in the American clinical practice guidelines as first-line drugs within biologics, for the treatment of moderate-</w:t>
      </w:r>
      <w:r w:rsidR="00EB55CC">
        <w:rPr>
          <w:rFonts w:ascii="Times New Roman" w:hAnsi="Times New Roman" w:cs="Times New Roman"/>
          <w:lang w:val="en-GB"/>
        </w:rPr>
        <w:t>to-</w:t>
      </w:r>
      <w:r w:rsidRPr="004722FF">
        <w:rPr>
          <w:rFonts w:ascii="Times New Roman" w:hAnsi="Times New Roman" w:cs="Times New Roman"/>
          <w:lang w:val="en-GB"/>
        </w:rPr>
        <w:t>severe psoriasis in adult patients (recommendation levels: A for ixekizumab and B for risankizumab)</w:t>
      </w:r>
      <w:r w:rsidRPr="004722FF">
        <w:rPr>
          <w:rFonts w:ascii="Times New Roman" w:hAnsi="Times New Roman" w:cs="Times New Roman"/>
          <w:lang w:val="en-GB"/>
        </w:rPr>
        <w:fldChar w:fldCharType="begin"/>
      </w:r>
      <w:r w:rsidR="00F35E7C">
        <w:rPr>
          <w:rFonts w:ascii="Times New Roman" w:hAnsi="Times New Roman" w:cs="Times New Roman"/>
          <w:lang w:val="en-GB"/>
        </w:rPr>
        <w:instrText xml:space="preserve"> ADDIN ZOTERO_ITEM CSL_CITATION {"citationID":"zS0FP3E7","properties":{"formattedCitation":"\\super 77\\nosupersub{}","plainCitation":"77","noteIndex":0},"citationItems":[{"id":54241,"uris":["http://zotero.org/groups/337550/items/W97Q64DU"],"uri":["http://zotero.org/groups/337550/items/W97Q64DU"],"itemData":{"id":54241,"type":"article-journal","abstract":"&lt;p&gt;Psoriasis is a chronic, inflammatory multisystem disease that affects up to 3.2% of the US population. This guideline addresses important clinical questions that arise in psoriasis management and care, providing recommendations based on the available evidence. The treatment of psoriasis with biologic agents will be reviewed, emphasizing treatment recommendations and the role of the dermatologist in monitoring and educating patients regarding benefits as well as associated risks.&lt;/p&gt;","container-title":"Journal of the American Academy of Dermatology","DOI":"10.1016/j.jaad.2018.11.057","ISSN":"0190-9622, 1097-6787","issue":"4","journalAbbreviation":"Journal of the American Academy of Dermatology","language":"English","note":"publisher: Elsevier\nPMID: 30772098","page":"1029-1072","source":"www.jaad.org","title":"Joint AAD-NPF guidelines of care for the management and treatment of psoriasis with biologics","volume":"80","author":[{"family":"Menter","given":"Alan"},{"family":"Strober","given":"Bruce E."},{"family":"Kaplan","given":"Daniel H."},{"family":"Kivelevitch","given":"Dario"},{"family":"Prater","given":"Elizabeth Farley"},{"family":"Stoff","given":"Benjamin"},{"family":"Armstrong","given":"April W."},{"family":"Connor","given":"Cody"},{"family":"Cordoro","given":"Kelly M."},{"family":"Davis","given":"Dawn M. R."},{"family":"Elewski","given":"Boni E."},{"family":"Gelfand","given":"Joel M."},{"family":"Gordon","given":"Kenneth B."},{"family":"Gottlieb","given":"Alice B."},{"family":"Kavanaugh","given":"Arthur"},{"family":"Kiselica","given":"Matthew"},{"family":"Korman","given":"Neil J."},{"family":"Kroshinsky","given":"Daniela"},{"family":"Lebwohl","given":"Mark"},{"family":"Leonardi","given":"Craig L."},{"family":"Lichten","given":"Jason"},{"family":"Lim","given":"Henry W."},{"family":"Mehta","given":"Nehal N."},{"family":"Paller","given":"Amy S."},{"family":"Parra","given":"Sylvia L."},{"family":"Pathy","given":"Arun L."},{"family":"Rupani","given":"Reena N."},{"family":"Siegel","given":"Michael"},{"family":"Wong","given":"Emily B."},{"family":"Wu","given":"Jashin J."},{"family":"Hariharan","given":"Vidhya"},{"family":"Elmets","given":"Craig A."}],"issued":{"date-parts":[["2019"]]}}}],"schema":"https://github.com/citation-style-language/schema/raw/master/csl-citation.json"} </w:instrText>
      </w:r>
      <w:r w:rsidRPr="004722FF">
        <w:rPr>
          <w:rFonts w:ascii="Times New Roman" w:hAnsi="Times New Roman" w:cs="Times New Roman"/>
          <w:lang w:val="en-GB"/>
        </w:rPr>
        <w:fldChar w:fldCharType="separate"/>
      </w:r>
      <w:r w:rsidR="00F35E7C" w:rsidRPr="007B4152">
        <w:rPr>
          <w:rFonts w:ascii="Times New Roman" w:hAnsi="Times New Roman" w:cs="Times New Roman"/>
          <w:szCs w:val="24"/>
          <w:vertAlign w:val="superscript"/>
          <w:lang w:val="en-US"/>
        </w:rPr>
        <w:t>77</w:t>
      </w:r>
      <w:r w:rsidRPr="004722FF">
        <w:rPr>
          <w:rFonts w:ascii="Times New Roman" w:hAnsi="Times New Roman" w:cs="Times New Roman"/>
          <w:lang w:val="en-GB"/>
        </w:rPr>
        <w:fldChar w:fldCharType="end"/>
      </w:r>
      <w:r w:rsidRPr="004722FF">
        <w:rPr>
          <w:rFonts w:ascii="Times New Roman" w:hAnsi="Times New Roman" w:cs="Times New Roman"/>
          <w:lang w:val="en-GB"/>
        </w:rPr>
        <w:t>.</w:t>
      </w:r>
    </w:p>
    <w:p w14:paraId="33629F93" w14:textId="5571A2B1" w:rsidR="00F21C04" w:rsidRPr="004722FF" w:rsidRDefault="00F21C04" w:rsidP="00240D80">
      <w:pPr>
        <w:pStyle w:val="Prrafodelista"/>
        <w:numPr>
          <w:ilvl w:val="0"/>
          <w:numId w:val="14"/>
        </w:numPr>
        <w:spacing w:before="120"/>
        <w:ind w:left="1843" w:hanging="357"/>
        <w:contextualSpacing w:val="0"/>
        <w:rPr>
          <w:rFonts w:ascii="Times New Roman" w:hAnsi="Times New Roman" w:cs="Times New Roman"/>
          <w:lang w:val="en-GB"/>
        </w:rPr>
      </w:pPr>
      <w:r w:rsidRPr="004722FF">
        <w:rPr>
          <w:rFonts w:ascii="Times New Roman" w:hAnsi="Times New Roman" w:cs="Times New Roman"/>
          <w:lang w:val="en-GB"/>
        </w:rPr>
        <w:t>Beyond the CPGs, the consensus of experts may also be of interest. In this sense, articles based on expert opinions regarding the use of bimekizumab are still scarce. In one of them, Huang and Feldman (2021)</w:t>
      </w:r>
      <w:r w:rsidRPr="004722FF">
        <w:rPr>
          <w:rFonts w:ascii="Times New Roman" w:hAnsi="Times New Roman" w:cs="Times New Roman"/>
          <w:lang w:val="en-GB"/>
        </w:rPr>
        <w:fldChar w:fldCharType="begin"/>
      </w:r>
      <w:r w:rsidR="00F35E7C">
        <w:rPr>
          <w:rFonts w:ascii="Times New Roman" w:hAnsi="Times New Roman" w:cs="Times New Roman"/>
          <w:lang w:val="en-GB"/>
        </w:rPr>
        <w:instrText xml:space="preserve"> ADDIN ZOTERO_ITEM CSL_CITATION {"citationID":"JlsZFo08","properties":{"formattedCitation":"\\super 82\\nosupersub{}","plainCitation":"82","noteIndex":0},"citationItems":[{"id":57039,"uris":["http://zotero.org/groups/337550/items/AIIQ6RLG"],"uri":["http://zotero.org/groups/337550/items/AIIQ6RLG"],"itemData":{"id":57039,"type":"article-journal","container-title":"Lancet (London, England)","DOI":"10.1016/S0140-6736(21)00269-5","ISSN":"1474-547X","issue":"10273","journalAbbreviation":"Lancet","language":"eng","note":"PMID: 33549176","page":"446-448","source":"PubMed","title":"The next quantum leap forward? Bimekizumab for psoriasis","title-short":"The next quantum leap forward?","volume":"397","author":[{"family":"Huang","given":"William W."},{"family":"Feldman","given":"Steven R."}],"issued":{"date-parts":[["2021"]]}}}],"schema":"https://github.com/citation-style-language/schema/raw/master/csl-citation.json"} </w:instrText>
      </w:r>
      <w:r w:rsidRPr="004722FF">
        <w:rPr>
          <w:rFonts w:ascii="Times New Roman" w:hAnsi="Times New Roman" w:cs="Times New Roman"/>
          <w:lang w:val="en-GB"/>
        </w:rPr>
        <w:fldChar w:fldCharType="separate"/>
      </w:r>
      <w:r w:rsidR="00F35E7C" w:rsidRPr="007B4152">
        <w:rPr>
          <w:rFonts w:ascii="Times New Roman" w:hAnsi="Times New Roman" w:cs="Times New Roman"/>
          <w:szCs w:val="24"/>
          <w:vertAlign w:val="superscript"/>
          <w:lang w:val="en-US"/>
        </w:rPr>
        <w:t>82</w:t>
      </w:r>
      <w:r w:rsidRPr="004722FF">
        <w:rPr>
          <w:rFonts w:ascii="Times New Roman" w:hAnsi="Times New Roman" w:cs="Times New Roman"/>
          <w:lang w:val="en-GB"/>
        </w:rPr>
        <w:fldChar w:fldCharType="end"/>
      </w:r>
      <w:r w:rsidRPr="004722FF">
        <w:rPr>
          <w:rFonts w:ascii="Times New Roman" w:hAnsi="Times New Roman" w:cs="Times New Roman"/>
          <w:lang w:val="en-GB"/>
        </w:rPr>
        <w:t>, physicians from the department of dermatology at the Wake Forest School of Medicine, in North Carolina (USA), comment that bimekizumab is possibly the most effective drug currently available for the treatment of moderate-</w:t>
      </w:r>
      <w:r w:rsidR="000F264F">
        <w:rPr>
          <w:rFonts w:ascii="Times New Roman" w:hAnsi="Times New Roman" w:cs="Times New Roman"/>
          <w:lang w:val="en-GB"/>
        </w:rPr>
        <w:t>to-</w:t>
      </w:r>
      <w:r w:rsidRPr="004722FF">
        <w:rPr>
          <w:rFonts w:ascii="Times New Roman" w:hAnsi="Times New Roman" w:cs="Times New Roman"/>
          <w:lang w:val="en-GB"/>
        </w:rPr>
        <w:t xml:space="preserve">severe psoriasis and that it seems to be especially effective in patients with severe psoriasis whose previous treatments have failed, or in patients who opt for the fastest available treatment. The authors believe that the use of bimekizumab as a first-line treatment for patients with severe psoriasis would be conditioned by the way in which patients and clinicians perceive the adverse events produced by them (especially in relation to candidiasis). </w:t>
      </w:r>
      <w:r w:rsidR="000F264F">
        <w:rPr>
          <w:rFonts w:ascii="Times New Roman" w:hAnsi="Times New Roman" w:cs="Times New Roman"/>
          <w:lang w:val="en-GB"/>
        </w:rPr>
        <w:t xml:space="preserve">Furthermore, </w:t>
      </w:r>
      <w:r w:rsidRPr="004722FF">
        <w:rPr>
          <w:rFonts w:ascii="Times New Roman" w:hAnsi="Times New Roman" w:cs="Times New Roman"/>
          <w:lang w:val="en-GB"/>
        </w:rPr>
        <w:t>Gotesman and Vender (2021)</w:t>
      </w:r>
      <w:r w:rsidRPr="004722FF">
        <w:rPr>
          <w:rFonts w:ascii="Times New Roman" w:hAnsi="Times New Roman" w:cs="Times New Roman"/>
          <w:lang w:val="en-GB"/>
        </w:rPr>
        <w:fldChar w:fldCharType="begin"/>
      </w:r>
      <w:r w:rsidR="00F35E7C">
        <w:rPr>
          <w:rFonts w:ascii="Times New Roman" w:hAnsi="Times New Roman" w:cs="Times New Roman"/>
          <w:lang w:val="en-GB"/>
        </w:rPr>
        <w:instrText xml:space="preserve"> ADDIN ZOTERO_ITEM CSL_CITATION {"citationID":"gv9o0K7W","properties":{"formattedCitation":"\\super 83\\nosupersub{}","plainCitation":"83","noteIndex":0},"citationItems":[{"id":57035,"uris":["http://zotero.org/groups/337550/items/CFUD5VUE"],"uri":["http://zotero.org/groups/337550/items/CFUD5VUE"],"itemData":{"id":57035,"type":"article-journal","abstract":"Psoriasis is an immune-mediated inflammatory skin disease that affects about 2% of the population and is associated with many comorbidities. Recent advances have demonstrated interleukin (IL)-17 signaling plays a crucial role in the pathogenesis of psoriasis. Bimekizumab is a novel monoclonal antibody treatment for psoriasis that uses a single binding site to inhibit IL-17A and IL-17F. Here we will discuss the safety and efficacy of bimekizumab in the treatment of moderate-to-severe plaque psoriasis.","container-title":"Skin Therapy Letter","ISSN":"1201-5989","issue":"3","journalAbbreviation":"Skin Therapy Lett","language":"eng","note":"PMID: 34077151","page":"1-4","source":"PubMed","title":"Bimekizumab for Moderate-to-Severe Plaque Psoriasis","volume":"26","author":[{"family":"Gotesman","given":"Ryan D."},{"family":"Vender","given":"Ron"}],"issued":{"date-parts":[["2021"]]}}}],"schema":"https://github.com/citation-style-language/schema/raw/master/csl-citation.json"} </w:instrText>
      </w:r>
      <w:r w:rsidRPr="004722FF">
        <w:rPr>
          <w:rFonts w:ascii="Times New Roman" w:hAnsi="Times New Roman" w:cs="Times New Roman"/>
          <w:lang w:val="en-GB"/>
        </w:rPr>
        <w:fldChar w:fldCharType="separate"/>
      </w:r>
      <w:r w:rsidR="00F35E7C" w:rsidRPr="007B4152">
        <w:rPr>
          <w:rFonts w:ascii="Times New Roman" w:hAnsi="Times New Roman" w:cs="Times New Roman"/>
          <w:szCs w:val="24"/>
          <w:vertAlign w:val="superscript"/>
          <w:lang w:val="en-US"/>
        </w:rPr>
        <w:t>83</w:t>
      </w:r>
      <w:r w:rsidRPr="004722FF">
        <w:rPr>
          <w:rFonts w:ascii="Times New Roman" w:hAnsi="Times New Roman" w:cs="Times New Roman"/>
          <w:lang w:val="en-GB"/>
        </w:rPr>
        <w:fldChar w:fldCharType="end"/>
      </w:r>
      <w:r w:rsidRPr="004722FF">
        <w:rPr>
          <w:rFonts w:ascii="Times New Roman" w:hAnsi="Times New Roman" w:cs="Times New Roman"/>
          <w:lang w:val="en-GB"/>
        </w:rPr>
        <w:t>, from the Department of Dermatology at the University of Ottawa (Canada), are of the opinion that, due to the high efficacy of bimekizumab, at the time that long-term safety data are available, this drug is a good candidate to become a first-line treatment within biologics for moderate-</w:t>
      </w:r>
      <w:r w:rsidR="004C74A0">
        <w:rPr>
          <w:rFonts w:ascii="Times New Roman" w:hAnsi="Times New Roman" w:cs="Times New Roman"/>
          <w:lang w:val="en-GB"/>
        </w:rPr>
        <w:t>to-</w:t>
      </w:r>
      <w:r w:rsidRPr="004722FF">
        <w:rPr>
          <w:rFonts w:ascii="Times New Roman" w:hAnsi="Times New Roman" w:cs="Times New Roman"/>
          <w:lang w:val="en-GB"/>
        </w:rPr>
        <w:t xml:space="preserve">severe psoriasis. </w:t>
      </w:r>
    </w:p>
    <w:p w14:paraId="699087FE" w14:textId="77777777" w:rsidR="00B77F94" w:rsidRPr="004722FF" w:rsidRDefault="00B77F94" w:rsidP="0067048C">
      <w:pPr>
        <w:spacing w:before="120" w:line="240" w:lineRule="auto"/>
        <w:rPr>
          <w:rFonts w:ascii="Times New Roman" w:hAnsi="Times New Roman" w:cs="Times New Roman"/>
          <w:sz w:val="20"/>
          <w:szCs w:val="20"/>
          <w:lang w:val="en-GB"/>
        </w:rPr>
      </w:pPr>
    </w:p>
    <w:p w14:paraId="68BE00F3" w14:textId="77777777" w:rsidR="00493870" w:rsidRPr="004722FF" w:rsidRDefault="00493870">
      <w:pPr>
        <w:spacing w:before="0" w:after="160" w:line="259" w:lineRule="auto"/>
        <w:jc w:val="left"/>
        <w:rPr>
          <w:rFonts w:ascii="Times New Roman" w:hAnsi="Times New Roman" w:cs="Times New Roman"/>
          <w:spacing w:val="-10"/>
          <w:kern w:val="28"/>
          <w:sz w:val="56"/>
          <w:szCs w:val="56"/>
          <w:lang w:val="en-GB"/>
        </w:rPr>
      </w:pPr>
      <w:bookmarkStart w:id="196" w:name="_Toc66892278"/>
      <w:bookmarkStart w:id="197" w:name="_Toc69722662"/>
      <w:bookmarkStart w:id="198" w:name="_Toc70602513"/>
    </w:p>
    <w:p w14:paraId="5C3756C6" w14:textId="77777777" w:rsidR="004127E3" w:rsidRPr="004722FF" w:rsidRDefault="004127E3">
      <w:pPr>
        <w:spacing w:before="0" w:after="160" w:line="259" w:lineRule="auto"/>
        <w:jc w:val="left"/>
        <w:rPr>
          <w:rFonts w:ascii="Times New Roman" w:hAnsi="Times New Roman" w:cs="Times New Roman"/>
          <w:spacing w:val="-10"/>
          <w:kern w:val="28"/>
          <w:sz w:val="56"/>
          <w:szCs w:val="56"/>
          <w:lang w:val="en-GB"/>
        </w:rPr>
      </w:pPr>
    </w:p>
    <w:p w14:paraId="5208C45E" w14:textId="77777777" w:rsidR="00867E22" w:rsidRPr="004722FF" w:rsidRDefault="00867E22">
      <w:pPr>
        <w:spacing w:before="0" w:after="160" w:line="259" w:lineRule="auto"/>
        <w:jc w:val="left"/>
        <w:rPr>
          <w:rFonts w:ascii="Times New Roman" w:hAnsi="Times New Roman" w:cs="Times New Roman"/>
          <w:spacing w:val="-10"/>
          <w:kern w:val="28"/>
          <w:sz w:val="56"/>
          <w:szCs w:val="56"/>
          <w:lang w:val="en-GB"/>
        </w:rPr>
      </w:pPr>
    </w:p>
    <w:p w14:paraId="35622D34" w14:textId="11DEFC15" w:rsidR="00C311CA" w:rsidRPr="007B4152" w:rsidRDefault="004B3EDE" w:rsidP="00D83722">
      <w:pPr>
        <w:pStyle w:val="Ttulo1"/>
        <w:ind w:left="851"/>
        <w:rPr>
          <w:rFonts w:ascii="Times New Roman" w:hAnsi="Times New Roman" w:cs="Times New Roman"/>
          <w:b/>
          <w:bCs/>
          <w:color w:val="auto"/>
          <w:sz w:val="28"/>
          <w:szCs w:val="28"/>
          <w:lang w:val="es-ES_tradnl"/>
        </w:rPr>
      </w:pPr>
      <w:bookmarkStart w:id="199" w:name="_Toc89351181"/>
      <w:bookmarkEnd w:id="196"/>
      <w:bookmarkEnd w:id="197"/>
      <w:bookmarkEnd w:id="198"/>
      <w:r w:rsidRPr="007B4152">
        <w:rPr>
          <w:rFonts w:ascii="Times New Roman" w:hAnsi="Times New Roman" w:cs="Times New Roman"/>
          <w:b/>
          <w:bCs/>
          <w:color w:val="auto"/>
          <w:sz w:val="28"/>
          <w:szCs w:val="28"/>
          <w:lang w:val="es-ES_tradnl"/>
        </w:rPr>
        <w:lastRenderedPageBreak/>
        <w:t>References</w:t>
      </w:r>
      <w:bookmarkEnd w:id="199"/>
    </w:p>
    <w:bookmarkStart w:id="200" w:name="_Hlk66878235"/>
    <w:p w14:paraId="70E39D4A" w14:textId="77777777" w:rsidR="004B5573" w:rsidRPr="007B4152" w:rsidRDefault="00B51739"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lang w:val="en-GB"/>
        </w:rPr>
        <w:fldChar w:fldCharType="begin"/>
      </w:r>
      <w:r w:rsidR="004B5573" w:rsidRPr="007B4152">
        <w:rPr>
          <w:rFonts w:ascii="Times New Roman" w:hAnsi="Times New Roman" w:cs="Times New Roman"/>
          <w:lang w:val="es-ES_tradnl"/>
        </w:rPr>
        <w:instrText xml:space="preserve"> ADDIN ZOTERO_BIBL {"uncited":[],"omitted":[],"custom":[]} CSL_BIBLIOGRAPHY </w:instrText>
      </w:r>
      <w:r w:rsidRPr="004B5573">
        <w:rPr>
          <w:rFonts w:ascii="Times New Roman" w:hAnsi="Times New Roman" w:cs="Times New Roman"/>
          <w:lang w:val="en-GB"/>
        </w:rPr>
        <w:fldChar w:fldCharType="separate"/>
      </w:r>
      <w:r w:rsidR="004B5573" w:rsidRPr="004B5573">
        <w:rPr>
          <w:rFonts w:ascii="Times New Roman" w:hAnsi="Times New Roman" w:cs="Times New Roman"/>
        </w:rPr>
        <w:t>1.</w:t>
      </w:r>
      <w:r w:rsidR="004B5573" w:rsidRPr="004B5573">
        <w:rPr>
          <w:rFonts w:ascii="Times New Roman" w:hAnsi="Times New Roman" w:cs="Times New Roman"/>
        </w:rPr>
        <w:tab/>
        <w:t xml:space="preserve">Luelmo J, Gratacos J, Moreno Martínez-Losa M, Ribera M, Romaní J, Calvet J, et al. </w:t>
      </w:r>
      <w:r w:rsidR="004B5573" w:rsidRPr="007B4152">
        <w:rPr>
          <w:rFonts w:ascii="Times New Roman" w:hAnsi="Times New Roman" w:cs="Times New Roman"/>
          <w:lang w:val="en-US"/>
        </w:rPr>
        <w:t>Multidisciplinary Psoriasis and Psoriactic Arthritis Unit: Report of 4 years’ Experience. Actas Dermo-Sifiliográficas Engl Ed. 2014;105(4):371-7, doi: 10.1016/j.adengl.2013.10.010.</w:t>
      </w:r>
    </w:p>
    <w:p w14:paraId="67161CF0"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2.</w:t>
      </w:r>
      <w:r w:rsidRPr="007B4152">
        <w:rPr>
          <w:rFonts w:ascii="Times New Roman" w:hAnsi="Times New Roman" w:cs="Times New Roman"/>
          <w:lang w:val="en-US"/>
        </w:rPr>
        <w:tab/>
        <w:t xml:space="preserve">Ferrándiz C, Carrascosa JM, Toro M. Prevalence of psoriasis in Spain in the age of biologics. </w:t>
      </w:r>
      <w:r w:rsidRPr="004B5573">
        <w:rPr>
          <w:rFonts w:ascii="Times New Roman" w:hAnsi="Times New Roman" w:cs="Times New Roman"/>
        </w:rPr>
        <w:t>Actas Dermo-Sifiliográficas. 2014;105(5):504-9, doi: 10.1016/j.ad.2013.12.008.</w:t>
      </w:r>
    </w:p>
    <w:p w14:paraId="5661032B"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3.</w:t>
      </w:r>
      <w:r w:rsidRPr="004B5573">
        <w:rPr>
          <w:rFonts w:ascii="Times New Roman" w:hAnsi="Times New Roman" w:cs="Times New Roman"/>
        </w:rPr>
        <w:tab/>
        <w:t xml:space="preserve">Carrascosa J, Pujol R, Daudén E, Hernanz-Hermosa J, Bordas X, Smandia J, et al. </w:t>
      </w:r>
      <w:r w:rsidRPr="007B4152">
        <w:rPr>
          <w:rFonts w:ascii="Times New Roman" w:hAnsi="Times New Roman" w:cs="Times New Roman"/>
          <w:lang w:val="en-US"/>
        </w:rPr>
        <w:t>A prospective evaluation of the cost of psoriasis in Spain (EPIDERMA project: Phase II). J Eur Acad Dermatol Venereol. 2006;20(7):840-5, doi: 10.1111/j.1468-3083.2006.01659.x.</w:t>
      </w:r>
    </w:p>
    <w:p w14:paraId="62C37C9C"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w:t>
      </w:r>
      <w:r w:rsidRPr="007B4152">
        <w:rPr>
          <w:rFonts w:ascii="Times New Roman" w:hAnsi="Times New Roman" w:cs="Times New Roman"/>
          <w:lang w:val="en-US"/>
        </w:rPr>
        <w:tab/>
        <w:t>Griffiths CEM, Armstrong AW, Gudjonsson JE, Barker JNWN. Psoriasis. The Lancet. 2021;397(10281):1301-15, doi: 10.1016/S0140-6736(20)32549-6.</w:t>
      </w:r>
    </w:p>
    <w:p w14:paraId="00904D69"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w:t>
      </w:r>
      <w:r w:rsidRPr="007B4152">
        <w:rPr>
          <w:rFonts w:ascii="Times New Roman" w:hAnsi="Times New Roman" w:cs="Times New Roman"/>
          <w:lang w:val="en-US"/>
        </w:rPr>
        <w:tab/>
        <w:t>Abuabara K, Azfar RS, Shin DB, Neimann AL, Troxel AB, Gelfand JM. Cause-specific mortality in patients with severe psoriasis: a population-based cohort study in the U.K. Br J Dermatol. 2010;163(3):586-92, doi: 10.1111/j.1365-2133.2010.09941.x.</w:t>
      </w:r>
    </w:p>
    <w:p w14:paraId="3AF6555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6.</w:t>
      </w:r>
      <w:r w:rsidRPr="007B4152">
        <w:rPr>
          <w:rFonts w:ascii="Times New Roman" w:hAnsi="Times New Roman" w:cs="Times New Roman"/>
          <w:lang w:val="en-US"/>
        </w:rPr>
        <w:tab/>
        <w:t>Gelfand JM, Troxel AB, Lewis JD, Kurd SK, Shin DB, Wang X, et al. The risk of mortality in patients with psoriasis: results from a population-based study. Arch Dermatol. 2007;143(12):1493-9, doi: 10.1001/archderm.143.12.1493.</w:t>
      </w:r>
    </w:p>
    <w:p w14:paraId="1735AEA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w:t>
      </w:r>
      <w:r w:rsidRPr="007B4152">
        <w:rPr>
          <w:rFonts w:ascii="Times New Roman" w:hAnsi="Times New Roman" w:cs="Times New Roman"/>
          <w:lang w:val="en-US"/>
        </w:rPr>
        <w:tab/>
        <w:t>Dhana A, Yen H, Yen H, Cho E. All-cause and cause-specific mortality in psoriasis: A systematic review and meta-analysis. J Am Acad Dermatol. 2019;80(5):1332-43, doi: 10.1016/j.jaad.2018.12.037.</w:t>
      </w:r>
    </w:p>
    <w:p w14:paraId="017AD248"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8.</w:t>
      </w:r>
      <w:r w:rsidRPr="007B4152">
        <w:rPr>
          <w:rFonts w:ascii="Times New Roman" w:hAnsi="Times New Roman" w:cs="Times New Roman"/>
          <w:lang w:val="en-US"/>
        </w:rPr>
        <w:tab/>
        <w:t>Dubertret L, Mrowietz U, Ranki A, van de Kerkhof PCM, Chimenti S, Lotti T, et al. European patient perspectives on the impact of psoriasis: the EUROPSO patient membership survey. Br J Dermatol. 2006;155(4):729-36, doi: 10.1111/j.1365-2133.2006.07405.x.</w:t>
      </w:r>
    </w:p>
    <w:p w14:paraId="5FE1C6C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9.</w:t>
      </w:r>
      <w:r w:rsidRPr="007B4152">
        <w:rPr>
          <w:rFonts w:ascii="Times New Roman" w:hAnsi="Times New Roman" w:cs="Times New Roman"/>
          <w:lang w:val="en-US"/>
        </w:rPr>
        <w:tab/>
        <w:t>Lebwohl MG, Bachelez H, Barker J, Girolomoni G, Kavanaugh A, Langley RG, et al. Patient perspectives in the management of psoriasis: Results from the population-based Multinational Assessment of Psoriasis and Psoriatic Arthritis Survey. J Am Acad Dermatol. 2014;70(5):871-881.e30, doi: 10.1016/j.jaad.2013.12.018.</w:t>
      </w:r>
    </w:p>
    <w:p w14:paraId="7394C4F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10.</w:t>
      </w:r>
      <w:r w:rsidRPr="007B4152">
        <w:rPr>
          <w:rFonts w:ascii="Times New Roman" w:hAnsi="Times New Roman" w:cs="Times New Roman"/>
          <w:lang w:val="en-US"/>
        </w:rPr>
        <w:tab/>
        <w:t>Sanchez-Carazo JL, López-Estebaranz JL, Guisado C. Comorbidities and health-related quality of life in Spanish patients with moderate to severe psoriasis: A cross-sectional study (Arizona study). J Dermatol. 2014;41(8):673-8, doi: 10.1111/1346-8138.12465.</w:t>
      </w:r>
    </w:p>
    <w:p w14:paraId="2D5463B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11.</w:t>
      </w:r>
      <w:r w:rsidRPr="007B4152">
        <w:rPr>
          <w:rFonts w:ascii="Times New Roman" w:hAnsi="Times New Roman" w:cs="Times New Roman"/>
          <w:lang w:val="en-US"/>
        </w:rPr>
        <w:tab/>
        <w:t>Gordon KB, Armstrong AW, Han C, Foley P, Song M, Wasfi Y, et al. Anxiety and depression in patients with moderate-to-severe psoriasis and comparison of change from baseline after treatment with guselkumab vs. adalimumab: results from the Phase 3 VOYAGE 2 study. J Eur Acad Dermatol Venereol JEADV. 2018;32(11):1940-9, doi: 10.1111/jdv.15012.</w:t>
      </w:r>
    </w:p>
    <w:p w14:paraId="19830BD3"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12.</w:t>
      </w:r>
      <w:r w:rsidRPr="007B4152">
        <w:rPr>
          <w:rFonts w:ascii="Times New Roman" w:hAnsi="Times New Roman" w:cs="Times New Roman"/>
          <w:lang w:val="en-US"/>
        </w:rPr>
        <w:tab/>
        <w:t>Armstrong A, Jarvis S, Boehncke W-H, Rajagopalan M, Fernández-Peñas P, Romiti R, et al. Patient perceptions of clear/almost clear skin in moderate-to-severe plaque psoriasis: results of the Clear About Psoriasis worldwide survey. J Eur Acad Dermatol Venereol JEADV. 2018;32(12):2200-7, doi: 10.1111/jdv.15065.</w:t>
      </w:r>
    </w:p>
    <w:p w14:paraId="5369600A"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lastRenderedPageBreak/>
        <w:t>13.</w:t>
      </w:r>
      <w:r w:rsidRPr="007B4152">
        <w:rPr>
          <w:rFonts w:ascii="Times New Roman" w:hAnsi="Times New Roman" w:cs="Times New Roman"/>
          <w:lang w:val="en-US"/>
        </w:rPr>
        <w:tab/>
        <w:t xml:space="preserve">Extending psychosocial assessment of patients with psoriasis in the UK, using a self‐rated, web‐based survey - Anstey - 2012 - Clinical and Experimental Dermatology - Wiley Online Library. </w:t>
      </w:r>
      <w:r w:rsidRPr="004B5573">
        <w:rPr>
          <w:rFonts w:ascii="Times New Roman" w:hAnsi="Times New Roman" w:cs="Times New Roman"/>
        </w:rPr>
        <w:t>Disponible en: https://onlinelibrary.wiley.com/doi/abs/10.1111/j.1365-2230.2012.04457.x.</w:t>
      </w:r>
    </w:p>
    <w:p w14:paraId="0C9636E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14.</w:t>
      </w:r>
      <w:r w:rsidRPr="007B4152">
        <w:rPr>
          <w:rFonts w:ascii="Times New Roman" w:hAnsi="Times New Roman" w:cs="Times New Roman"/>
          <w:lang w:val="en-US"/>
        </w:rPr>
        <w:tab/>
        <w:t>Armstrong AW, Schupp C, Wu J, Bebo B. Quality of life and work productivity impairment among psoriasis patients: findings from the National Psoriasis Foundation survey data 2003-2011. PloS One. 2012;7(12):e52935, doi: 10.1371/journal.pone.0052935.</w:t>
      </w:r>
    </w:p>
    <w:p w14:paraId="79C5ED06"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15.</w:t>
      </w:r>
      <w:r w:rsidRPr="007B4152">
        <w:rPr>
          <w:rFonts w:ascii="Times New Roman" w:hAnsi="Times New Roman" w:cs="Times New Roman"/>
          <w:lang w:val="en-US"/>
        </w:rPr>
        <w:tab/>
        <w:t xml:space="preserve">Gisondi P, Sala F, Alessandrini F, Avesani V, Zoccatelli G, Beltramello A, et al. Mild cognitive impairment in patients with moderate to severe chronic plaque psoriasis. </w:t>
      </w:r>
      <w:r w:rsidRPr="004B5573">
        <w:rPr>
          <w:rFonts w:ascii="Times New Roman" w:hAnsi="Times New Roman" w:cs="Times New Roman"/>
        </w:rPr>
        <w:t>Dermatol Basel Switz. 2014;228(1):78-85, doi: 10.1159/000357220.</w:t>
      </w:r>
    </w:p>
    <w:p w14:paraId="3922F199"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16.</w:t>
      </w:r>
      <w:r w:rsidRPr="004B5573">
        <w:rPr>
          <w:rFonts w:ascii="Times New Roman" w:hAnsi="Times New Roman" w:cs="Times New Roman"/>
        </w:rPr>
        <w:tab/>
        <w:t>López-García E, Banegas JR, Graciani Pérez-Regadera A, Luis Gutiérrez-Fisac J, Alonso J, Rodríguez-Artalejo F. Valores de referencia de la versión española del Cuestionario de Salud SF-36 en población adulta de más de 60 años. Med Clínica. 2003;120(15):568-73.</w:t>
      </w:r>
    </w:p>
    <w:p w14:paraId="0C9B3C26"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17.</w:t>
      </w:r>
      <w:r w:rsidRPr="004B5573">
        <w:rPr>
          <w:rFonts w:ascii="Times New Roman" w:hAnsi="Times New Roman" w:cs="Times New Roman"/>
        </w:rPr>
        <w:tab/>
        <w:t xml:space="preserve">Burgos-Pol R, Martínez-Sesmero JM, Ventura-Cerdá JM, Elías I, Caloto MT, Casado MÁ. </w:t>
      </w:r>
      <w:r w:rsidRPr="007B4152">
        <w:rPr>
          <w:rFonts w:ascii="Times New Roman" w:hAnsi="Times New Roman" w:cs="Times New Roman"/>
          <w:lang w:val="en-US"/>
        </w:rPr>
        <w:t xml:space="preserve">The Cost of Psoriasis and Psoriatic Arthritis in 5 European Countries: A Systematic Review. </w:t>
      </w:r>
      <w:r w:rsidRPr="004B5573">
        <w:rPr>
          <w:rFonts w:ascii="Times New Roman" w:hAnsi="Times New Roman" w:cs="Times New Roman"/>
        </w:rPr>
        <w:t>Actas Dermo-Sifiliográficas Engl Ed. 2016;107(7):577-90, doi: 10.1016/j.adengl.2016.04.001.</w:t>
      </w:r>
    </w:p>
    <w:p w14:paraId="3A5F2ECF"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18.</w:t>
      </w:r>
      <w:r w:rsidRPr="004B5573">
        <w:rPr>
          <w:rFonts w:ascii="Times New Roman" w:hAnsi="Times New Roman" w:cs="Times New Roman"/>
        </w:rPr>
        <w:tab/>
        <w:t xml:space="preserve">Vanderpuye-Orgle J, Zhao Y, Lu J, Shrestha A, Sexton A, Seabury S, et al. </w:t>
      </w:r>
      <w:r w:rsidRPr="007B4152">
        <w:rPr>
          <w:rFonts w:ascii="Times New Roman" w:hAnsi="Times New Roman" w:cs="Times New Roman"/>
          <w:lang w:val="en-US"/>
        </w:rPr>
        <w:t>Evaluating the economic burden of psoriasis in the United States. J Am Acad Dermatol. 2015;72(6):961-967.e5, doi: 10.1016/j.jaad.2015.02.1099.</w:t>
      </w:r>
    </w:p>
    <w:p w14:paraId="70938D18"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19.</w:t>
      </w:r>
      <w:r w:rsidRPr="007B4152">
        <w:rPr>
          <w:rFonts w:ascii="Times New Roman" w:hAnsi="Times New Roman" w:cs="Times New Roman"/>
          <w:lang w:val="en-US"/>
        </w:rPr>
        <w:tab/>
        <w:t xml:space="preserve">Brezinski EA, Dhillon JS, Armstrong AW. Economic Burden of Psoriasis in the United States: A Systematic Review. </w:t>
      </w:r>
      <w:r w:rsidRPr="004B5573">
        <w:rPr>
          <w:rFonts w:ascii="Times New Roman" w:hAnsi="Times New Roman" w:cs="Times New Roman"/>
        </w:rPr>
        <w:t>JAMA Dermatol. 2015;151(6):651-8, doi: 10.1001/jamadermatol.2014.3593.</w:t>
      </w:r>
    </w:p>
    <w:p w14:paraId="6798C003"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20.</w:t>
      </w:r>
      <w:r w:rsidRPr="004B5573">
        <w:rPr>
          <w:rFonts w:ascii="Times New Roman" w:hAnsi="Times New Roman" w:cs="Times New Roman"/>
        </w:rPr>
        <w:tab/>
        <w:t>Puig L, Ferrándiz C, Pujol RM, Vela E, Albertí-Casas C, Comellas M, et al. Carga de la psoriasis en Cataluña: datos epidemiológicos, comorbilidades asociadas, uso de recursos sanitarios e incapacidad laboral. Actas Dermo-Sifiliográficas. 2021;112(5):425-33, doi: 10.1016/j.ad.2020.11.017.</w:t>
      </w:r>
    </w:p>
    <w:p w14:paraId="6A0B1B5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21.</w:t>
      </w:r>
      <w:r w:rsidRPr="004B5573">
        <w:rPr>
          <w:rFonts w:ascii="Times New Roman" w:hAnsi="Times New Roman" w:cs="Times New Roman"/>
        </w:rPr>
        <w:tab/>
        <w:t xml:space="preserve">Puig L, van de Kerkhof PCM, Reich K, Bachelez H, Barker J, Girolomoni G, et al. </w:t>
      </w:r>
      <w:r w:rsidRPr="007B4152">
        <w:rPr>
          <w:rFonts w:ascii="Times New Roman" w:hAnsi="Times New Roman" w:cs="Times New Roman"/>
          <w:lang w:val="en-US"/>
        </w:rPr>
        <w:t>A European subset analysis from the population‐based Multinational Assessment of Psoriasis and Psoriatic Arthritis shows country‐specific features: results from psoriasis patients in Spain. J Eur Acad Dermatol Venereol. 2017;31(7):1176-82, doi: 10.1111/jdv.14195.</w:t>
      </w:r>
    </w:p>
    <w:p w14:paraId="4723BF4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22.</w:t>
      </w:r>
      <w:r w:rsidRPr="007B4152">
        <w:rPr>
          <w:rFonts w:ascii="Times New Roman" w:hAnsi="Times New Roman" w:cs="Times New Roman"/>
          <w:lang w:val="en-US"/>
        </w:rPr>
        <w:tab/>
        <w:t>Villacorta R, Teeple A, Lee S, Fakharzadeh S, Lucas J, McElligott S. A multinational assessment of work-related productivity loss and indirect costs from a survey of patients with psoriasis. Br J Dermatol. 2020;183(3):548-58, doi: https://doi.org/10.1111/bjd.18798.</w:t>
      </w:r>
    </w:p>
    <w:p w14:paraId="416ED4C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23.</w:t>
      </w:r>
      <w:r w:rsidRPr="007B4152">
        <w:rPr>
          <w:rFonts w:ascii="Times New Roman" w:hAnsi="Times New Roman" w:cs="Times New Roman"/>
          <w:lang w:val="en-US"/>
        </w:rPr>
        <w:tab/>
        <w:t>Michalek IM, Loring B, John SM. A systematic review of worldwide epidemiology of psoriasis. J Eur Acad Dermatol Venereol. 2017;31(2):205-12, doi: https://doi.org/10.1111/jdv.13854.</w:t>
      </w:r>
    </w:p>
    <w:p w14:paraId="53E4932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24.</w:t>
      </w:r>
      <w:r w:rsidRPr="007B4152">
        <w:rPr>
          <w:rFonts w:ascii="Times New Roman" w:hAnsi="Times New Roman" w:cs="Times New Roman"/>
          <w:lang w:val="en-US"/>
        </w:rPr>
        <w:tab/>
        <w:t>Armstrong AW, Soliman AM, Betts KA, Wang Y, Gao Y, Puig L, et al. Comparative Efficacy and Relative Ranking of Biologics and Oral Therapies for Moderate-to-Severe Plaque Psoriasis: A Network Meta-analysis. Dermatol Ther. 2021, doi: 10.1007/s13555-021-00511-1.</w:t>
      </w:r>
    </w:p>
    <w:p w14:paraId="02EF25DB"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25.</w:t>
      </w:r>
      <w:r w:rsidRPr="007B4152">
        <w:rPr>
          <w:rFonts w:ascii="Times New Roman" w:hAnsi="Times New Roman" w:cs="Times New Roman"/>
          <w:lang w:val="en-US"/>
        </w:rPr>
        <w:tab/>
        <w:t>Egeberg A, Andersen YMF, Halling-Overgaard A-S, Alignahi F, Thyssen JP, Burge R, et al. Systematic review on rapidity of onset of action for interleukin-17 and interleukin-23 inhibitors for psoriasis. J Eur Acad Dermatol Venereol JEADV. 2020;34(1):39-46, doi: 10.1111/jdv.15920.</w:t>
      </w:r>
    </w:p>
    <w:p w14:paraId="2B8BE361"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lastRenderedPageBreak/>
        <w:t>26.</w:t>
      </w:r>
      <w:r w:rsidRPr="007B4152">
        <w:rPr>
          <w:rFonts w:ascii="Times New Roman" w:hAnsi="Times New Roman" w:cs="Times New Roman"/>
          <w:lang w:val="en-US"/>
        </w:rPr>
        <w:tab/>
        <w:t>No DJ, Inkeles MS, Amin M, Wu JJ. Drug survival of biologic treatments in psoriasis: a systematic review. J Dermatol Treat. 2018;29(5):460-6, doi: 10.1080/09546634.2017.1398393.</w:t>
      </w:r>
    </w:p>
    <w:p w14:paraId="309EC92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27.</w:t>
      </w:r>
      <w:r w:rsidRPr="007B4152">
        <w:rPr>
          <w:rFonts w:ascii="Times New Roman" w:hAnsi="Times New Roman" w:cs="Times New Roman"/>
          <w:lang w:val="en-US"/>
        </w:rPr>
        <w:tab/>
        <w:t>Kamata M, Tada Y. Safety of biologics in psoriasis. J Dermatol. 2018;45(3):279-86, doi: 10.1111/1346-8138.14096.</w:t>
      </w:r>
    </w:p>
    <w:p w14:paraId="5697772B"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28.</w:t>
      </w:r>
      <w:r w:rsidRPr="007B4152">
        <w:rPr>
          <w:rFonts w:ascii="Times New Roman" w:hAnsi="Times New Roman" w:cs="Times New Roman"/>
          <w:lang w:val="en-US"/>
        </w:rPr>
        <w:tab/>
        <w:t>Kamata M, Tada Y. Efficacy and Safety of Biologics for Psoriasis and Psoriatic Arthritis and Their Impact on Comorbidities: A Literature Review. Int J Mol Sci. 2020;21(5), doi: 10.3390/ijms21051690.</w:t>
      </w:r>
    </w:p>
    <w:p w14:paraId="0BC3879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29.</w:t>
      </w:r>
      <w:r w:rsidRPr="007B4152">
        <w:rPr>
          <w:rFonts w:ascii="Times New Roman" w:hAnsi="Times New Roman" w:cs="Times New Roman"/>
          <w:lang w:val="en-US"/>
        </w:rPr>
        <w:tab/>
        <w:t>Kaushik SB, Lebwohl MG. Review of safety and efficacy of approved systemic psoriasis therapies. Int J Dermatol. 2019;58(6):649-58, doi: 10.1111/ijd.14246.</w:t>
      </w:r>
    </w:p>
    <w:p w14:paraId="67354C99"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30.</w:t>
      </w:r>
      <w:r w:rsidRPr="007B4152">
        <w:rPr>
          <w:rFonts w:ascii="Times New Roman" w:hAnsi="Times New Roman" w:cs="Times New Roman"/>
          <w:lang w:val="en-US"/>
        </w:rPr>
        <w:tab/>
        <w:t>Behnam SM, Behnam SE, Koo JY. TNF-alpha inhibitors and congestive heart failure. Skinmed. 2005;4(6):363-8, doi: 10.1111/j.1540-9740.2005.04502.x.</w:t>
      </w:r>
    </w:p>
    <w:p w14:paraId="02C871E3"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31.</w:t>
      </w:r>
      <w:r w:rsidRPr="007B4152">
        <w:rPr>
          <w:rFonts w:ascii="Times New Roman" w:hAnsi="Times New Roman" w:cs="Times New Roman"/>
          <w:lang w:val="en-US"/>
        </w:rPr>
        <w:tab/>
        <w:t>Kunchok A, Aksamit AJ, Davis JM, Kantarci OH, Keegan BM, Pittock SJ, et al. Association Between Tumor Necrosis Factor Inhibitor Exposure and Inflammatory Central Nervous System Events. JAMA Neurol. 2020;77(8):937-46, doi: 10.1001/jamaneurol.2020.1162.</w:t>
      </w:r>
    </w:p>
    <w:p w14:paraId="5EC5BEF2"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32.</w:t>
      </w:r>
      <w:r w:rsidRPr="007B4152">
        <w:rPr>
          <w:rFonts w:ascii="Times New Roman" w:hAnsi="Times New Roman" w:cs="Times New Roman"/>
          <w:lang w:val="en-US"/>
        </w:rPr>
        <w:tab/>
        <w:t xml:space="preserve">Fleischmann R, Yocum D. Does safety make a difference in selecting the right TNF antagonist? </w:t>
      </w:r>
      <w:r w:rsidRPr="004B5573">
        <w:rPr>
          <w:rFonts w:ascii="Times New Roman" w:hAnsi="Times New Roman" w:cs="Times New Roman"/>
        </w:rPr>
        <w:t>Arthritis Res Ther. 2004;6(Suppl 2):S12-8, doi: 10.1186/ar995.</w:t>
      </w:r>
    </w:p>
    <w:p w14:paraId="633B2D9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33.</w:t>
      </w:r>
      <w:r w:rsidRPr="004B5573">
        <w:rPr>
          <w:rFonts w:ascii="Times New Roman" w:hAnsi="Times New Roman" w:cs="Times New Roman"/>
        </w:rPr>
        <w:tab/>
        <w:t xml:space="preserve">Daudén E, Carretero G, Rivera R, Ferrándiz C, Llamas-Velasco M, de la Cueva P, et al. </w:t>
      </w:r>
      <w:r w:rsidRPr="007B4152">
        <w:rPr>
          <w:rFonts w:ascii="Times New Roman" w:hAnsi="Times New Roman" w:cs="Times New Roman"/>
          <w:lang w:val="en-US"/>
        </w:rPr>
        <w:t>Long-term safety of nine systemic medications for psoriasis: A cohort study using the Spanish Registry of Adverse Events for Biological Therapy in Dermatological Diseases (BIOBADADERM) Registry. J Am Acad Dermatol. 2020;83(1):139-50, doi: 10.1016/j.jaad.2020.03.033.</w:t>
      </w:r>
    </w:p>
    <w:p w14:paraId="70501AD8"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34.</w:t>
      </w:r>
      <w:r w:rsidRPr="007B4152">
        <w:rPr>
          <w:rFonts w:ascii="Times New Roman" w:hAnsi="Times New Roman" w:cs="Times New Roman"/>
          <w:lang w:val="en-US"/>
        </w:rPr>
        <w:tab/>
        <w:t>Loft ND, Vaengebjerg S, Halling A-S, Skov L, Egeberg A. Adverse events with IL-17 and IL-23 inhibitors for psoriasis and psoriatic arthritis: a systematic review and meta-analysis of phase III studies. J Eur Acad Dermatol Venereol. 2020;34(6):1151-60, doi: https://doi.org/10.1111/jdv.16073.</w:t>
      </w:r>
    </w:p>
    <w:p w14:paraId="4C22C46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35.</w:t>
      </w:r>
      <w:r w:rsidRPr="007B4152">
        <w:rPr>
          <w:rFonts w:ascii="Times New Roman" w:hAnsi="Times New Roman" w:cs="Times New Roman"/>
          <w:lang w:val="en-US"/>
        </w:rPr>
        <w:tab/>
        <w:t>Lin P-T, Wang S-H, Chi C-C. Drug survival of biologics in treating psoriasis: a meta-analysis of real-world evidence. Sci Rep. 2018;8(1):16068, doi: 10.1038/s41598-018-34293-y.</w:t>
      </w:r>
    </w:p>
    <w:p w14:paraId="6CD4BD7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36.</w:t>
      </w:r>
      <w:r w:rsidRPr="007B4152">
        <w:rPr>
          <w:rFonts w:ascii="Times New Roman" w:hAnsi="Times New Roman" w:cs="Times New Roman"/>
          <w:lang w:val="en-US"/>
        </w:rPr>
        <w:tab/>
        <w:t>Torres T, Puig L, Vender R, Lynde C, Piaserico S, Carrascosa JM, et al. Drug Survival of IL-12/23, IL-17 and IL-23 Inhibitors for Psoriasis Treatment: A Retrospective Multi-Country, Multicentric Cohort Study. Am J Clin Dermatol. 2021, doi: 10.1007/s40257-021-00598-4.</w:t>
      </w:r>
    </w:p>
    <w:p w14:paraId="387469B9"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37.</w:t>
      </w:r>
      <w:r w:rsidRPr="007B4152">
        <w:rPr>
          <w:rFonts w:ascii="Times New Roman" w:hAnsi="Times New Roman" w:cs="Times New Roman"/>
          <w:lang w:val="en-US"/>
        </w:rPr>
        <w:tab/>
        <w:t>Gordon KB, Foley P, Krueger JG, Pinter A, Reich K, Vender R, et al. Bimekizumab efficacy and safety in moderate to severe plaque psoriasis (BE READY): a multicentre, double-blind, placebo-controlled, randomised withdrawal phase 3 trial. Lancet Lond Engl. 2021;397(10273):475-86, doi: 10.1016/S0140-6736(21)00126-4.</w:t>
      </w:r>
    </w:p>
    <w:p w14:paraId="6508B7BF"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38.</w:t>
      </w:r>
      <w:r w:rsidRPr="007B4152">
        <w:rPr>
          <w:rFonts w:ascii="Times New Roman" w:hAnsi="Times New Roman" w:cs="Times New Roman"/>
          <w:lang w:val="en-US"/>
        </w:rPr>
        <w:tab/>
        <w:t>Warren RB, Blauvelt A, Bagel J, Papp KA, Yamauchi P, Armstrong A, et al. Bimekizumab versus Adalimumab in Plaque Psoriasis. N Engl J Med. 2021, doi: 10.1056/NEJMoa2102388.</w:t>
      </w:r>
    </w:p>
    <w:p w14:paraId="1A7DF68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39.</w:t>
      </w:r>
      <w:r w:rsidRPr="007B4152">
        <w:rPr>
          <w:rFonts w:ascii="Times New Roman" w:hAnsi="Times New Roman" w:cs="Times New Roman"/>
          <w:lang w:val="en-US"/>
        </w:rPr>
        <w:tab/>
        <w:t>Reich K, Papp KA, Blauvelt A, Langley RG, Armstrong A, Warren RB, et al. Bimekizumab versus ustekinumab for the treatment of moderate to severe plaque psoriasis (BE VIVID): efficacy and safety from a 52-week, multicentre, double-blind, active comparator and placebo controlled phase 3 trial. Lancet Lond Engl. 2021;397(10273):487-98, doi: 10.1016/S0140-6736(21)00125-2.</w:t>
      </w:r>
    </w:p>
    <w:p w14:paraId="6D6842BB"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lastRenderedPageBreak/>
        <w:t>40.</w:t>
      </w:r>
      <w:r w:rsidRPr="007B4152">
        <w:rPr>
          <w:rFonts w:ascii="Times New Roman" w:hAnsi="Times New Roman" w:cs="Times New Roman"/>
          <w:lang w:val="en-US"/>
        </w:rPr>
        <w:tab/>
        <w:t>Reich K, Warren RB, Lebwohl M, Gooderham M, Strober B, Langley RG, et al. Bimekizumab versus Secukinumab in Plaque Psoriasis. N Engl J Med. 2021, doi: 10.1056/NEJMoa2102383.</w:t>
      </w:r>
    </w:p>
    <w:p w14:paraId="53D4F30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41.</w:t>
      </w:r>
      <w:r w:rsidRPr="007B4152">
        <w:rPr>
          <w:rFonts w:ascii="Times New Roman" w:hAnsi="Times New Roman" w:cs="Times New Roman"/>
          <w:lang w:val="en-US"/>
        </w:rPr>
        <w:tab/>
        <w:t>Griffiths CEM, Reich K, Lebwohl M, van de Kerkhof P, Paul C, Menter A, et al. Comparison of ixekizumab with etanercept or placebo in moderate-to-severe psoriasis (UNCOVER-2 and UNCOVER-3): results from two phase 3 randomised trials. Lancet Lond Engl. 2015;386(9993):541-51, doi: 10.1016/S0140-6736(15)60125-8.</w:t>
      </w:r>
    </w:p>
    <w:p w14:paraId="2B7C0705"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42.</w:t>
      </w:r>
      <w:r w:rsidRPr="007B4152">
        <w:rPr>
          <w:rFonts w:ascii="Times New Roman" w:hAnsi="Times New Roman" w:cs="Times New Roman"/>
          <w:lang w:val="en-US"/>
        </w:rPr>
        <w:tab/>
        <w:t>Gordon KB, Blauvelt A, Papp KA, Langley RG, Luger T, Ohtsuki M, et al. Phase 3 Trials of Ixekizumab in Moderate-to-Severe Plaque Psoriasis. N Engl J Med. 2016;375(4):345-56, doi: 10.1056/NEJMoa1512711.</w:t>
      </w:r>
    </w:p>
    <w:p w14:paraId="50261C7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43.</w:t>
      </w:r>
      <w:r w:rsidRPr="007B4152">
        <w:rPr>
          <w:rFonts w:ascii="Times New Roman" w:hAnsi="Times New Roman" w:cs="Times New Roman"/>
          <w:lang w:val="en-US"/>
        </w:rPr>
        <w:tab/>
        <w:t>Gordon KB, Strober B, Lebwohl M, Augustin M, Blauvelt A, Poulin Y, et al. Efficacy and safety of risankizumab in moderate-to-severe plaque psoriasis (UltIMMa-1 and UltIMMa-2): results from two double-blind, randomised, placebo-controlled and ustekinumab-controlled phase 3 trials. The Lancet. 2018;392(10148):650-61, doi: 10.1016/S0140-6736(18)31713-6.</w:t>
      </w:r>
    </w:p>
    <w:p w14:paraId="611FC0CC"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44.</w:t>
      </w:r>
      <w:r w:rsidRPr="007B4152">
        <w:rPr>
          <w:rFonts w:ascii="Times New Roman" w:hAnsi="Times New Roman" w:cs="Times New Roman"/>
          <w:lang w:val="en-US"/>
        </w:rPr>
        <w:tab/>
        <w:t>Lebwohl M, Hampton P, Morita A, Reich K, Lambert J, Cullen E, et al. Speed of clinical response and improvement in psoriasis with bimekizumab: Pooled results from the multicenter, randomized, double-blinded phase 3 BE VIVID, BE READY and BE SURE trials. American Academy of Dermatology Virtual Meeting Experience (AAD VMX). 2021.</w:t>
      </w:r>
    </w:p>
    <w:p w14:paraId="1A3446B3"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45.</w:t>
      </w:r>
      <w:r w:rsidRPr="007B4152">
        <w:rPr>
          <w:rFonts w:ascii="Times New Roman" w:hAnsi="Times New Roman" w:cs="Times New Roman"/>
          <w:lang w:val="en-US"/>
        </w:rPr>
        <w:tab/>
        <w:t xml:space="preserve">European Medicines Agency (EMA). Clinical Safety Data Management: Definitions and Standards for expedited Reporting. </w:t>
      </w:r>
      <w:r w:rsidRPr="004B5573">
        <w:rPr>
          <w:rFonts w:ascii="Times New Roman" w:hAnsi="Times New Roman" w:cs="Times New Roman"/>
        </w:rPr>
        <w:t>1995.</w:t>
      </w:r>
    </w:p>
    <w:p w14:paraId="62890CC7"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46.</w:t>
      </w:r>
      <w:r w:rsidRPr="004B5573">
        <w:rPr>
          <w:rFonts w:ascii="Times New Roman" w:hAnsi="Times New Roman" w:cs="Times New Roman"/>
        </w:rPr>
        <w:tab/>
        <w:t>AEMPS. Centro de Información online de Medicamentos de la AEMPS (CIMA). Disponible en: https://www.aemps.gob.es/cima/fichasTecnicas.do?metodo=buscar.</w:t>
      </w:r>
    </w:p>
    <w:p w14:paraId="3EBC20A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47.</w:t>
      </w:r>
      <w:r w:rsidRPr="007B4152">
        <w:rPr>
          <w:rFonts w:ascii="Times New Roman" w:hAnsi="Times New Roman" w:cs="Times New Roman"/>
          <w:lang w:val="en-US"/>
        </w:rPr>
        <w:tab/>
        <w:t>Ritchlin CT, Kavanaugh A, Merola JF, Schett G, Scher JU, Warren RB, et al. Bimekizumab in patients with active psoriatic arthritis: results from a 48-week, randomised, double-blind, placebo-controlled, dose-ranging phase 2b trial. Lancet Lond Engl. 2020;395(10222):427-40, doi: 10.1016/S0140-6736(19)33161-7.</w:t>
      </w:r>
    </w:p>
    <w:p w14:paraId="523CC7BC"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48.</w:t>
      </w:r>
      <w:r w:rsidRPr="007B4152">
        <w:rPr>
          <w:rFonts w:ascii="Times New Roman" w:hAnsi="Times New Roman" w:cs="Times New Roman"/>
          <w:lang w:val="en-US"/>
        </w:rPr>
        <w:tab/>
        <w:t>Mease PJ, Gladman DD, Ritchlin CT, Ruderman EM, Steinfeld SD, Choy EHS, et al. Adalimumab for the treatment of patients with moderately to severely active psoriatic arthritis: results of a double-blind, randomized, placebo-controlled trial. Arthritis Rheum. 2005;52(10):3279-89, doi: 10.1002/art.21306.</w:t>
      </w:r>
    </w:p>
    <w:p w14:paraId="00C74BD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49.</w:t>
      </w:r>
      <w:r w:rsidRPr="007B4152">
        <w:rPr>
          <w:rFonts w:ascii="Times New Roman" w:hAnsi="Times New Roman" w:cs="Times New Roman"/>
          <w:lang w:val="en-US"/>
        </w:rPr>
        <w:tab/>
        <w:t>McInnes IB, Kavanaugh A, Gottlieb AB, Puig L, Rahman P, Ritchlin C, et al. Efficacy and safety of ustekinumab in patients with active psoriatic arthritis: 1 year results of the phase 3, multicentre, double-blind, placebo-controlled PSUMMIT 1 trial. Lancet Lond Engl. 2013;382(9894):780-9, doi: 10.1016/S0140-6736(13)60594-2.</w:t>
      </w:r>
    </w:p>
    <w:p w14:paraId="78B46691"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50.</w:t>
      </w:r>
      <w:r w:rsidRPr="007B4152">
        <w:rPr>
          <w:rFonts w:ascii="Times New Roman" w:hAnsi="Times New Roman" w:cs="Times New Roman"/>
          <w:lang w:val="en-US"/>
        </w:rPr>
        <w:tab/>
        <w:t>Mease P, van der Heijde D, Landewé R, Mpofu S, Rahman P, Tahir H, et al. Secukinumab improves active psoriatic arthritis symptoms and inhibits radiographic progression: primary results from the randomised, double-blind, phase III FUTURE 5 study. Ann Rheum Dis. 2018;77(6):890-7, doi: 10.1136/annrheumdis-2017-212687.</w:t>
      </w:r>
    </w:p>
    <w:p w14:paraId="3BCFBA1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51.</w:t>
      </w:r>
      <w:r w:rsidRPr="007B4152">
        <w:rPr>
          <w:rFonts w:ascii="Times New Roman" w:hAnsi="Times New Roman" w:cs="Times New Roman"/>
          <w:lang w:val="en-US"/>
        </w:rPr>
        <w:tab/>
        <w:t>Kivitz AJ, Nash P, Tahir H, Everding A, Mann H, Kaszuba A, et al. Efficacy and Safety of Subcutaneous Secukinumab 150 mg with or Without Loading Regimen in Psoriatic Arthritis: Results from the FUTURE 4 Study. Rheumatol Ther. 2019;6(3):393-407, doi: 10.1007/s40744-019-0163-5.</w:t>
      </w:r>
    </w:p>
    <w:p w14:paraId="2B23F66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lastRenderedPageBreak/>
        <w:t>52.</w:t>
      </w:r>
      <w:r w:rsidRPr="007B4152">
        <w:rPr>
          <w:rFonts w:ascii="Times New Roman" w:hAnsi="Times New Roman" w:cs="Times New Roman"/>
          <w:lang w:val="en-US"/>
        </w:rPr>
        <w:tab/>
        <w:t>Mease PJ, van der Heijde D, Ritchlin CT, Okada M, Cuchacovich RS, Shuler CL, et al. Ixekizumab, an interleukin-17A specific monoclonal antibody, for the treatment of biologic-naive patients with active psoriatic arthritis: results from the 24-week randomised, double-blind, placebo-controlled and active (adalimumab)-controlled period of the phase III trial SPIRIT-P1. Ann Rheum Dis. 2017;76(1):79-87, doi: 10.1136/annrheumdis-2016-209709.</w:t>
      </w:r>
    </w:p>
    <w:p w14:paraId="1DB19229"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53.</w:t>
      </w:r>
      <w:r w:rsidRPr="007B4152">
        <w:rPr>
          <w:rFonts w:ascii="Times New Roman" w:hAnsi="Times New Roman" w:cs="Times New Roman"/>
          <w:lang w:val="en-US"/>
        </w:rPr>
        <w:tab/>
        <w:t xml:space="preserve">Abbvie. Risankizumab (SKYRIZI®) Phase 3 Results Demonstrate Improvements in Disease Activity Across Joint and Skin Symptoms Among Psoriatic Arthritis Patients. </w:t>
      </w:r>
      <w:r w:rsidRPr="004B5573">
        <w:rPr>
          <w:rFonts w:ascii="Times New Roman" w:hAnsi="Times New Roman" w:cs="Times New Roman"/>
        </w:rPr>
        <w:t>2021, Disponible en: https://news.abbvie.com/news/press-releases/risankizumab-skyrizi-phase-3-results-demonstrate-improvements-in-disease-activity-across-joint-and-skin-symptoms-among-psoriatic-arthritis-patients.htm.</w:t>
      </w:r>
    </w:p>
    <w:p w14:paraId="4040EB3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54.</w:t>
      </w:r>
      <w:r w:rsidRPr="007B4152">
        <w:rPr>
          <w:rFonts w:ascii="Times New Roman" w:hAnsi="Times New Roman" w:cs="Times New Roman"/>
          <w:lang w:val="en-US"/>
        </w:rPr>
        <w:tab/>
        <w:t>Ware JE, Sherbourne CD. The MOS 36-item short-form health survey (SF-36). I. Conceptual framework and item selection. Med Care. 1992;30(6):473-83.</w:t>
      </w:r>
    </w:p>
    <w:p w14:paraId="158C58E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55.</w:t>
      </w:r>
      <w:r w:rsidRPr="007B4152">
        <w:rPr>
          <w:rFonts w:ascii="Times New Roman" w:hAnsi="Times New Roman" w:cs="Times New Roman"/>
          <w:lang w:val="en-US"/>
        </w:rPr>
        <w:tab/>
        <w:t>Gossec L, de Wit M, Kiltz U, Braun J, Kalyoncu U, Scrivo R, et al. A patient-derived and patient-reported outcome measure for assessing psoriatic arthritis: elaboration and preliminary validation of the Psoriatic Arthritis Impact of Disease (PsAID) questionnaire, a 13-country EULAR initiative. Ann Rheum Dis. 2014;73(6):1012-9, doi: 10.1136/annrheumdis-2014-205207.</w:t>
      </w:r>
    </w:p>
    <w:p w14:paraId="443C3B9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56.</w:t>
      </w:r>
      <w:r w:rsidRPr="007B4152">
        <w:rPr>
          <w:rFonts w:ascii="Times New Roman" w:hAnsi="Times New Roman" w:cs="Times New Roman"/>
          <w:lang w:val="en-US"/>
        </w:rPr>
        <w:tab/>
        <w:t>Papp K, Lebwohl M, Gottlieb A, Sebastian M, Langley R, Okubo Y, et al. Bimekizumab for the Treatment of Moderate to Severe Plaque Psoriasis with Scalp, Nail and Palmoplantar Involvement Through 52 Weeks: Post-Hoc Analysis from the BE VIVID Phase 3 Trial. SKIN J Cutan Med. 2021;5:s18, doi: 10.25251/skin.5.supp.18.</w:t>
      </w:r>
    </w:p>
    <w:p w14:paraId="55C5D76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57.</w:t>
      </w:r>
      <w:r w:rsidRPr="007B4152">
        <w:rPr>
          <w:rFonts w:ascii="Times New Roman" w:hAnsi="Times New Roman" w:cs="Times New Roman"/>
          <w:lang w:val="en-US"/>
        </w:rPr>
        <w:tab/>
        <w:t>Reich K, Merola JF, Elewski B, Papp KA, Puig L, Rich P, et al. Bimekizumab for the treatment of moderate to severe psoriasis of the scalp: Post-hoc analysis from the BE SURE phase 3 trial. American Academy of Dermatology Virtual Meeting Experience (AAD VMX). 2021.</w:t>
      </w:r>
    </w:p>
    <w:p w14:paraId="21E49CC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58.</w:t>
      </w:r>
      <w:r w:rsidRPr="007B4152">
        <w:rPr>
          <w:rFonts w:ascii="Times New Roman" w:hAnsi="Times New Roman" w:cs="Times New Roman"/>
          <w:lang w:val="en-US"/>
        </w:rPr>
        <w:tab/>
        <w:t>Mrowietz U, Bachelez H, Burden AD, Rissler M, Sieder C, Orsenigo R, et al. Secukinumab for moderate-to-severe palmoplantar pustular psoriasis: Results of the 2PRECISE study. J Am Acad Dermatol. 2019;80(5):1344-52, doi: 10.1016/j.jaad.2019.01.066.</w:t>
      </w:r>
    </w:p>
    <w:p w14:paraId="5A6021EA"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59.</w:t>
      </w:r>
      <w:r w:rsidRPr="007B4152">
        <w:rPr>
          <w:rFonts w:ascii="Times New Roman" w:hAnsi="Times New Roman" w:cs="Times New Roman"/>
          <w:lang w:val="en-US"/>
        </w:rPr>
        <w:tab/>
        <w:t xml:space="preserve">Reich K, Sullivan J, Arenberger P, Jazayeri S, Mrowietz U, Augustin M, et al. Secukinumab shows high and sustained efficacy in nail psoriasis: 2.5-year results from the randomized placebo-controlled TRANSFIGURE study. </w:t>
      </w:r>
      <w:r w:rsidRPr="004B5573">
        <w:rPr>
          <w:rFonts w:ascii="Times New Roman" w:hAnsi="Times New Roman" w:cs="Times New Roman"/>
        </w:rPr>
        <w:t>Br J Dermatol. marzo de 2021;184(3):425-36, doi: 10.1111/bjd.19262.</w:t>
      </w:r>
    </w:p>
    <w:p w14:paraId="3501E5C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60.</w:t>
      </w:r>
      <w:r w:rsidRPr="004B5573">
        <w:rPr>
          <w:rFonts w:ascii="Times New Roman" w:hAnsi="Times New Roman" w:cs="Times New Roman"/>
        </w:rPr>
        <w:tab/>
        <w:t xml:space="preserve">Reich K, Leonardi C, Lebwohl M, Kerdel F, Okubo Y, Romiti R, et al. </w:t>
      </w:r>
      <w:r w:rsidRPr="007B4152">
        <w:rPr>
          <w:rFonts w:ascii="Times New Roman" w:hAnsi="Times New Roman" w:cs="Times New Roman"/>
          <w:lang w:val="en-US"/>
        </w:rPr>
        <w:t>Sustained response with ixekizumab treatment of moderate-to-severe psoriasis with scalp involvement: results from three phase 3 trials (UNCOVER-1, UNCOVER-2, UNCOVER-3). J Dermatol Treat. 2017;28(4):282-7, doi: 10.1080/09546634.2016.1249820.</w:t>
      </w:r>
    </w:p>
    <w:p w14:paraId="24D7C521"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61.</w:t>
      </w:r>
      <w:r w:rsidRPr="007B4152">
        <w:rPr>
          <w:rFonts w:ascii="Times New Roman" w:hAnsi="Times New Roman" w:cs="Times New Roman"/>
          <w:lang w:val="en-US"/>
        </w:rPr>
        <w:tab/>
        <w:t>van de Kerkhof P, Guenther L, Gottlieb AB, Sebastian M, Wu JJ, Foley P, et al. Ixekizumab treatment improves fingernail psoriasis in patients with moderate-to-severe psoriasis: results from the randomized, controlled and open-label phases of UNCOVER-3. J Eur Acad Dermatol Venereol JEADV. 2017;31(3):477-82, doi: 10.1111/jdv.14033.</w:t>
      </w:r>
    </w:p>
    <w:p w14:paraId="04B23651"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62.</w:t>
      </w:r>
      <w:r w:rsidRPr="007B4152">
        <w:rPr>
          <w:rFonts w:ascii="Times New Roman" w:hAnsi="Times New Roman" w:cs="Times New Roman"/>
          <w:lang w:val="en-US"/>
        </w:rPr>
        <w:tab/>
        <w:t xml:space="preserve">Guenther L, Potts Bleakman A, Weisman J, Poulin Y, Spelman L, Burge R, et al. Ixekizumab Results in Persistent Clinical Improvement in Moderate-to-Severe Genital Psoriasis During a 52 Week, Randomized, Placebo-Controlled, Phase 3 Clinical Trial. </w:t>
      </w:r>
      <w:r w:rsidRPr="004B5573">
        <w:rPr>
          <w:rFonts w:ascii="Times New Roman" w:hAnsi="Times New Roman" w:cs="Times New Roman"/>
        </w:rPr>
        <w:t>Acta Derm Venereol. 2020;100(1):adv00006, doi: 10.2340/00015555-3353.</w:t>
      </w:r>
    </w:p>
    <w:p w14:paraId="43DA8529"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63.</w:t>
      </w:r>
      <w:r w:rsidRPr="004B5573">
        <w:rPr>
          <w:rFonts w:ascii="Times New Roman" w:hAnsi="Times New Roman" w:cs="Times New Roman"/>
        </w:rPr>
        <w:tab/>
        <w:t>Consejo General de Colegios Oficiales de Farmacéuticos. Base de datos de información sanitaria (BOT PLUS). Disponible en: https://botplusweb.portalfarma.com/.</w:t>
      </w:r>
    </w:p>
    <w:p w14:paraId="31335787"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lastRenderedPageBreak/>
        <w:t>64.</w:t>
      </w:r>
      <w:r w:rsidRPr="004B5573">
        <w:rPr>
          <w:rFonts w:ascii="Times New Roman" w:hAnsi="Times New Roman" w:cs="Times New Roman"/>
        </w:rPr>
        <w:tab/>
        <w:t xml:space="preserve">Sánchez-Carazo J, Daudén E, Vanaclocha F, Toribio J, Pujol R, Puig L, et al. </w:t>
      </w:r>
      <w:r w:rsidRPr="007B4152">
        <w:rPr>
          <w:rFonts w:ascii="Times New Roman" w:hAnsi="Times New Roman" w:cs="Times New Roman"/>
          <w:lang w:val="en-US"/>
        </w:rPr>
        <w:t>PSS10 COST OF MODERATE TO SEVERE PSORIASIS PATIENTS IN SPAIN. Value Health. 2009;12(7):A454, doi: 10.1016/S1098-3015(10)75247-5.</w:t>
      </w:r>
    </w:p>
    <w:p w14:paraId="19B1A386"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65.</w:t>
      </w:r>
      <w:r w:rsidRPr="007B4152">
        <w:rPr>
          <w:rFonts w:ascii="Times New Roman" w:hAnsi="Times New Roman" w:cs="Times New Roman"/>
          <w:lang w:val="en-US"/>
        </w:rPr>
        <w:tab/>
        <w:t xml:space="preserve">Wu JJ, Pelletier C, Ung B, Tian M, Khilfeh I, Curtis JR. Real-world switch patterns and healthcare costs in biologic-naive psoriasis patients initiating apremilast or biologics. </w:t>
      </w:r>
      <w:r w:rsidRPr="004B5573">
        <w:rPr>
          <w:rFonts w:ascii="Times New Roman" w:hAnsi="Times New Roman" w:cs="Times New Roman"/>
        </w:rPr>
        <w:t>J Comp Eff Res. 2020;9(11):767-79, doi: 10.2217/cer-2020-0045.</w:t>
      </w:r>
    </w:p>
    <w:p w14:paraId="4EDAF81D"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66.</w:t>
      </w:r>
      <w:r w:rsidRPr="004B5573">
        <w:rPr>
          <w:rFonts w:ascii="Times New Roman" w:hAnsi="Times New Roman" w:cs="Times New Roman"/>
        </w:rPr>
        <w:tab/>
        <w:t xml:space="preserve">Polistena B, Calzavara-Pinton P, Altomare G, Berardesca E, Girolomoni G, Martini P, et al. </w:t>
      </w:r>
      <w:r w:rsidRPr="007B4152">
        <w:rPr>
          <w:rFonts w:ascii="Times New Roman" w:hAnsi="Times New Roman" w:cs="Times New Roman"/>
          <w:lang w:val="en-US"/>
        </w:rPr>
        <w:t>The impact of biologic therapy in chronic plaque psoriasis from a societal perspective: an analysis based on Italian actual clinical practice. J Eur Acad Dermatol Venereol JEADV. 2015;29(12):2411-6, doi: 10.1111/jdv.13307.</w:t>
      </w:r>
    </w:p>
    <w:p w14:paraId="416D3F5C"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67.</w:t>
      </w:r>
      <w:r w:rsidRPr="007B4152">
        <w:rPr>
          <w:rFonts w:ascii="Times New Roman" w:hAnsi="Times New Roman" w:cs="Times New Roman"/>
          <w:lang w:val="en-US"/>
        </w:rPr>
        <w:tab/>
        <w:t>Feldman SR, Zhao Y, Gilloteau I, Graham CN, Miles L, McBride D, et al. Higher Psoriasis Skin Clearance Is Associated with Lower Annual Indirect Costs in the United States: A Post Hoc Analysis from the CLEAR Study. J Manag Care Spec Pharm. 2018;24(7):617-22, doi: 10.18553/jmcp.2018.24.7.617.</w:t>
      </w:r>
    </w:p>
    <w:p w14:paraId="17248990"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68.</w:t>
      </w:r>
      <w:r w:rsidRPr="007B4152">
        <w:rPr>
          <w:rFonts w:ascii="Times New Roman" w:hAnsi="Times New Roman" w:cs="Times New Roman"/>
          <w:lang w:val="en-US"/>
        </w:rPr>
        <w:tab/>
        <w:t>Warren RB, Halliday A, Graham CN, Gilloteau I, Miles L, McBride D. Secukinumab significantly reduces psoriasis-related work impairment and indirect costs compared with ustekinumab and etanercept in the United Kingdom. J Eur Acad Dermatol Venereol JEADV. 2018;32(12):2178-84, doi: 10.1111/jdv.15094.</w:t>
      </w:r>
    </w:p>
    <w:p w14:paraId="6FBE045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69.</w:t>
      </w:r>
      <w:r w:rsidRPr="007B4152">
        <w:rPr>
          <w:rFonts w:ascii="Times New Roman" w:hAnsi="Times New Roman" w:cs="Times New Roman"/>
          <w:lang w:val="en-US"/>
        </w:rPr>
        <w:tab/>
        <w:t>Li N, Teeple A, Muser E, You Y, Song M, Armstrong AW. Work/study productivity gain and associated indirect cost savings with guselkumab compared with adalimumab in moderate-to-severe psoriasis: results from the VOYAGE 1 study. J Dermatol Treat. 2020:1-6, doi: 10.1080/09546634.2020.1750552.</w:t>
      </w:r>
    </w:p>
    <w:p w14:paraId="67B8A1AB"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70.</w:t>
      </w:r>
      <w:r w:rsidRPr="007B4152">
        <w:rPr>
          <w:rFonts w:ascii="Times New Roman" w:hAnsi="Times New Roman" w:cs="Times New Roman"/>
          <w:lang w:val="en-US"/>
        </w:rPr>
        <w:tab/>
        <w:t>Armstrong AW, Lynde CW, McBride SR, Ståhle M, Edson-Heredia E, Zhu B, et al. Effect of Ixekizumab Treatment on Work Productivity for Patients With Moderate-to-Severe Plaque Psoriasis: Analysis of Results From 3 Randomized Phase 3 Clinical Trials. JAMA Dermatol. 2016;152(6):661-9, doi: 10.1001/jamadermatol.2016.0269.</w:t>
      </w:r>
    </w:p>
    <w:p w14:paraId="311EFBE8"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71.</w:t>
      </w:r>
      <w:r w:rsidRPr="007B4152">
        <w:rPr>
          <w:rFonts w:ascii="Times New Roman" w:hAnsi="Times New Roman" w:cs="Times New Roman"/>
          <w:lang w:val="en-US"/>
        </w:rPr>
        <w:tab/>
        <w:t>Lebwohl M, Soliman AM, Yang H, Wang J, Freimark J, Puig L. Impact of PASI response on work productivity and the effect of risankizumab on indirect costs using machine learning in patients with moderate-to-Severe psoriasis. J Dermatol Treat. 2021:1-26, doi: 10.1080/09546634.2021.1919287.</w:t>
      </w:r>
    </w:p>
    <w:p w14:paraId="0CB2C482"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72.</w:t>
      </w:r>
      <w:r w:rsidRPr="007B4152">
        <w:rPr>
          <w:rFonts w:ascii="Times New Roman" w:hAnsi="Times New Roman" w:cs="Times New Roman"/>
          <w:lang w:val="en-US"/>
        </w:rPr>
        <w:tab/>
        <w:t>Sbidian E, Chaimani A, Garcia-Doval I, Doney L, Dressler C, Hua C, et al. Systemic pharmacological treatments for chronic plaque psoriasis: a network meta‐analysis. Cochrane Database Syst Rev. 2021;(4), doi: 10.1002/14651858.CD011535.pub4.</w:t>
      </w:r>
    </w:p>
    <w:p w14:paraId="41295EC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73.</w:t>
      </w:r>
      <w:r w:rsidRPr="007B4152">
        <w:rPr>
          <w:rFonts w:ascii="Times New Roman" w:hAnsi="Times New Roman" w:cs="Times New Roman"/>
          <w:lang w:val="en-US"/>
        </w:rPr>
        <w:tab/>
        <w:t>Blauvelt A, Papp KA, Merola JF, Gottlieb AB, Cross N, Madden C, et al. Bimekizumab for patients with moderate to severe plaque psoriasis: 60-week results from BE ABLE 2, a randomized, double-blinded, placebo-controlled, phase 2b extension study. J Am Acad Dermatol. 2020;83(5):1367-74, doi: 10.1016/j.jaad.2020.05.105.</w:t>
      </w:r>
    </w:p>
    <w:p w14:paraId="6B26EBC9"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74.</w:t>
      </w:r>
      <w:r w:rsidRPr="007B4152">
        <w:rPr>
          <w:rFonts w:ascii="Times New Roman" w:hAnsi="Times New Roman" w:cs="Times New Roman"/>
          <w:lang w:val="en-US"/>
        </w:rPr>
        <w:tab/>
        <w:t>Armstrong A, Reich K, Warren RB, Taieb V, Fahrbach K, Kazmierska P, et al. PBI3 Comparative Efficacy of Bimekizumab for the Treatment of Moderate to Severe Plaque Psoriasis: A Network Meta-Analysis. Value Health. 2021;24:S14, doi: 10.1016/j.jval.2021.04.074.</w:t>
      </w:r>
    </w:p>
    <w:p w14:paraId="4F306DE3"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75.</w:t>
      </w:r>
      <w:r w:rsidRPr="007B4152">
        <w:rPr>
          <w:rFonts w:ascii="Times New Roman" w:hAnsi="Times New Roman" w:cs="Times New Roman"/>
          <w:lang w:val="en-US"/>
        </w:rPr>
        <w:tab/>
        <w:t>European Medicines Agency (EMA). Bimzelx. Summary of Product Characteristics. 2021.</w:t>
      </w:r>
    </w:p>
    <w:p w14:paraId="0FF47EA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76.</w:t>
      </w:r>
      <w:r w:rsidRPr="007B4152">
        <w:rPr>
          <w:rFonts w:ascii="Times New Roman" w:hAnsi="Times New Roman" w:cs="Times New Roman"/>
          <w:lang w:val="en-US"/>
        </w:rPr>
        <w:tab/>
        <w:t>European Medicines Agency (EMA). Bimzelx. Authorisation details. 2021, Disponible en: https://www.ema.europa.eu/en/medicines/human/EPAR/bimzelx.</w:t>
      </w:r>
    </w:p>
    <w:p w14:paraId="31AB7056"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lastRenderedPageBreak/>
        <w:t>77.</w:t>
      </w:r>
      <w:r w:rsidRPr="007B4152">
        <w:rPr>
          <w:rFonts w:ascii="Times New Roman" w:hAnsi="Times New Roman" w:cs="Times New Roman"/>
          <w:lang w:val="en-US"/>
        </w:rPr>
        <w:tab/>
        <w:t>Menter A, Strober BE, Kaplan DH, Kivelevitch D, Prater EF, Stoff B, et al. Joint AAD-NPF guidelines of care for the management and treatment of psoriasis with biologics. J Am Acad Dermatol. 2019;80(4):1029-72, doi: 10.1016/j.jaad.2018.11.057.</w:t>
      </w:r>
    </w:p>
    <w:p w14:paraId="19015867"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78.</w:t>
      </w:r>
      <w:r w:rsidRPr="007B4152">
        <w:rPr>
          <w:rFonts w:ascii="Times New Roman" w:hAnsi="Times New Roman" w:cs="Times New Roman"/>
          <w:lang w:val="en-US"/>
        </w:rPr>
        <w:tab/>
        <w:t>Nast A, Spuls PI, Kraaij G van der, Gisondi P, Paul C, Ormerod AD, et al. European S3-Guideline on the systemic treatment of psoriasis vulgaris – Update Apremilast and Secukinumab – EDF in cooperation with EADV and IPC. J Eur Acad Dermatol Venereol. 2017;31(12):1951-63, doi: https://doi.org/10.1111/jdv.14454.</w:t>
      </w:r>
    </w:p>
    <w:p w14:paraId="63A933FE"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79.</w:t>
      </w:r>
      <w:r w:rsidRPr="007B4152">
        <w:rPr>
          <w:rFonts w:ascii="Times New Roman" w:hAnsi="Times New Roman" w:cs="Times New Roman"/>
          <w:lang w:val="en-US"/>
        </w:rPr>
        <w:tab/>
        <w:t>Nast A, Amelunxen L, Augustin M, Boehncke W-H, Dressler C, Gaskins M, et al. S3 Guideline for the treatment of psoriasis vulgaris, update - Short version part 2 - Special patient populations and treatment situations. J Dtsch Dermatol Ges J Ger Soc Dermatol JDDG. 2018;16(6):806-13, doi: 10.1111/ddg.13538.</w:t>
      </w:r>
    </w:p>
    <w:p w14:paraId="6D3C8989"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4B5573">
        <w:rPr>
          <w:rFonts w:ascii="Times New Roman" w:hAnsi="Times New Roman" w:cs="Times New Roman"/>
        </w:rPr>
        <w:t>80.</w:t>
      </w:r>
      <w:r w:rsidRPr="004B5573">
        <w:rPr>
          <w:rFonts w:ascii="Times New Roman" w:hAnsi="Times New Roman" w:cs="Times New Roman"/>
        </w:rPr>
        <w:tab/>
        <w:t xml:space="preserve">Daudén E, Castañeda S, Suárez C, García-Campayo J, Blasco A j., Aguilar M d., et al. </w:t>
      </w:r>
      <w:r w:rsidRPr="007B4152">
        <w:rPr>
          <w:rFonts w:ascii="Times New Roman" w:hAnsi="Times New Roman" w:cs="Times New Roman"/>
          <w:lang w:val="en-US"/>
        </w:rPr>
        <w:t xml:space="preserve">Clinical practice guideline for an integrated approach to comorbidity in patients with psoriasis. </w:t>
      </w:r>
      <w:r w:rsidRPr="004B5573">
        <w:rPr>
          <w:rFonts w:ascii="Times New Roman" w:hAnsi="Times New Roman" w:cs="Times New Roman"/>
        </w:rPr>
        <w:t>J Eur Acad Dermatol Venereol. 2013;27(11):1387-404, doi: 10.1111/jdv.12024.</w:t>
      </w:r>
    </w:p>
    <w:p w14:paraId="46754D0C"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4B5573">
        <w:rPr>
          <w:rFonts w:ascii="Times New Roman" w:hAnsi="Times New Roman" w:cs="Times New Roman"/>
        </w:rPr>
        <w:t>81.</w:t>
      </w:r>
      <w:r w:rsidRPr="004B5573">
        <w:rPr>
          <w:rFonts w:ascii="Times New Roman" w:hAnsi="Times New Roman" w:cs="Times New Roman"/>
        </w:rPr>
        <w:tab/>
        <w:t xml:space="preserve">Puig L, Carrascosa JM, Carretero G, de la Cueva P, Lafuente-Urrez RF, Belinchón I, et al. </w:t>
      </w:r>
      <w:r w:rsidRPr="007B4152">
        <w:rPr>
          <w:rFonts w:ascii="Times New Roman" w:hAnsi="Times New Roman" w:cs="Times New Roman"/>
          <w:lang w:val="en-US"/>
        </w:rPr>
        <w:t>Spanish evidence-based guidelines on the treatment of psoriasis with biologic agents, 2013. Part 1: on efficacy and choice of treatment. Spanish Psoriasis Group of the Spanish Academy of Dermatology and Venereology. Actas Dermosifiliogr. 2013;104(8):694-709, doi: 10.1016/j.adengl.2013.04.013.</w:t>
      </w:r>
    </w:p>
    <w:p w14:paraId="1D199E01" w14:textId="77777777" w:rsidR="004B5573" w:rsidRPr="007B4152" w:rsidRDefault="004B5573" w:rsidP="004B5573">
      <w:pPr>
        <w:pStyle w:val="Bibliografa"/>
        <w:tabs>
          <w:tab w:val="clear" w:pos="384"/>
          <w:tab w:val="left" w:pos="1276"/>
        </w:tabs>
        <w:ind w:left="1276" w:hanging="425"/>
        <w:rPr>
          <w:rFonts w:ascii="Times New Roman" w:hAnsi="Times New Roman" w:cs="Times New Roman"/>
          <w:lang w:val="en-US"/>
        </w:rPr>
      </w:pPr>
      <w:r w:rsidRPr="007B4152">
        <w:rPr>
          <w:rFonts w:ascii="Times New Roman" w:hAnsi="Times New Roman" w:cs="Times New Roman"/>
          <w:lang w:val="en-US"/>
        </w:rPr>
        <w:t>82.</w:t>
      </w:r>
      <w:r w:rsidRPr="007B4152">
        <w:rPr>
          <w:rFonts w:ascii="Times New Roman" w:hAnsi="Times New Roman" w:cs="Times New Roman"/>
          <w:lang w:val="en-US"/>
        </w:rPr>
        <w:tab/>
        <w:t>Huang WW, Feldman SR. The next quantum leap forward? Bimekizumab for psoriasis. Lancet Lond Engl. 2021;397(10273):446-8, doi: 10.1016/S0140-6736(21)00269-5.</w:t>
      </w:r>
    </w:p>
    <w:p w14:paraId="7ACF3B44" w14:textId="77777777" w:rsidR="004B5573" w:rsidRPr="004B5573" w:rsidRDefault="004B5573" w:rsidP="004B5573">
      <w:pPr>
        <w:pStyle w:val="Bibliografa"/>
        <w:tabs>
          <w:tab w:val="clear" w:pos="384"/>
          <w:tab w:val="left" w:pos="1276"/>
        </w:tabs>
        <w:ind w:left="1276" w:hanging="425"/>
        <w:rPr>
          <w:rFonts w:ascii="Times New Roman" w:hAnsi="Times New Roman" w:cs="Times New Roman"/>
        </w:rPr>
      </w:pPr>
      <w:r w:rsidRPr="007B4152">
        <w:rPr>
          <w:rFonts w:ascii="Times New Roman" w:hAnsi="Times New Roman" w:cs="Times New Roman"/>
          <w:lang w:val="en-US"/>
        </w:rPr>
        <w:t>83.</w:t>
      </w:r>
      <w:r w:rsidRPr="007B4152">
        <w:rPr>
          <w:rFonts w:ascii="Times New Roman" w:hAnsi="Times New Roman" w:cs="Times New Roman"/>
          <w:lang w:val="en-US"/>
        </w:rPr>
        <w:tab/>
        <w:t xml:space="preserve">Gotesman RD, Vender R. Bimekizumab for Moderate-to-Severe Plaque Psoriasis. </w:t>
      </w:r>
      <w:r w:rsidRPr="004B5573">
        <w:rPr>
          <w:rFonts w:ascii="Times New Roman" w:hAnsi="Times New Roman" w:cs="Times New Roman"/>
        </w:rPr>
        <w:t>Skin Ther Lett. 2021;26(3):1-4.</w:t>
      </w:r>
    </w:p>
    <w:p w14:paraId="77B6F86F" w14:textId="52512C6D" w:rsidR="00100208" w:rsidRPr="004722FF" w:rsidRDefault="00B51739" w:rsidP="004B5573">
      <w:pPr>
        <w:pStyle w:val="Bibliografa"/>
        <w:tabs>
          <w:tab w:val="clear" w:pos="384"/>
          <w:tab w:val="left" w:pos="426"/>
          <w:tab w:val="left" w:pos="851"/>
          <w:tab w:val="left" w:pos="1276"/>
          <w:tab w:val="left" w:pos="1418"/>
        </w:tabs>
        <w:spacing w:before="0" w:after="120"/>
        <w:ind w:left="1276" w:hanging="425"/>
        <w:rPr>
          <w:rFonts w:ascii="Times New Roman" w:hAnsi="Times New Roman" w:cs="Times New Roman"/>
          <w:sz w:val="20"/>
          <w:szCs w:val="20"/>
          <w:lang w:val="en-GB"/>
        </w:rPr>
      </w:pPr>
      <w:r w:rsidRPr="004B5573">
        <w:rPr>
          <w:rFonts w:ascii="Times New Roman" w:hAnsi="Times New Roman" w:cs="Times New Roman"/>
          <w:lang w:val="en-GB"/>
        </w:rPr>
        <w:fldChar w:fldCharType="end"/>
      </w:r>
      <w:bookmarkEnd w:id="200"/>
    </w:p>
    <w:sectPr w:rsidR="00100208" w:rsidRPr="004722FF" w:rsidSect="009A688B">
      <w:headerReference w:type="even" r:id="rId8"/>
      <w:footerReference w:type="even" r:id="rId9"/>
      <w:footerReference w:type="default" r:id="rId10"/>
      <w:footerReference w:type="first" r:id="rId11"/>
      <w:pgSz w:w="16838" w:h="11906" w:orient="landscape"/>
      <w:pgMar w:top="567" w:right="962" w:bottom="1135" w:left="238"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A9620" w14:textId="77777777" w:rsidR="00063939" w:rsidRDefault="00063939" w:rsidP="0003508A">
      <w:r>
        <w:separator/>
      </w:r>
    </w:p>
  </w:endnote>
  <w:endnote w:type="continuationSeparator" w:id="0">
    <w:p w14:paraId="1221C7A9" w14:textId="77777777" w:rsidR="00063939" w:rsidRDefault="00063939" w:rsidP="0003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Títulos en alf">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 New Roman (Cuerpo en alfa">
    <w:altName w:val="Times New Roman"/>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108640"/>
      <w:docPartObj>
        <w:docPartGallery w:val="Page Numbers (Bottom of Page)"/>
        <w:docPartUnique/>
      </w:docPartObj>
    </w:sdtPr>
    <w:sdtEndPr/>
    <w:sdtContent>
      <w:p w14:paraId="7360EEF3" w14:textId="77777777" w:rsidR="00552F8D" w:rsidRDefault="00552F8D" w:rsidP="0003508A">
        <w:pPr>
          <w:pStyle w:val="Piedepgina"/>
        </w:pPr>
        <w:r>
          <w:fldChar w:fldCharType="begin"/>
        </w:r>
        <w:r>
          <w:instrText>PAGE   \* MERGEFORMAT</w:instrText>
        </w:r>
        <w:r>
          <w:fldChar w:fldCharType="separate"/>
        </w:r>
        <w:r>
          <w:t>2</w:t>
        </w:r>
        <w:r>
          <w:fldChar w:fldCharType="end"/>
        </w:r>
      </w:p>
    </w:sdtContent>
  </w:sdt>
  <w:p w14:paraId="68BBE6C5" w14:textId="77777777" w:rsidR="00552F8D" w:rsidRDefault="00552F8D" w:rsidP="000350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977157"/>
      <w:docPartObj>
        <w:docPartGallery w:val="Page Numbers (Bottom of Page)"/>
        <w:docPartUnique/>
      </w:docPartObj>
    </w:sdtPr>
    <w:sdtEndPr/>
    <w:sdtContent>
      <w:p w14:paraId="57F53B22" w14:textId="77777777" w:rsidR="00552F8D" w:rsidRPr="0067048C" w:rsidRDefault="00552F8D" w:rsidP="00D64E7D">
        <w:pPr>
          <w:pStyle w:val="Piedepgina"/>
          <w:jc w:val="center"/>
          <w:rPr>
            <w:sz w:val="18"/>
            <w:szCs w:val="18"/>
          </w:rPr>
        </w:pPr>
        <w:r w:rsidRPr="0067048C">
          <w:rPr>
            <w:noProof/>
            <w:sz w:val="18"/>
            <w:szCs w:val="18"/>
          </w:rPr>
          <w:drawing>
            <wp:anchor distT="0" distB="0" distL="114300" distR="114300" simplePos="0" relativeHeight="251680768" behindDoc="0" locked="0" layoutInCell="1" allowOverlap="1" wp14:anchorId="183DAE3A" wp14:editId="1151A710">
              <wp:simplePos x="0" y="0"/>
              <wp:positionH relativeFrom="rightMargin">
                <wp:posOffset>-79375</wp:posOffset>
              </wp:positionH>
              <wp:positionV relativeFrom="bottomMargin">
                <wp:posOffset>162559</wp:posOffset>
              </wp:positionV>
              <wp:extent cx="386559" cy="429895"/>
              <wp:effectExtent l="0" t="0" r="0" b="825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9268" cy="432908"/>
                      </a:xfrm>
                      <a:prstGeom prst="rect">
                        <a:avLst/>
                      </a:prstGeom>
                    </pic:spPr>
                  </pic:pic>
                </a:graphicData>
              </a:graphic>
              <wp14:sizeRelH relativeFrom="page">
                <wp14:pctWidth>0</wp14:pctWidth>
              </wp14:sizeRelH>
              <wp14:sizeRelV relativeFrom="page">
                <wp14:pctHeight>0</wp14:pctHeight>
              </wp14:sizeRelV>
            </wp:anchor>
          </w:drawing>
        </w:r>
        <w:r w:rsidRPr="0067048C">
          <w:rPr>
            <w:sz w:val="18"/>
            <w:szCs w:val="18"/>
          </w:rPr>
          <w:fldChar w:fldCharType="begin"/>
        </w:r>
        <w:r w:rsidRPr="0067048C">
          <w:rPr>
            <w:sz w:val="18"/>
            <w:szCs w:val="18"/>
          </w:rPr>
          <w:instrText>PAGE   \* MERGEFORMAT</w:instrText>
        </w:r>
        <w:r w:rsidRPr="0067048C">
          <w:rPr>
            <w:sz w:val="18"/>
            <w:szCs w:val="18"/>
          </w:rPr>
          <w:fldChar w:fldCharType="separate"/>
        </w:r>
        <w:r w:rsidRPr="0067048C">
          <w:rPr>
            <w:sz w:val="18"/>
            <w:szCs w:val="18"/>
          </w:rPr>
          <w:t>2</w:t>
        </w:r>
        <w:r w:rsidRPr="0067048C">
          <w:rPr>
            <w:sz w:val="18"/>
            <w:szCs w:val="18"/>
          </w:rPr>
          <w:fldChar w:fldCharType="end"/>
        </w:r>
      </w:p>
      <w:p w14:paraId="75EA70EC" w14:textId="77777777" w:rsidR="00552F8D" w:rsidRDefault="00063939" w:rsidP="00896494">
        <w:pPr>
          <w:pStyle w:val="Piedepgina"/>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528429"/>
      <w:docPartObj>
        <w:docPartGallery w:val="Page Numbers (Bottom of Page)"/>
        <w:docPartUnique/>
      </w:docPartObj>
    </w:sdtPr>
    <w:sdtEndPr>
      <w:rPr>
        <w:rFonts w:ascii="Times New Roman" w:hAnsi="Times New Roman" w:cs="Times New Roman"/>
      </w:rPr>
    </w:sdtEndPr>
    <w:sdtContent>
      <w:p w14:paraId="62EDE662" w14:textId="77777777" w:rsidR="00552F8D" w:rsidRPr="006B0ABB" w:rsidRDefault="00552F8D" w:rsidP="006B0ABB">
        <w:pPr>
          <w:pStyle w:val="Piedepgina"/>
          <w:jc w:val="center"/>
          <w:rPr>
            <w:rFonts w:ascii="Times New Roman" w:hAnsi="Times New Roman" w:cs="Times New Roman"/>
          </w:rPr>
        </w:pPr>
        <w:r w:rsidRPr="006B0ABB">
          <w:rPr>
            <w:rFonts w:ascii="Times New Roman" w:hAnsi="Times New Roman" w:cs="Times New Roman"/>
          </w:rPr>
          <w:fldChar w:fldCharType="begin"/>
        </w:r>
        <w:r w:rsidRPr="006B0ABB">
          <w:rPr>
            <w:rFonts w:ascii="Times New Roman" w:hAnsi="Times New Roman" w:cs="Times New Roman"/>
          </w:rPr>
          <w:instrText>PAGE   \* MERGEFORMAT</w:instrText>
        </w:r>
        <w:r w:rsidRPr="006B0ABB">
          <w:rPr>
            <w:rFonts w:ascii="Times New Roman" w:hAnsi="Times New Roman" w:cs="Times New Roman"/>
          </w:rPr>
          <w:fldChar w:fldCharType="separate"/>
        </w:r>
        <w:r w:rsidRPr="006B0ABB">
          <w:rPr>
            <w:rFonts w:ascii="Times New Roman" w:hAnsi="Times New Roman" w:cs="Times New Roman"/>
            <w:noProof/>
          </w:rPr>
          <w:t>79</w:t>
        </w:r>
        <w:r w:rsidRPr="006B0ABB">
          <w:rPr>
            <w:rFonts w:ascii="Times New Roman" w:hAnsi="Times New Roman" w:cs="Times New Roman"/>
          </w:rPr>
          <w:fldChar w:fldCharType="end"/>
        </w:r>
      </w:p>
    </w:sdtContent>
  </w:sdt>
  <w:p w14:paraId="5BAC3423" w14:textId="77777777" w:rsidR="00552F8D" w:rsidRDefault="00552F8D" w:rsidP="000350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F8FA" w14:textId="77777777" w:rsidR="00063939" w:rsidRDefault="00063939" w:rsidP="0003508A">
      <w:r>
        <w:separator/>
      </w:r>
    </w:p>
  </w:footnote>
  <w:footnote w:type="continuationSeparator" w:id="0">
    <w:p w14:paraId="1FDB1148" w14:textId="77777777" w:rsidR="00063939" w:rsidRDefault="00063939" w:rsidP="0003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900C" w14:textId="77777777" w:rsidR="00552F8D" w:rsidRDefault="00552F8D" w:rsidP="0003508A">
    <w:pPr>
      <w:pStyle w:val="Encabezado"/>
    </w:pPr>
  </w:p>
  <w:p w14:paraId="33C4204F" w14:textId="77777777" w:rsidR="00552F8D" w:rsidRPr="007B4152" w:rsidRDefault="00552F8D" w:rsidP="0003508A">
    <w:pPr>
      <w:pStyle w:val="Encabezado"/>
      <w:rPr>
        <w:lang w:val="en-US"/>
      </w:rPr>
    </w:pPr>
    <w:r>
      <w:rPr>
        <w:noProof/>
        <w:sz w:val="24"/>
        <w:lang w:eastAsia="es-ES"/>
      </w:rPr>
      <mc:AlternateContent>
        <mc:Choice Requires="wps">
          <w:drawing>
            <wp:anchor distT="0" distB="0" distL="114300" distR="114300" simplePos="0" relativeHeight="251665408" behindDoc="0" locked="0" layoutInCell="1" allowOverlap="1" wp14:anchorId="2028F678" wp14:editId="5E841F47">
              <wp:simplePos x="0" y="0"/>
              <wp:positionH relativeFrom="margin">
                <wp:align>center</wp:align>
              </wp:positionH>
              <wp:positionV relativeFrom="paragraph">
                <wp:posOffset>201322</wp:posOffset>
              </wp:positionV>
              <wp:extent cx="4968000" cy="0"/>
              <wp:effectExtent l="19050" t="19050" r="4445" b="19050"/>
              <wp:wrapNone/>
              <wp:docPr id="6" name="Conector recto 6"/>
              <wp:cNvGraphicFramePr/>
              <a:graphic xmlns:a="http://schemas.openxmlformats.org/drawingml/2006/main">
                <a:graphicData uri="http://schemas.microsoft.com/office/word/2010/wordprocessingShape">
                  <wps:wsp>
                    <wps:cNvCnPr/>
                    <wps:spPr>
                      <a:xfrm flipH="1">
                        <a:off x="0" y="0"/>
                        <a:ext cx="4968000" cy="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F22BD2" id="Conector recto 6" o:spid="_x0000_s1026" style="position:absolute;flip:x;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85pt" to="391.2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" strokecolor="#92d050" strokeweight="2.25pt">
              <v:stroke joinstyle="miter"/>
              <w10:wrap anchorx="margin"/>
            </v:line>
          </w:pict>
        </mc:Fallback>
      </mc:AlternateContent>
    </w:r>
    <w:r w:rsidRPr="007B4152">
      <w:rPr>
        <w:lang w:val="en-US"/>
      </w:rPr>
      <w:t xml:space="preserve">Analysis of criteria for the acquisition of vaccines in Spain: in search of an ideal sustainable model </w:t>
    </w:r>
  </w:p>
  <w:p w14:paraId="06184B99" w14:textId="77777777" w:rsidR="00552F8D" w:rsidRPr="007B4152" w:rsidRDefault="00552F8D" w:rsidP="0003508A">
    <w:pPr>
      <w:pStyle w:val="Encabezad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537"/>
    <w:multiLevelType w:val="hybridMultilevel"/>
    <w:tmpl w:val="B5F040DA"/>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 w15:restartNumberingAfterBreak="0">
    <w:nsid w:val="0EC009E2"/>
    <w:multiLevelType w:val="hybridMultilevel"/>
    <w:tmpl w:val="E2FCA3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55657D"/>
    <w:multiLevelType w:val="hybridMultilevel"/>
    <w:tmpl w:val="83F003A6"/>
    <w:lvl w:ilvl="0" w:tplc="0C0A0001">
      <w:start w:val="1"/>
      <w:numFmt w:val="bullet"/>
      <w:lvlText w:val=""/>
      <w:lvlJc w:val="left"/>
      <w:pPr>
        <w:ind w:left="814" w:hanging="360"/>
      </w:pPr>
      <w:rPr>
        <w:rFonts w:ascii="Symbol" w:hAnsi="Symbo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3" w15:restartNumberingAfterBreak="0">
    <w:nsid w:val="23610406"/>
    <w:multiLevelType w:val="hybridMultilevel"/>
    <w:tmpl w:val="F58CB3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F0029C"/>
    <w:multiLevelType w:val="hybridMultilevel"/>
    <w:tmpl w:val="B49652B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5" w15:restartNumberingAfterBreak="0">
    <w:nsid w:val="27441B68"/>
    <w:multiLevelType w:val="hybridMultilevel"/>
    <w:tmpl w:val="59D6D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18E5BE8"/>
    <w:multiLevelType w:val="hybridMultilevel"/>
    <w:tmpl w:val="5A3C2F6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7" w15:restartNumberingAfterBreak="0">
    <w:nsid w:val="3CEB3F12"/>
    <w:multiLevelType w:val="hybridMultilevel"/>
    <w:tmpl w:val="A09C1B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2F621A4"/>
    <w:multiLevelType w:val="hybridMultilevel"/>
    <w:tmpl w:val="982C6D46"/>
    <w:lvl w:ilvl="0" w:tplc="0C0A0017">
      <w:start w:val="1"/>
      <w:numFmt w:val="lowerLetter"/>
      <w:lvlText w:val="%1)"/>
      <w:lvlJc w:val="left"/>
      <w:pPr>
        <w:ind w:left="720" w:hanging="360"/>
      </w:pPr>
      <w:rPr>
        <w:rFont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95F7C50"/>
    <w:multiLevelType w:val="hybridMultilevel"/>
    <w:tmpl w:val="9F946A9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0" w15:restartNumberingAfterBreak="0">
    <w:nsid w:val="4E5147F1"/>
    <w:multiLevelType w:val="hybridMultilevel"/>
    <w:tmpl w:val="36FCF1C2"/>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1" w15:restartNumberingAfterBreak="0">
    <w:nsid w:val="568278FA"/>
    <w:multiLevelType w:val="hybridMultilevel"/>
    <w:tmpl w:val="E1503934"/>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12" w15:restartNumberingAfterBreak="0">
    <w:nsid w:val="5D0C5219"/>
    <w:multiLevelType w:val="hybridMultilevel"/>
    <w:tmpl w:val="903CF7C0"/>
    <w:lvl w:ilvl="0" w:tplc="E63886FE">
      <w:start w:val="1"/>
      <w:numFmt w:val="bullet"/>
      <w:lvlText w:val=""/>
      <w:lvlJc w:val="left"/>
      <w:pPr>
        <w:ind w:left="720" w:hanging="360"/>
      </w:pPr>
      <w:rPr>
        <w:rFonts w:ascii="Wingdings" w:hAnsi="Wingdings" w:hint="default"/>
        <w:color w:val="4A4F9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D100A72"/>
    <w:multiLevelType w:val="hybridMultilevel"/>
    <w:tmpl w:val="B86A5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23634E"/>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7D4EC3"/>
    <w:multiLevelType w:val="hybridMultilevel"/>
    <w:tmpl w:val="B21675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C2E47C3"/>
    <w:multiLevelType w:val="multilevel"/>
    <w:tmpl w:val="40CE6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lang w:val="es-E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5E221E"/>
    <w:multiLevelType w:val="hybridMultilevel"/>
    <w:tmpl w:val="2EB68948"/>
    <w:lvl w:ilvl="0" w:tplc="0B5AFE96">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7"/>
  </w:num>
  <w:num w:numId="4">
    <w:abstractNumId w:val="10"/>
  </w:num>
  <w:num w:numId="5">
    <w:abstractNumId w:val="5"/>
  </w:num>
  <w:num w:numId="6">
    <w:abstractNumId w:val="16"/>
  </w:num>
  <w:num w:numId="7">
    <w:abstractNumId w:val="2"/>
  </w:num>
  <w:num w:numId="8">
    <w:abstractNumId w:val="12"/>
  </w:num>
  <w:num w:numId="9">
    <w:abstractNumId w:val="17"/>
  </w:num>
  <w:num w:numId="10">
    <w:abstractNumId w:val="4"/>
  </w:num>
  <w:num w:numId="11">
    <w:abstractNumId w:val="9"/>
  </w:num>
  <w:num w:numId="12">
    <w:abstractNumId w:val="6"/>
  </w:num>
  <w:num w:numId="13">
    <w:abstractNumId w:val="0"/>
  </w:num>
  <w:num w:numId="14">
    <w:abstractNumId w:val="13"/>
  </w:num>
  <w:num w:numId="15">
    <w:abstractNumId w:val="1"/>
  </w:num>
  <w:num w:numId="16">
    <w:abstractNumId w:val="3"/>
  </w:num>
  <w:num w:numId="17">
    <w:abstractNumId w:val="15"/>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03"/>
    <w:rsid w:val="000007E0"/>
    <w:rsid w:val="00000AC9"/>
    <w:rsid w:val="00001F3A"/>
    <w:rsid w:val="000035AA"/>
    <w:rsid w:val="00003FB4"/>
    <w:rsid w:val="000049A1"/>
    <w:rsid w:val="00004DB9"/>
    <w:rsid w:val="00005140"/>
    <w:rsid w:val="000053BD"/>
    <w:rsid w:val="0000565D"/>
    <w:rsid w:val="00005CD2"/>
    <w:rsid w:val="000066D4"/>
    <w:rsid w:val="00007061"/>
    <w:rsid w:val="00007DCD"/>
    <w:rsid w:val="00007DF0"/>
    <w:rsid w:val="00007F79"/>
    <w:rsid w:val="0001035A"/>
    <w:rsid w:val="000109A0"/>
    <w:rsid w:val="0001195C"/>
    <w:rsid w:val="00011EDE"/>
    <w:rsid w:val="00012D22"/>
    <w:rsid w:val="00012E04"/>
    <w:rsid w:val="0001347D"/>
    <w:rsid w:val="000148CE"/>
    <w:rsid w:val="00015152"/>
    <w:rsid w:val="00015CA1"/>
    <w:rsid w:val="00015D52"/>
    <w:rsid w:val="0001692F"/>
    <w:rsid w:val="0001696B"/>
    <w:rsid w:val="00016DD3"/>
    <w:rsid w:val="000172E9"/>
    <w:rsid w:val="00017B94"/>
    <w:rsid w:val="000200C1"/>
    <w:rsid w:val="00020155"/>
    <w:rsid w:val="00020AE0"/>
    <w:rsid w:val="00020FCD"/>
    <w:rsid w:val="000214CF"/>
    <w:rsid w:val="0002292A"/>
    <w:rsid w:val="00022CC4"/>
    <w:rsid w:val="000234F5"/>
    <w:rsid w:val="0002384A"/>
    <w:rsid w:val="0002404C"/>
    <w:rsid w:val="0002436F"/>
    <w:rsid w:val="00024492"/>
    <w:rsid w:val="00024996"/>
    <w:rsid w:val="00027069"/>
    <w:rsid w:val="00027B4B"/>
    <w:rsid w:val="00027EB8"/>
    <w:rsid w:val="00030B09"/>
    <w:rsid w:val="00031141"/>
    <w:rsid w:val="00031BE0"/>
    <w:rsid w:val="00031D10"/>
    <w:rsid w:val="00031E71"/>
    <w:rsid w:val="000320B2"/>
    <w:rsid w:val="00032194"/>
    <w:rsid w:val="000325E9"/>
    <w:rsid w:val="00033381"/>
    <w:rsid w:val="00033820"/>
    <w:rsid w:val="00033B2B"/>
    <w:rsid w:val="000343F1"/>
    <w:rsid w:val="00034BE0"/>
    <w:rsid w:val="0003508A"/>
    <w:rsid w:val="000357E4"/>
    <w:rsid w:val="00035DF4"/>
    <w:rsid w:val="00036270"/>
    <w:rsid w:val="000373C8"/>
    <w:rsid w:val="00037639"/>
    <w:rsid w:val="000400B7"/>
    <w:rsid w:val="00040316"/>
    <w:rsid w:val="00041260"/>
    <w:rsid w:val="000412D3"/>
    <w:rsid w:val="000414B0"/>
    <w:rsid w:val="00043ED4"/>
    <w:rsid w:val="00044170"/>
    <w:rsid w:val="00044CAC"/>
    <w:rsid w:val="00045507"/>
    <w:rsid w:val="00045EAC"/>
    <w:rsid w:val="000467C4"/>
    <w:rsid w:val="00046E6A"/>
    <w:rsid w:val="00046F89"/>
    <w:rsid w:val="00047659"/>
    <w:rsid w:val="000476AD"/>
    <w:rsid w:val="0005053C"/>
    <w:rsid w:val="00050CE3"/>
    <w:rsid w:val="00050F70"/>
    <w:rsid w:val="00052DC4"/>
    <w:rsid w:val="0005322A"/>
    <w:rsid w:val="00053A3B"/>
    <w:rsid w:val="00053ACE"/>
    <w:rsid w:val="00055754"/>
    <w:rsid w:val="00056288"/>
    <w:rsid w:val="00056516"/>
    <w:rsid w:val="00056842"/>
    <w:rsid w:val="000568E4"/>
    <w:rsid w:val="0005695C"/>
    <w:rsid w:val="00056BE3"/>
    <w:rsid w:val="00057896"/>
    <w:rsid w:val="00057AD3"/>
    <w:rsid w:val="00057C61"/>
    <w:rsid w:val="000618AE"/>
    <w:rsid w:val="00061D16"/>
    <w:rsid w:val="0006246E"/>
    <w:rsid w:val="00062C0E"/>
    <w:rsid w:val="000638B3"/>
    <w:rsid w:val="00063939"/>
    <w:rsid w:val="0006441A"/>
    <w:rsid w:val="000647F8"/>
    <w:rsid w:val="00065846"/>
    <w:rsid w:val="00065E64"/>
    <w:rsid w:val="0006615F"/>
    <w:rsid w:val="00067A5C"/>
    <w:rsid w:val="00067E2F"/>
    <w:rsid w:val="00070237"/>
    <w:rsid w:val="000702CB"/>
    <w:rsid w:val="000706AD"/>
    <w:rsid w:val="00070A3D"/>
    <w:rsid w:val="0007111A"/>
    <w:rsid w:val="00071237"/>
    <w:rsid w:val="0007126A"/>
    <w:rsid w:val="0007182A"/>
    <w:rsid w:val="00071BC6"/>
    <w:rsid w:val="00071D73"/>
    <w:rsid w:val="0007291E"/>
    <w:rsid w:val="00072D19"/>
    <w:rsid w:val="00072FA2"/>
    <w:rsid w:val="000736EB"/>
    <w:rsid w:val="00073945"/>
    <w:rsid w:val="00073B9A"/>
    <w:rsid w:val="00073D9B"/>
    <w:rsid w:val="00074A06"/>
    <w:rsid w:val="00075567"/>
    <w:rsid w:val="00075FD1"/>
    <w:rsid w:val="000766C9"/>
    <w:rsid w:val="00077498"/>
    <w:rsid w:val="00080304"/>
    <w:rsid w:val="00080E4B"/>
    <w:rsid w:val="00080E63"/>
    <w:rsid w:val="0008166F"/>
    <w:rsid w:val="0008259D"/>
    <w:rsid w:val="00083A28"/>
    <w:rsid w:val="00083BC8"/>
    <w:rsid w:val="00083D26"/>
    <w:rsid w:val="00084066"/>
    <w:rsid w:val="000845B5"/>
    <w:rsid w:val="00085148"/>
    <w:rsid w:val="00085F48"/>
    <w:rsid w:val="000866DD"/>
    <w:rsid w:val="00086A4C"/>
    <w:rsid w:val="0008752F"/>
    <w:rsid w:val="00087945"/>
    <w:rsid w:val="00087981"/>
    <w:rsid w:val="00087CBD"/>
    <w:rsid w:val="00091B6B"/>
    <w:rsid w:val="000923A4"/>
    <w:rsid w:val="00092975"/>
    <w:rsid w:val="000943A5"/>
    <w:rsid w:val="00094608"/>
    <w:rsid w:val="00094871"/>
    <w:rsid w:val="00094F18"/>
    <w:rsid w:val="00095303"/>
    <w:rsid w:val="000955AE"/>
    <w:rsid w:val="00095B5E"/>
    <w:rsid w:val="00095CD4"/>
    <w:rsid w:val="00096528"/>
    <w:rsid w:val="00096932"/>
    <w:rsid w:val="00096D90"/>
    <w:rsid w:val="000971AE"/>
    <w:rsid w:val="00097AF8"/>
    <w:rsid w:val="000A131B"/>
    <w:rsid w:val="000A15C5"/>
    <w:rsid w:val="000A162F"/>
    <w:rsid w:val="000A1A57"/>
    <w:rsid w:val="000A1CE0"/>
    <w:rsid w:val="000A1EE3"/>
    <w:rsid w:val="000A284D"/>
    <w:rsid w:val="000A28A0"/>
    <w:rsid w:val="000A2D44"/>
    <w:rsid w:val="000A2E6B"/>
    <w:rsid w:val="000A44CD"/>
    <w:rsid w:val="000A520A"/>
    <w:rsid w:val="000A5345"/>
    <w:rsid w:val="000A53D3"/>
    <w:rsid w:val="000A5A12"/>
    <w:rsid w:val="000A5AE2"/>
    <w:rsid w:val="000A5F4F"/>
    <w:rsid w:val="000A6925"/>
    <w:rsid w:val="000A6BBF"/>
    <w:rsid w:val="000A73B0"/>
    <w:rsid w:val="000A7705"/>
    <w:rsid w:val="000B040A"/>
    <w:rsid w:val="000B1E45"/>
    <w:rsid w:val="000B21EF"/>
    <w:rsid w:val="000B25BE"/>
    <w:rsid w:val="000B3515"/>
    <w:rsid w:val="000B464A"/>
    <w:rsid w:val="000B4859"/>
    <w:rsid w:val="000B48D1"/>
    <w:rsid w:val="000B5040"/>
    <w:rsid w:val="000B6C88"/>
    <w:rsid w:val="000B7375"/>
    <w:rsid w:val="000B74A7"/>
    <w:rsid w:val="000B7C12"/>
    <w:rsid w:val="000C0CD7"/>
    <w:rsid w:val="000C102B"/>
    <w:rsid w:val="000C2160"/>
    <w:rsid w:val="000C2358"/>
    <w:rsid w:val="000C2562"/>
    <w:rsid w:val="000C2D79"/>
    <w:rsid w:val="000C3412"/>
    <w:rsid w:val="000C3B6F"/>
    <w:rsid w:val="000C45E2"/>
    <w:rsid w:val="000C47EE"/>
    <w:rsid w:val="000C4D83"/>
    <w:rsid w:val="000C5DCB"/>
    <w:rsid w:val="000C7232"/>
    <w:rsid w:val="000C7F48"/>
    <w:rsid w:val="000D0851"/>
    <w:rsid w:val="000D0BF6"/>
    <w:rsid w:val="000D0DB7"/>
    <w:rsid w:val="000D1A34"/>
    <w:rsid w:val="000D24EA"/>
    <w:rsid w:val="000D25CC"/>
    <w:rsid w:val="000D32A9"/>
    <w:rsid w:val="000D3C7B"/>
    <w:rsid w:val="000D3E7E"/>
    <w:rsid w:val="000D4A03"/>
    <w:rsid w:val="000D5AE4"/>
    <w:rsid w:val="000D5F8E"/>
    <w:rsid w:val="000D63BA"/>
    <w:rsid w:val="000D667D"/>
    <w:rsid w:val="000D6858"/>
    <w:rsid w:val="000E0324"/>
    <w:rsid w:val="000E0858"/>
    <w:rsid w:val="000E08E8"/>
    <w:rsid w:val="000E0C89"/>
    <w:rsid w:val="000E0CD5"/>
    <w:rsid w:val="000E1491"/>
    <w:rsid w:val="000E14B2"/>
    <w:rsid w:val="000E176C"/>
    <w:rsid w:val="000E1940"/>
    <w:rsid w:val="000E23C1"/>
    <w:rsid w:val="000E2ACE"/>
    <w:rsid w:val="000E39E1"/>
    <w:rsid w:val="000E3A41"/>
    <w:rsid w:val="000E4087"/>
    <w:rsid w:val="000E422B"/>
    <w:rsid w:val="000E43B5"/>
    <w:rsid w:val="000E48A7"/>
    <w:rsid w:val="000E4AB6"/>
    <w:rsid w:val="000E59E3"/>
    <w:rsid w:val="000E6314"/>
    <w:rsid w:val="000E76BE"/>
    <w:rsid w:val="000E7C52"/>
    <w:rsid w:val="000E7CAF"/>
    <w:rsid w:val="000E7D70"/>
    <w:rsid w:val="000E7EDD"/>
    <w:rsid w:val="000F0D36"/>
    <w:rsid w:val="000F0D7C"/>
    <w:rsid w:val="000F0EC7"/>
    <w:rsid w:val="000F2132"/>
    <w:rsid w:val="000F264F"/>
    <w:rsid w:val="000F2C85"/>
    <w:rsid w:val="000F3337"/>
    <w:rsid w:val="000F3BF4"/>
    <w:rsid w:val="000F43D7"/>
    <w:rsid w:val="000F4596"/>
    <w:rsid w:val="000F4811"/>
    <w:rsid w:val="000F51DC"/>
    <w:rsid w:val="000F52BA"/>
    <w:rsid w:val="000F6256"/>
    <w:rsid w:val="000F6578"/>
    <w:rsid w:val="000F6ABD"/>
    <w:rsid w:val="000F6EE8"/>
    <w:rsid w:val="000F7C1F"/>
    <w:rsid w:val="000F7E0E"/>
    <w:rsid w:val="00100208"/>
    <w:rsid w:val="00101275"/>
    <w:rsid w:val="00101473"/>
    <w:rsid w:val="00101AF8"/>
    <w:rsid w:val="00101D78"/>
    <w:rsid w:val="00101D92"/>
    <w:rsid w:val="00101E16"/>
    <w:rsid w:val="001025DA"/>
    <w:rsid w:val="00103255"/>
    <w:rsid w:val="001034BF"/>
    <w:rsid w:val="00103D7D"/>
    <w:rsid w:val="00104B22"/>
    <w:rsid w:val="00104DEC"/>
    <w:rsid w:val="0010577E"/>
    <w:rsid w:val="00105E54"/>
    <w:rsid w:val="00107F54"/>
    <w:rsid w:val="0011214C"/>
    <w:rsid w:val="001126B1"/>
    <w:rsid w:val="00114641"/>
    <w:rsid w:val="00115C50"/>
    <w:rsid w:val="00115E9F"/>
    <w:rsid w:val="00116223"/>
    <w:rsid w:val="001162DA"/>
    <w:rsid w:val="001169D6"/>
    <w:rsid w:val="00116AA9"/>
    <w:rsid w:val="001177DE"/>
    <w:rsid w:val="00117FB5"/>
    <w:rsid w:val="0012045C"/>
    <w:rsid w:val="00122244"/>
    <w:rsid w:val="00123567"/>
    <w:rsid w:val="00123E66"/>
    <w:rsid w:val="00124147"/>
    <w:rsid w:val="001247D1"/>
    <w:rsid w:val="00125C4D"/>
    <w:rsid w:val="0012632C"/>
    <w:rsid w:val="00126646"/>
    <w:rsid w:val="00126CC5"/>
    <w:rsid w:val="001270E4"/>
    <w:rsid w:val="001278DB"/>
    <w:rsid w:val="00127B8B"/>
    <w:rsid w:val="0013020F"/>
    <w:rsid w:val="0013022C"/>
    <w:rsid w:val="0013048F"/>
    <w:rsid w:val="00131650"/>
    <w:rsid w:val="00131706"/>
    <w:rsid w:val="00131975"/>
    <w:rsid w:val="001325DD"/>
    <w:rsid w:val="001328F0"/>
    <w:rsid w:val="00132A57"/>
    <w:rsid w:val="00132B42"/>
    <w:rsid w:val="00132C01"/>
    <w:rsid w:val="0013370A"/>
    <w:rsid w:val="00133C02"/>
    <w:rsid w:val="00134A3C"/>
    <w:rsid w:val="00135A8A"/>
    <w:rsid w:val="001367FE"/>
    <w:rsid w:val="001369C1"/>
    <w:rsid w:val="0013755F"/>
    <w:rsid w:val="001378C9"/>
    <w:rsid w:val="00137A97"/>
    <w:rsid w:val="0014008A"/>
    <w:rsid w:val="001406B0"/>
    <w:rsid w:val="00140A83"/>
    <w:rsid w:val="00140CB2"/>
    <w:rsid w:val="00140F75"/>
    <w:rsid w:val="001413D4"/>
    <w:rsid w:val="00141473"/>
    <w:rsid w:val="0014171F"/>
    <w:rsid w:val="001417DC"/>
    <w:rsid w:val="00141A65"/>
    <w:rsid w:val="001427AE"/>
    <w:rsid w:val="001430C7"/>
    <w:rsid w:val="001431E4"/>
    <w:rsid w:val="001433EC"/>
    <w:rsid w:val="0014410E"/>
    <w:rsid w:val="00144160"/>
    <w:rsid w:val="00144542"/>
    <w:rsid w:val="001445E9"/>
    <w:rsid w:val="00144818"/>
    <w:rsid w:val="0014593C"/>
    <w:rsid w:val="00146139"/>
    <w:rsid w:val="00146280"/>
    <w:rsid w:val="00147BE2"/>
    <w:rsid w:val="00147F3C"/>
    <w:rsid w:val="00150077"/>
    <w:rsid w:val="001507B8"/>
    <w:rsid w:val="00150AF3"/>
    <w:rsid w:val="001516ED"/>
    <w:rsid w:val="00151751"/>
    <w:rsid w:val="00151993"/>
    <w:rsid w:val="00151E67"/>
    <w:rsid w:val="001525DB"/>
    <w:rsid w:val="00152621"/>
    <w:rsid w:val="001534E1"/>
    <w:rsid w:val="001536F9"/>
    <w:rsid w:val="0015414F"/>
    <w:rsid w:val="001544D1"/>
    <w:rsid w:val="00154B0D"/>
    <w:rsid w:val="00154C61"/>
    <w:rsid w:val="00155BC9"/>
    <w:rsid w:val="0015665B"/>
    <w:rsid w:val="00156A7D"/>
    <w:rsid w:val="00156D8B"/>
    <w:rsid w:val="00156F3C"/>
    <w:rsid w:val="00160CD6"/>
    <w:rsid w:val="00160CE1"/>
    <w:rsid w:val="00161499"/>
    <w:rsid w:val="00162BC7"/>
    <w:rsid w:val="00162F32"/>
    <w:rsid w:val="00163A6A"/>
    <w:rsid w:val="00164476"/>
    <w:rsid w:val="0016583F"/>
    <w:rsid w:val="001659D1"/>
    <w:rsid w:val="001667FD"/>
    <w:rsid w:val="001671F1"/>
    <w:rsid w:val="001673F1"/>
    <w:rsid w:val="00167A1B"/>
    <w:rsid w:val="00170423"/>
    <w:rsid w:val="0017059F"/>
    <w:rsid w:val="001710CD"/>
    <w:rsid w:val="00171EAD"/>
    <w:rsid w:val="00171FD2"/>
    <w:rsid w:val="001723B2"/>
    <w:rsid w:val="00172749"/>
    <w:rsid w:val="00173786"/>
    <w:rsid w:val="00173B38"/>
    <w:rsid w:val="00173BC9"/>
    <w:rsid w:val="00174852"/>
    <w:rsid w:val="00174880"/>
    <w:rsid w:val="001751FD"/>
    <w:rsid w:val="001754C7"/>
    <w:rsid w:val="001758E9"/>
    <w:rsid w:val="0017692B"/>
    <w:rsid w:val="00177560"/>
    <w:rsid w:val="00177EC3"/>
    <w:rsid w:val="001800F0"/>
    <w:rsid w:val="001801BB"/>
    <w:rsid w:val="00180905"/>
    <w:rsid w:val="00180C43"/>
    <w:rsid w:val="00180E68"/>
    <w:rsid w:val="001815C1"/>
    <w:rsid w:val="001825D6"/>
    <w:rsid w:val="001832E5"/>
    <w:rsid w:val="00183B1A"/>
    <w:rsid w:val="00184FE1"/>
    <w:rsid w:val="001850DA"/>
    <w:rsid w:val="00185655"/>
    <w:rsid w:val="0018606E"/>
    <w:rsid w:val="00186C32"/>
    <w:rsid w:val="001877F6"/>
    <w:rsid w:val="00187DF8"/>
    <w:rsid w:val="00190C87"/>
    <w:rsid w:val="00191086"/>
    <w:rsid w:val="00191685"/>
    <w:rsid w:val="0019170C"/>
    <w:rsid w:val="00192043"/>
    <w:rsid w:val="001929E6"/>
    <w:rsid w:val="00192B10"/>
    <w:rsid w:val="00193028"/>
    <w:rsid w:val="00193077"/>
    <w:rsid w:val="00193A9F"/>
    <w:rsid w:val="0019404A"/>
    <w:rsid w:val="0019560B"/>
    <w:rsid w:val="00195B6B"/>
    <w:rsid w:val="00195DF6"/>
    <w:rsid w:val="001A0703"/>
    <w:rsid w:val="001A07E3"/>
    <w:rsid w:val="001A14EA"/>
    <w:rsid w:val="001A348F"/>
    <w:rsid w:val="001A3516"/>
    <w:rsid w:val="001A3EE9"/>
    <w:rsid w:val="001A4122"/>
    <w:rsid w:val="001A419C"/>
    <w:rsid w:val="001A4555"/>
    <w:rsid w:val="001A4BE6"/>
    <w:rsid w:val="001A4FF3"/>
    <w:rsid w:val="001A5A4E"/>
    <w:rsid w:val="001A5BEE"/>
    <w:rsid w:val="001A5C8E"/>
    <w:rsid w:val="001A5EAE"/>
    <w:rsid w:val="001A70D5"/>
    <w:rsid w:val="001A7427"/>
    <w:rsid w:val="001A79EB"/>
    <w:rsid w:val="001A7A9C"/>
    <w:rsid w:val="001A7B24"/>
    <w:rsid w:val="001A7C7A"/>
    <w:rsid w:val="001A7E2E"/>
    <w:rsid w:val="001A7ECB"/>
    <w:rsid w:val="001B087A"/>
    <w:rsid w:val="001B12B3"/>
    <w:rsid w:val="001B26CF"/>
    <w:rsid w:val="001B2F5B"/>
    <w:rsid w:val="001B36F8"/>
    <w:rsid w:val="001B3782"/>
    <w:rsid w:val="001B3922"/>
    <w:rsid w:val="001B3C19"/>
    <w:rsid w:val="001B3E84"/>
    <w:rsid w:val="001B4767"/>
    <w:rsid w:val="001B4DCF"/>
    <w:rsid w:val="001B4DE6"/>
    <w:rsid w:val="001B4F7C"/>
    <w:rsid w:val="001B5010"/>
    <w:rsid w:val="001B5216"/>
    <w:rsid w:val="001B57EC"/>
    <w:rsid w:val="001B6D28"/>
    <w:rsid w:val="001B7CAD"/>
    <w:rsid w:val="001B7E2A"/>
    <w:rsid w:val="001C0658"/>
    <w:rsid w:val="001C1FD5"/>
    <w:rsid w:val="001C245C"/>
    <w:rsid w:val="001C2BC7"/>
    <w:rsid w:val="001C2F8C"/>
    <w:rsid w:val="001C3795"/>
    <w:rsid w:val="001C4DE9"/>
    <w:rsid w:val="001C58DF"/>
    <w:rsid w:val="001C610C"/>
    <w:rsid w:val="001C6339"/>
    <w:rsid w:val="001D04EA"/>
    <w:rsid w:val="001D0673"/>
    <w:rsid w:val="001D0780"/>
    <w:rsid w:val="001D13E7"/>
    <w:rsid w:val="001D179C"/>
    <w:rsid w:val="001D1FD4"/>
    <w:rsid w:val="001D2474"/>
    <w:rsid w:val="001D2BE8"/>
    <w:rsid w:val="001D2E94"/>
    <w:rsid w:val="001D3B97"/>
    <w:rsid w:val="001D41F3"/>
    <w:rsid w:val="001D4941"/>
    <w:rsid w:val="001D5140"/>
    <w:rsid w:val="001D565C"/>
    <w:rsid w:val="001D5B7A"/>
    <w:rsid w:val="001D6739"/>
    <w:rsid w:val="001D7A6F"/>
    <w:rsid w:val="001E0C1F"/>
    <w:rsid w:val="001E10B3"/>
    <w:rsid w:val="001E1D8B"/>
    <w:rsid w:val="001E2200"/>
    <w:rsid w:val="001E23D5"/>
    <w:rsid w:val="001E2920"/>
    <w:rsid w:val="001E2D5A"/>
    <w:rsid w:val="001E30AE"/>
    <w:rsid w:val="001E383C"/>
    <w:rsid w:val="001E3C57"/>
    <w:rsid w:val="001E46DC"/>
    <w:rsid w:val="001E4B46"/>
    <w:rsid w:val="001E504D"/>
    <w:rsid w:val="001E5E19"/>
    <w:rsid w:val="001E6EB6"/>
    <w:rsid w:val="001E7038"/>
    <w:rsid w:val="001E7667"/>
    <w:rsid w:val="001E788D"/>
    <w:rsid w:val="001E7A92"/>
    <w:rsid w:val="001F0085"/>
    <w:rsid w:val="001F010C"/>
    <w:rsid w:val="001F01C2"/>
    <w:rsid w:val="001F03E3"/>
    <w:rsid w:val="001F0537"/>
    <w:rsid w:val="001F0E55"/>
    <w:rsid w:val="001F22A1"/>
    <w:rsid w:val="001F3017"/>
    <w:rsid w:val="001F3450"/>
    <w:rsid w:val="001F4385"/>
    <w:rsid w:val="001F4415"/>
    <w:rsid w:val="001F4A10"/>
    <w:rsid w:val="001F4A96"/>
    <w:rsid w:val="001F4B79"/>
    <w:rsid w:val="001F526D"/>
    <w:rsid w:val="001F54E7"/>
    <w:rsid w:val="001F5A4F"/>
    <w:rsid w:val="001F633A"/>
    <w:rsid w:val="001F76A9"/>
    <w:rsid w:val="001F76DD"/>
    <w:rsid w:val="001F791F"/>
    <w:rsid w:val="002000A3"/>
    <w:rsid w:val="0020013E"/>
    <w:rsid w:val="0020056F"/>
    <w:rsid w:val="00200707"/>
    <w:rsid w:val="00200F3D"/>
    <w:rsid w:val="002016E6"/>
    <w:rsid w:val="0020297F"/>
    <w:rsid w:val="00202E26"/>
    <w:rsid w:val="00202E49"/>
    <w:rsid w:val="00202FA0"/>
    <w:rsid w:val="002038CE"/>
    <w:rsid w:val="00204CA7"/>
    <w:rsid w:val="00205374"/>
    <w:rsid w:val="00205921"/>
    <w:rsid w:val="00206B4F"/>
    <w:rsid w:val="00206B8B"/>
    <w:rsid w:val="00206C2D"/>
    <w:rsid w:val="00206DE4"/>
    <w:rsid w:val="00207126"/>
    <w:rsid w:val="00207530"/>
    <w:rsid w:val="00207550"/>
    <w:rsid w:val="002076B6"/>
    <w:rsid w:val="0021001B"/>
    <w:rsid w:val="00210185"/>
    <w:rsid w:val="00210BCA"/>
    <w:rsid w:val="00210FF2"/>
    <w:rsid w:val="00211558"/>
    <w:rsid w:val="00212171"/>
    <w:rsid w:val="002121EA"/>
    <w:rsid w:val="00212508"/>
    <w:rsid w:val="00212855"/>
    <w:rsid w:val="00213D5D"/>
    <w:rsid w:val="00213E3A"/>
    <w:rsid w:val="00215A0E"/>
    <w:rsid w:val="00215C44"/>
    <w:rsid w:val="00215D31"/>
    <w:rsid w:val="00216C94"/>
    <w:rsid w:val="002179BA"/>
    <w:rsid w:val="00217A97"/>
    <w:rsid w:val="00217BDC"/>
    <w:rsid w:val="00217E06"/>
    <w:rsid w:val="002204F6"/>
    <w:rsid w:val="00220739"/>
    <w:rsid w:val="00220F9B"/>
    <w:rsid w:val="00221692"/>
    <w:rsid w:val="0022176F"/>
    <w:rsid w:val="002217DB"/>
    <w:rsid w:val="0022274C"/>
    <w:rsid w:val="00222FCE"/>
    <w:rsid w:val="00223578"/>
    <w:rsid w:val="002248D0"/>
    <w:rsid w:val="00224985"/>
    <w:rsid w:val="00224B8D"/>
    <w:rsid w:val="00224CA6"/>
    <w:rsid w:val="00224D52"/>
    <w:rsid w:val="00224E17"/>
    <w:rsid w:val="00224FDB"/>
    <w:rsid w:val="00225940"/>
    <w:rsid w:val="002268F1"/>
    <w:rsid w:val="00230BD9"/>
    <w:rsid w:val="00230C90"/>
    <w:rsid w:val="00230D1C"/>
    <w:rsid w:val="0023169A"/>
    <w:rsid w:val="00231848"/>
    <w:rsid w:val="00231FEA"/>
    <w:rsid w:val="002325B5"/>
    <w:rsid w:val="002326C6"/>
    <w:rsid w:val="002327FC"/>
    <w:rsid w:val="00232E7B"/>
    <w:rsid w:val="0023308F"/>
    <w:rsid w:val="0023348D"/>
    <w:rsid w:val="00233552"/>
    <w:rsid w:val="0023444F"/>
    <w:rsid w:val="00234C4C"/>
    <w:rsid w:val="0023579D"/>
    <w:rsid w:val="002367CF"/>
    <w:rsid w:val="00236D9F"/>
    <w:rsid w:val="00237E5C"/>
    <w:rsid w:val="0024005C"/>
    <w:rsid w:val="00240CD3"/>
    <w:rsid w:val="00240D80"/>
    <w:rsid w:val="00240DA0"/>
    <w:rsid w:val="002413E6"/>
    <w:rsid w:val="002418F3"/>
    <w:rsid w:val="00241925"/>
    <w:rsid w:val="0024267D"/>
    <w:rsid w:val="002426D4"/>
    <w:rsid w:val="002428CD"/>
    <w:rsid w:val="00242A16"/>
    <w:rsid w:val="00242D01"/>
    <w:rsid w:val="00242E09"/>
    <w:rsid w:val="00243055"/>
    <w:rsid w:val="002430D8"/>
    <w:rsid w:val="002432B2"/>
    <w:rsid w:val="00243F50"/>
    <w:rsid w:val="002446CA"/>
    <w:rsid w:val="002448C3"/>
    <w:rsid w:val="00244E4A"/>
    <w:rsid w:val="0024586E"/>
    <w:rsid w:val="00245DDC"/>
    <w:rsid w:val="00246065"/>
    <w:rsid w:val="0024762E"/>
    <w:rsid w:val="0024764B"/>
    <w:rsid w:val="00247EC9"/>
    <w:rsid w:val="002500C9"/>
    <w:rsid w:val="0025052D"/>
    <w:rsid w:val="002507CE"/>
    <w:rsid w:val="0025120D"/>
    <w:rsid w:val="00252E7D"/>
    <w:rsid w:val="00252F29"/>
    <w:rsid w:val="00253344"/>
    <w:rsid w:val="0025475E"/>
    <w:rsid w:val="002548EB"/>
    <w:rsid w:val="00254D6A"/>
    <w:rsid w:val="00255002"/>
    <w:rsid w:val="0025528F"/>
    <w:rsid w:val="002558FD"/>
    <w:rsid w:val="00255E8A"/>
    <w:rsid w:val="002560AE"/>
    <w:rsid w:val="00256A74"/>
    <w:rsid w:val="00256BD8"/>
    <w:rsid w:val="00256FA4"/>
    <w:rsid w:val="002574FB"/>
    <w:rsid w:val="00260205"/>
    <w:rsid w:val="002604AD"/>
    <w:rsid w:val="0026176F"/>
    <w:rsid w:val="0026215A"/>
    <w:rsid w:val="002622E6"/>
    <w:rsid w:val="002625ED"/>
    <w:rsid w:val="00262997"/>
    <w:rsid w:val="00262A1F"/>
    <w:rsid w:val="00263A99"/>
    <w:rsid w:val="00264533"/>
    <w:rsid w:val="0026470C"/>
    <w:rsid w:val="00264BAB"/>
    <w:rsid w:val="002654BB"/>
    <w:rsid w:val="00265610"/>
    <w:rsid w:val="0026611A"/>
    <w:rsid w:val="00267979"/>
    <w:rsid w:val="00271574"/>
    <w:rsid w:val="002718CD"/>
    <w:rsid w:val="00272807"/>
    <w:rsid w:val="00272AE8"/>
    <w:rsid w:val="00273714"/>
    <w:rsid w:val="0027426F"/>
    <w:rsid w:val="00274C4B"/>
    <w:rsid w:val="00275687"/>
    <w:rsid w:val="0027680A"/>
    <w:rsid w:val="00276B9D"/>
    <w:rsid w:val="00276FFA"/>
    <w:rsid w:val="0027723F"/>
    <w:rsid w:val="002772C0"/>
    <w:rsid w:val="0028035D"/>
    <w:rsid w:val="00280889"/>
    <w:rsid w:val="00280C1F"/>
    <w:rsid w:val="00280DF4"/>
    <w:rsid w:val="00280EC9"/>
    <w:rsid w:val="002813AB"/>
    <w:rsid w:val="00282773"/>
    <w:rsid w:val="0028478B"/>
    <w:rsid w:val="002847C4"/>
    <w:rsid w:val="00285444"/>
    <w:rsid w:val="00285694"/>
    <w:rsid w:val="00286912"/>
    <w:rsid w:val="00287B52"/>
    <w:rsid w:val="00290CB7"/>
    <w:rsid w:val="00290D21"/>
    <w:rsid w:val="0029155B"/>
    <w:rsid w:val="00291746"/>
    <w:rsid w:val="002923F3"/>
    <w:rsid w:val="00292C49"/>
    <w:rsid w:val="00293B5E"/>
    <w:rsid w:val="002941FF"/>
    <w:rsid w:val="002959F9"/>
    <w:rsid w:val="00295DF7"/>
    <w:rsid w:val="00297203"/>
    <w:rsid w:val="002975EB"/>
    <w:rsid w:val="00297A88"/>
    <w:rsid w:val="002A00E6"/>
    <w:rsid w:val="002A0FD5"/>
    <w:rsid w:val="002A14B1"/>
    <w:rsid w:val="002A1815"/>
    <w:rsid w:val="002A1996"/>
    <w:rsid w:val="002A1DD3"/>
    <w:rsid w:val="002A1DFF"/>
    <w:rsid w:val="002A2399"/>
    <w:rsid w:val="002A24DD"/>
    <w:rsid w:val="002A255A"/>
    <w:rsid w:val="002A3391"/>
    <w:rsid w:val="002A363B"/>
    <w:rsid w:val="002A460B"/>
    <w:rsid w:val="002A4AA4"/>
    <w:rsid w:val="002A5290"/>
    <w:rsid w:val="002A5FDC"/>
    <w:rsid w:val="002A65D0"/>
    <w:rsid w:val="002B093F"/>
    <w:rsid w:val="002B1202"/>
    <w:rsid w:val="002B1539"/>
    <w:rsid w:val="002B1682"/>
    <w:rsid w:val="002B17CF"/>
    <w:rsid w:val="002B2547"/>
    <w:rsid w:val="002B2CC2"/>
    <w:rsid w:val="002B2E92"/>
    <w:rsid w:val="002B37A8"/>
    <w:rsid w:val="002B3D05"/>
    <w:rsid w:val="002B3DC7"/>
    <w:rsid w:val="002B44F7"/>
    <w:rsid w:val="002B51BA"/>
    <w:rsid w:val="002B5469"/>
    <w:rsid w:val="002B5F72"/>
    <w:rsid w:val="002B694F"/>
    <w:rsid w:val="002B6AFB"/>
    <w:rsid w:val="002B6B89"/>
    <w:rsid w:val="002B6E3F"/>
    <w:rsid w:val="002B7967"/>
    <w:rsid w:val="002B7F62"/>
    <w:rsid w:val="002B7FCA"/>
    <w:rsid w:val="002C1321"/>
    <w:rsid w:val="002C1494"/>
    <w:rsid w:val="002C1A42"/>
    <w:rsid w:val="002C1F81"/>
    <w:rsid w:val="002C2104"/>
    <w:rsid w:val="002C28AD"/>
    <w:rsid w:val="002C2D5D"/>
    <w:rsid w:val="002C2FCD"/>
    <w:rsid w:val="002C37C8"/>
    <w:rsid w:val="002C3C81"/>
    <w:rsid w:val="002C4896"/>
    <w:rsid w:val="002C55D7"/>
    <w:rsid w:val="002C5AAE"/>
    <w:rsid w:val="002C633C"/>
    <w:rsid w:val="002C6B66"/>
    <w:rsid w:val="002C7385"/>
    <w:rsid w:val="002D057F"/>
    <w:rsid w:val="002D0EC2"/>
    <w:rsid w:val="002D16C2"/>
    <w:rsid w:val="002D1960"/>
    <w:rsid w:val="002D263F"/>
    <w:rsid w:val="002D302F"/>
    <w:rsid w:val="002D322E"/>
    <w:rsid w:val="002D324E"/>
    <w:rsid w:val="002D3419"/>
    <w:rsid w:val="002D4185"/>
    <w:rsid w:val="002D4A23"/>
    <w:rsid w:val="002D5E65"/>
    <w:rsid w:val="002D6A1F"/>
    <w:rsid w:val="002D6D2E"/>
    <w:rsid w:val="002D73B3"/>
    <w:rsid w:val="002D7D2A"/>
    <w:rsid w:val="002D7EEF"/>
    <w:rsid w:val="002E01C3"/>
    <w:rsid w:val="002E0DAB"/>
    <w:rsid w:val="002E1296"/>
    <w:rsid w:val="002E1874"/>
    <w:rsid w:val="002E2481"/>
    <w:rsid w:val="002E2981"/>
    <w:rsid w:val="002E2CBD"/>
    <w:rsid w:val="002E2D35"/>
    <w:rsid w:val="002E305D"/>
    <w:rsid w:val="002E3076"/>
    <w:rsid w:val="002E4084"/>
    <w:rsid w:val="002E4BA9"/>
    <w:rsid w:val="002E4F47"/>
    <w:rsid w:val="002E5434"/>
    <w:rsid w:val="002E6AA1"/>
    <w:rsid w:val="002E6DAD"/>
    <w:rsid w:val="002F020D"/>
    <w:rsid w:val="002F06AF"/>
    <w:rsid w:val="002F0F16"/>
    <w:rsid w:val="002F100D"/>
    <w:rsid w:val="002F13D9"/>
    <w:rsid w:val="002F15FB"/>
    <w:rsid w:val="002F1A45"/>
    <w:rsid w:val="002F2442"/>
    <w:rsid w:val="002F26B5"/>
    <w:rsid w:val="002F2F3A"/>
    <w:rsid w:val="002F3589"/>
    <w:rsid w:val="002F3D91"/>
    <w:rsid w:val="002F46F7"/>
    <w:rsid w:val="002F484A"/>
    <w:rsid w:val="002F4ACA"/>
    <w:rsid w:val="002F5EE8"/>
    <w:rsid w:val="002F6763"/>
    <w:rsid w:val="002F6DB7"/>
    <w:rsid w:val="002F74F6"/>
    <w:rsid w:val="00300041"/>
    <w:rsid w:val="00300E7A"/>
    <w:rsid w:val="00301777"/>
    <w:rsid w:val="003017B3"/>
    <w:rsid w:val="00301C3A"/>
    <w:rsid w:val="00302043"/>
    <w:rsid w:val="003025E0"/>
    <w:rsid w:val="003026DF"/>
    <w:rsid w:val="00302AEB"/>
    <w:rsid w:val="003041D9"/>
    <w:rsid w:val="00305E25"/>
    <w:rsid w:val="00305F66"/>
    <w:rsid w:val="0030629B"/>
    <w:rsid w:val="003063FF"/>
    <w:rsid w:val="00307797"/>
    <w:rsid w:val="0031085A"/>
    <w:rsid w:val="00310DED"/>
    <w:rsid w:val="00310E05"/>
    <w:rsid w:val="0031207F"/>
    <w:rsid w:val="0031287B"/>
    <w:rsid w:val="003129F6"/>
    <w:rsid w:val="00312F3C"/>
    <w:rsid w:val="00312F84"/>
    <w:rsid w:val="00313B59"/>
    <w:rsid w:val="00313FF7"/>
    <w:rsid w:val="00314DA8"/>
    <w:rsid w:val="00314DD5"/>
    <w:rsid w:val="00316127"/>
    <w:rsid w:val="00316D0D"/>
    <w:rsid w:val="00317DFB"/>
    <w:rsid w:val="0032045B"/>
    <w:rsid w:val="00320D13"/>
    <w:rsid w:val="00320D5B"/>
    <w:rsid w:val="00321C75"/>
    <w:rsid w:val="00321DC5"/>
    <w:rsid w:val="003221B0"/>
    <w:rsid w:val="0032236E"/>
    <w:rsid w:val="00322F8F"/>
    <w:rsid w:val="003232FA"/>
    <w:rsid w:val="00323382"/>
    <w:rsid w:val="003233D8"/>
    <w:rsid w:val="0032356C"/>
    <w:rsid w:val="003235A7"/>
    <w:rsid w:val="0032412E"/>
    <w:rsid w:val="003253E0"/>
    <w:rsid w:val="00326683"/>
    <w:rsid w:val="0032692F"/>
    <w:rsid w:val="00326E64"/>
    <w:rsid w:val="00327415"/>
    <w:rsid w:val="003278FE"/>
    <w:rsid w:val="00327FBE"/>
    <w:rsid w:val="00330262"/>
    <w:rsid w:val="003309EA"/>
    <w:rsid w:val="00330B72"/>
    <w:rsid w:val="00330BB8"/>
    <w:rsid w:val="003311D8"/>
    <w:rsid w:val="00331943"/>
    <w:rsid w:val="00332066"/>
    <w:rsid w:val="00332178"/>
    <w:rsid w:val="00332EDC"/>
    <w:rsid w:val="00334573"/>
    <w:rsid w:val="00334F96"/>
    <w:rsid w:val="00335355"/>
    <w:rsid w:val="003355A7"/>
    <w:rsid w:val="00335D6C"/>
    <w:rsid w:val="00337CDA"/>
    <w:rsid w:val="003424E6"/>
    <w:rsid w:val="0034293C"/>
    <w:rsid w:val="00342B02"/>
    <w:rsid w:val="00342BFB"/>
    <w:rsid w:val="003434E3"/>
    <w:rsid w:val="00343D63"/>
    <w:rsid w:val="00344ECD"/>
    <w:rsid w:val="00344FD8"/>
    <w:rsid w:val="0034516E"/>
    <w:rsid w:val="0034570F"/>
    <w:rsid w:val="0034616E"/>
    <w:rsid w:val="00346371"/>
    <w:rsid w:val="00346B9E"/>
    <w:rsid w:val="003478BE"/>
    <w:rsid w:val="00347C3B"/>
    <w:rsid w:val="00347CE3"/>
    <w:rsid w:val="00347F7F"/>
    <w:rsid w:val="003501D2"/>
    <w:rsid w:val="003511C2"/>
    <w:rsid w:val="003522EC"/>
    <w:rsid w:val="0035242C"/>
    <w:rsid w:val="00354040"/>
    <w:rsid w:val="003540A6"/>
    <w:rsid w:val="00354C2B"/>
    <w:rsid w:val="00355B6F"/>
    <w:rsid w:val="003561E6"/>
    <w:rsid w:val="0035661C"/>
    <w:rsid w:val="00356D86"/>
    <w:rsid w:val="00356E1C"/>
    <w:rsid w:val="00356F9F"/>
    <w:rsid w:val="00356FAA"/>
    <w:rsid w:val="00357773"/>
    <w:rsid w:val="0036141F"/>
    <w:rsid w:val="00361B14"/>
    <w:rsid w:val="0036226E"/>
    <w:rsid w:val="0036265C"/>
    <w:rsid w:val="0036354D"/>
    <w:rsid w:val="00364895"/>
    <w:rsid w:val="00365CDA"/>
    <w:rsid w:val="003671B1"/>
    <w:rsid w:val="00370851"/>
    <w:rsid w:val="00370EE0"/>
    <w:rsid w:val="0037158B"/>
    <w:rsid w:val="00372082"/>
    <w:rsid w:val="00372F1A"/>
    <w:rsid w:val="00375133"/>
    <w:rsid w:val="00375260"/>
    <w:rsid w:val="00375A2B"/>
    <w:rsid w:val="00375AC3"/>
    <w:rsid w:val="0037640C"/>
    <w:rsid w:val="00376623"/>
    <w:rsid w:val="00376BBA"/>
    <w:rsid w:val="0037776A"/>
    <w:rsid w:val="00377975"/>
    <w:rsid w:val="003779F2"/>
    <w:rsid w:val="00377A63"/>
    <w:rsid w:val="00377CF4"/>
    <w:rsid w:val="0038003D"/>
    <w:rsid w:val="00380A1D"/>
    <w:rsid w:val="00380C7F"/>
    <w:rsid w:val="00381124"/>
    <w:rsid w:val="0038143B"/>
    <w:rsid w:val="003819F2"/>
    <w:rsid w:val="00381AD4"/>
    <w:rsid w:val="003823B4"/>
    <w:rsid w:val="00382400"/>
    <w:rsid w:val="00382470"/>
    <w:rsid w:val="003827C1"/>
    <w:rsid w:val="003830C3"/>
    <w:rsid w:val="00383C20"/>
    <w:rsid w:val="003858C8"/>
    <w:rsid w:val="003872D2"/>
    <w:rsid w:val="00387310"/>
    <w:rsid w:val="00387A5E"/>
    <w:rsid w:val="00387B5B"/>
    <w:rsid w:val="00387B91"/>
    <w:rsid w:val="00390377"/>
    <w:rsid w:val="00390EEB"/>
    <w:rsid w:val="003913D1"/>
    <w:rsid w:val="003915C2"/>
    <w:rsid w:val="0039166D"/>
    <w:rsid w:val="00391BB2"/>
    <w:rsid w:val="00392D34"/>
    <w:rsid w:val="00392EED"/>
    <w:rsid w:val="003931D7"/>
    <w:rsid w:val="00393222"/>
    <w:rsid w:val="003932EF"/>
    <w:rsid w:val="00393B71"/>
    <w:rsid w:val="0039482A"/>
    <w:rsid w:val="00394A3F"/>
    <w:rsid w:val="003951B7"/>
    <w:rsid w:val="00395629"/>
    <w:rsid w:val="00395791"/>
    <w:rsid w:val="00395F22"/>
    <w:rsid w:val="00396A80"/>
    <w:rsid w:val="00397F9F"/>
    <w:rsid w:val="00397FF3"/>
    <w:rsid w:val="003A0704"/>
    <w:rsid w:val="003A138F"/>
    <w:rsid w:val="003A1789"/>
    <w:rsid w:val="003A23F8"/>
    <w:rsid w:val="003A2582"/>
    <w:rsid w:val="003A2796"/>
    <w:rsid w:val="003A296D"/>
    <w:rsid w:val="003A2DD6"/>
    <w:rsid w:val="003A2FBC"/>
    <w:rsid w:val="003A36B9"/>
    <w:rsid w:val="003A3759"/>
    <w:rsid w:val="003A3F40"/>
    <w:rsid w:val="003A49A7"/>
    <w:rsid w:val="003A5011"/>
    <w:rsid w:val="003A59F9"/>
    <w:rsid w:val="003A5B93"/>
    <w:rsid w:val="003A7F6C"/>
    <w:rsid w:val="003B0A96"/>
    <w:rsid w:val="003B0F59"/>
    <w:rsid w:val="003B2BEC"/>
    <w:rsid w:val="003B31D0"/>
    <w:rsid w:val="003B3811"/>
    <w:rsid w:val="003B4C6E"/>
    <w:rsid w:val="003B4FD4"/>
    <w:rsid w:val="003B5769"/>
    <w:rsid w:val="003B5ABE"/>
    <w:rsid w:val="003B76C4"/>
    <w:rsid w:val="003B7E75"/>
    <w:rsid w:val="003B7F87"/>
    <w:rsid w:val="003C075C"/>
    <w:rsid w:val="003C0783"/>
    <w:rsid w:val="003C1C96"/>
    <w:rsid w:val="003C24A1"/>
    <w:rsid w:val="003C3206"/>
    <w:rsid w:val="003C3607"/>
    <w:rsid w:val="003C38E5"/>
    <w:rsid w:val="003C3F59"/>
    <w:rsid w:val="003C446F"/>
    <w:rsid w:val="003C466B"/>
    <w:rsid w:val="003C479D"/>
    <w:rsid w:val="003C47A9"/>
    <w:rsid w:val="003C4811"/>
    <w:rsid w:val="003C5717"/>
    <w:rsid w:val="003C604D"/>
    <w:rsid w:val="003C6175"/>
    <w:rsid w:val="003C6218"/>
    <w:rsid w:val="003C639F"/>
    <w:rsid w:val="003D05C2"/>
    <w:rsid w:val="003D062F"/>
    <w:rsid w:val="003D0967"/>
    <w:rsid w:val="003D0BF8"/>
    <w:rsid w:val="003D13BF"/>
    <w:rsid w:val="003D187B"/>
    <w:rsid w:val="003D21C6"/>
    <w:rsid w:val="003D2B10"/>
    <w:rsid w:val="003D2B12"/>
    <w:rsid w:val="003D32CA"/>
    <w:rsid w:val="003D3617"/>
    <w:rsid w:val="003D40E9"/>
    <w:rsid w:val="003D43D6"/>
    <w:rsid w:val="003D4C2B"/>
    <w:rsid w:val="003D4F13"/>
    <w:rsid w:val="003D6361"/>
    <w:rsid w:val="003D6D8E"/>
    <w:rsid w:val="003D6EC3"/>
    <w:rsid w:val="003D72F3"/>
    <w:rsid w:val="003D74E3"/>
    <w:rsid w:val="003D7898"/>
    <w:rsid w:val="003D7F4E"/>
    <w:rsid w:val="003E041C"/>
    <w:rsid w:val="003E078F"/>
    <w:rsid w:val="003E0BEF"/>
    <w:rsid w:val="003E18A6"/>
    <w:rsid w:val="003E1E17"/>
    <w:rsid w:val="003E54D2"/>
    <w:rsid w:val="003E5DDB"/>
    <w:rsid w:val="003E5FFB"/>
    <w:rsid w:val="003E6FAC"/>
    <w:rsid w:val="003E7229"/>
    <w:rsid w:val="003E792A"/>
    <w:rsid w:val="003E7BAF"/>
    <w:rsid w:val="003E7BF3"/>
    <w:rsid w:val="003F1255"/>
    <w:rsid w:val="003F1291"/>
    <w:rsid w:val="003F167B"/>
    <w:rsid w:val="003F16F8"/>
    <w:rsid w:val="003F17A6"/>
    <w:rsid w:val="003F27D7"/>
    <w:rsid w:val="003F3521"/>
    <w:rsid w:val="003F3715"/>
    <w:rsid w:val="003F4537"/>
    <w:rsid w:val="003F4961"/>
    <w:rsid w:val="003F5960"/>
    <w:rsid w:val="003F5B6D"/>
    <w:rsid w:val="003F6E4A"/>
    <w:rsid w:val="003F7E69"/>
    <w:rsid w:val="004002B8"/>
    <w:rsid w:val="0040033C"/>
    <w:rsid w:val="004009AB"/>
    <w:rsid w:val="00400B53"/>
    <w:rsid w:val="00400E28"/>
    <w:rsid w:val="00401B4C"/>
    <w:rsid w:val="00401CA6"/>
    <w:rsid w:val="00401FF7"/>
    <w:rsid w:val="00403D1A"/>
    <w:rsid w:val="004042E2"/>
    <w:rsid w:val="004057FC"/>
    <w:rsid w:val="004062C8"/>
    <w:rsid w:val="00406502"/>
    <w:rsid w:val="004071BC"/>
    <w:rsid w:val="00407380"/>
    <w:rsid w:val="004073AF"/>
    <w:rsid w:val="00410F8B"/>
    <w:rsid w:val="0041162E"/>
    <w:rsid w:val="0041178A"/>
    <w:rsid w:val="00412610"/>
    <w:rsid w:val="00412638"/>
    <w:rsid w:val="004127E3"/>
    <w:rsid w:val="00412A16"/>
    <w:rsid w:val="00414CCB"/>
    <w:rsid w:val="00414DA0"/>
    <w:rsid w:val="004151F9"/>
    <w:rsid w:val="00415987"/>
    <w:rsid w:val="00415EA0"/>
    <w:rsid w:val="00416922"/>
    <w:rsid w:val="004169E6"/>
    <w:rsid w:val="00416FBA"/>
    <w:rsid w:val="00417762"/>
    <w:rsid w:val="00417BC6"/>
    <w:rsid w:val="00420260"/>
    <w:rsid w:val="00420888"/>
    <w:rsid w:val="004219EC"/>
    <w:rsid w:val="00421B18"/>
    <w:rsid w:val="00421C90"/>
    <w:rsid w:val="004224AC"/>
    <w:rsid w:val="0042377E"/>
    <w:rsid w:val="00424113"/>
    <w:rsid w:val="004244D7"/>
    <w:rsid w:val="004245C9"/>
    <w:rsid w:val="0042475B"/>
    <w:rsid w:val="00424C5D"/>
    <w:rsid w:val="00425C03"/>
    <w:rsid w:val="004260EB"/>
    <w:rsid w:val="00426875"/>
    <w:rsid w:val="00430410"/>
    <w:rsid w:val="00430FA5"/>
    <w:rsid w:val="00431F65"/>
    <w:rsid w:val="004321D0"/>
    <w:rsid w:val="00432947"/>
    <w:rsid w:val="00432ECF"/>
    <w:rsid w:val="00435567"/>
    <w:rsid w:val="004355F4"/>
    <w:rsid w:val="00435D1B"/>
    <w:rsid w:val="00436291"/>
    <w:rsid w:val="004367A1"/>
    <w:rsid w:val="00436988"/>
    <w:rsid w:val="00436D9B"/>
    <w:rsid w:val="0043705A"/>
    <w:rsid w:val="0043764A"/>
    <w:rsid w:val="00437F6D"/>
    <w:rsid w:val="004409B3"/>
    <w:rsid w:val="00440F93"/>
    <w:rsid w:val="004410CA"/>
    <w:rsid w:val="00441847"/>
    <w:rsid w:val="00441F41"/>
    <w:rsid w:val="004423F4"/>
    <w:rsid w:val="004426E2"/>
    <w:rsid w:val="004427C0"/>
    <w:rsid w:val="00443614"/>
    <w:rsid w:val="004438AA"/>
    <w:rsid w:val="004443DA"/>
    <w:rsid w:val="0044480C"/>
    <w:rsid w:val="004449FC"/>
    <w:rsid w:val="00444BA0"/>
    <w:rsid w:val="00444FA8"/>
    <w:rsid w:val="004459D8"/>
    <w:rsid w:val="00445A8C"/>
    <w:rsid w:val="004467C0"/>
    <w:rsid w:val="00446D03"/>
    <w:rsid w:val="00447260"/>
    <w:rsid w:val="004501BD"/>
    <w:rsid w:val="004509A5"/>
    <w:rsid w:val="004509EE"/>
    <w:rsid w:val="0045142F"/>
    <w:rsid w:val="004515BF"/>
    <w:rsid w:val="00451D95"/>
    <w:rsid w:val="0045209E"/>
    <w:rsid w:val="0045298C"/>
    <w:rsid w:val="004530D3"/>
    <w:rsid w:val="00453258"/>
    <w:rsid w:val="00453437"/>
    <w:rsid w:val="00453C62"/>
    <w:rsid w:val="004544BA"/>
    <w:rsid w:val="00454D86"/>
    <w:rsid w:val="0045560A"/>
    <w:rsid w:val="00455C25"/>
    <w:rsid w:val="00456758"/>
    <w:rsid w:val="0045685F"/>
    <w:rsid w:val="00456ADC"/>
    <w:rsid w:val="00456BBD"/>
    <w:rsid w:val="00456E88"/>
    <w:rsid w:val="00457039"/>
    <w:rsid w:val="00460649"/>
    <w:rsid w:val="004606E6"/>
    <w:rsid w:val="00462148"/>
    <w:rsid w:val="004623C8"/>
    <w:rsid w:val="004625D7"/>
    <w:rsid w:val="00462DA6"/>
    <w:rsid w:val="004639B1"/>
    <w:rsid w:val="0046429D"/>
    <w:rsid w:val="00464327"/>
    <w:rsid w:val="00464891"/>
    <w:rsid w:val="00464AE0"/>
    <w:rsid w:val="00466EB9"/>
    <w:rsid w:val="00467152"/>
    <w:rsid w:val="0046782A"/>
    <w:rsid w:val="00467DBE"/>
    <w:rsid w:val="00467E57"/>
    <w:rsid w:val="00471E6A"/>
    <w:rsid w:val="004722FF"/>
    <w:rsid w:val="00472805"/>
    <w:rsid w:val="00472A18"/>
    <w:rsid w:val="00473840"/>
    <w:rsid w:val="00473F9C"/>
    <w:rsid w:val="00474282"/>
    <w:rsid w:val="004746E3"/>
    <w:rsid w:val="004747FD"/>
    <w:rsid w:val="00476C61"/>
    <w:rsid w:val="00477B50"/>
    <w:rsid w:val="0048044B"/>
    <w:rsid w:val="004811CD"/>
    <w:rsid w:val="00481531"/>
    <w:rsid w:val="0048172E"/>
    <w:rsid w:val="00484490"/>
    <w:rsid w:val="00484D3A"/>
    <w:rsid w:val="004850B9"/>
    <w:rsid w:val="00485649"/>
    <w:rsid w:val="00485D3D"/>
    <w:rsid w:val="00485DA3"/>
    <w:rsid w:val="00486193"/>
    <w:rsid w:val="00486464"/>
    <w:rsid w:val="00486750"/>
    <w:rsid w:val="00486F61"/>
    <w:rsid w:val="00487915"/>
    <w:rsid w:val="004901C1"/>
    <w:rsid w:val="00492150"/>
    <w:rsid w:val="004928BB"/>
    <w:rsid w:val="00492B4B"/>
    <w:rsid w:val="00493870"/>
    <w:rsid w:val="00493BA8"/>
    <w:rsid w:val="00494654"/>
    <w:rsid w:val="0049473C"/>
    <w:rsid w:val="00494D1C"/>
    <w:rsid w:val="004961EA"/>
    <w:rsid w:val="004969D4"/>
    <w:rsid w:val="00496A01"/>
    <w:rsid w:val="00496CF5"/>
    <w:rsid w:val="00497A06"/>
    <w:rsid w:val="004A03FF"/>
    <w:rsid w:val="004A0C73"/>
    <w:rsid w:val="004A0DB0"/>
    <w:rsid w:val="004A0EFB"/>
    <w:rsid w:val="004A1096"/>
    <w:rsid w:val="004A1D5B"/>
    <w:rsid w:val="004A1F5B"/>
    <w:rsid w:val="004A20A7"/>
    <w:rsid w:val="004A2148"/>
    <w:rsid w:val="004A21AE"/>
    <w:rsid w:val="004A2348"/>
    <w:rsid w:val="004A28B2"/>
    <w:rsid w:val="004A309C"/>
    <w:rsid w:val="004A3566"/>
    <w:rsid w:val="004A35C1"/>
    <w:rsid w:val="004A3C8B"/>
    <w:rsid w:val="004A3D1D"/>
    <w:rsid w:val="004A41BC"/>
    <w:rsid w:val="004A44AD"/>
    <w:rsid w:val="004A453B"/>
    <w:rsid w:val="004A49A4"/>
    <w:rsid w:val="004A4AC0"/>
    <w:rsid w:val="004A4AFB"/>
    <w:rsid w:val="004A4B31"/>
    <w:rsid w:val="004A4C8F"/>
    <w:rsid w:val="004A4C93"/>
    <w:rsid w:val="004A595B"/>
    <w:rsid w:val="004A6322"/>
    <w:rsid w:val="004A7B8C"/>
    <w:rsid w:val="004B094D"/>
    <w:rsid w:val="004B1388"/>
    <w:rsid w:val="004B168A"/>
    <w:rsid w:val="004B1F69"/>
    <w:rsid w:val="004B2715"/>
    <w:rsid w:val="004B27A6"/>
    <w:rsid w:val="004B2909"/>
    <w:rsid w:val="004B38C4"/>
    <w:rsid w:val="004B3AB5"/>
    <w:rsid w:val="004B3EDE"/>
    <w:rsid w:val="004B4960"/>
    <w:rsid w:val="004B4ABE"/>
    <w:rsid w:val="004B4CB9"/>
    <w:rsid w:val="004B53D6"/>
    <w:rsid w:val="004B5573"/>
    <w:rsid w:val="004B59DF"/>
    <w:rsid w:val="004B7221"/>
    <w:rsid w:val="004B747E"/>
    <w:rsid w:val="004C09FA"/>
    <w:rsid w:val="004C1482"/>
    <w:rsid w:val="004C149E"/>
    <w:rsid w:val="004C1711"/>
    <w:rsid w:val="004C1DC7"/>
    <w:rsid w:val="004C2204"/>
    <w:rsid w:val="004C25AC"/>
    <w:rsid w:val="004C3543"/>
    <w:rsid w:val="004C3C07"/>
    <w:rsid w:val="004C4956"/>
    <w:rsid w:val="004C49D3"/>
    <w:rsid w:val="004C57E0"/>
    <w:rsid w:val="004C5FF5"/>
    <w:rsid w:val="004C6BCA"/>
    <w:rsid w:val="004C74A0"/>
    <w:rsid w:val="004D07EA"/>
    <w:rsid w:val="004D10D5"/>
    <w:rsid w:val="004D3ABD"/>
    <w:rsid w:val="004D4007"/>
    <w:rsid w:val="004D440A"/>
    <w:rsid w:val="004D4C43"/>
    <w:rsid w:val="004D5000"/>
    <w:rsid w:val="004D5B64"/>
    <w:rsid w:val="004D64BB"/>
    <w:rsid w:val="004D6E65"/>
    <w:rsid w:val="004D7167"/>
    <w:rsid w:val="004E092D"/>
    <w:rsid w:val="004E1CAE"/>
    <w:rsid w:val="004E1CD7"/>
    <w:rsid w:val="004E25EE"/>
    <w:rsid w:val="004E2856"/>
    <w:rsid w:val="004E3344"/>
    <w:rsid w:val="004E3F1E"/>
    <w:rsid w:val="004E42B7"/>
    <w:rsid w:val="004E4ABE"/>
    <w:rsid w:val="004E4F3D"/>
    <w:rsid w:val="004E573F"/>
    <w:rsid w:val="004E57DC"/>
    <w:rsid w:val="004E5A50"/>
    <w:rsid w:val="004E5C3C"/>
    <w:rsid w:val="004E5FD8"/>
    <w:rsid w:val="004E649F"/>
    <w:rsid w:val="004E6CEF"/>
    <w:rsid w:val="004E7197"/>
    <w:rsid w:val="004E73C4"/>
    <w:rsid w:val="004E765D"/>
    <w:rsid w:val="004F0214"/>
    <w:rsid w:val="004F1042"/>
    <w:rsid w:val="004F108A"/>
    <w:rsid w:val="004F10F4"/>
    <w:rsid w:val="004F1D59"/>
    <w:rsid w:val="004F29AF"/>
    <w:rsid w:val="004F29DB"/>
    <w:rsid w:val="004F3006"/>
    <w:rsid w:val="004F3D10"/>
    <w:rsid w:val="004F4DF5"/>
    <w:rsid w:val="004F5478"/>
    <w:rsid w:val="004F5B02"/>
    <w:rsid w:val="004F5BE9"/>
    <w:rsid w:val="004F5E03"/>
    <w:rsid w:val="004F639B"/>
    <w:rsid w:val="004F64F9"/>
    <w:rsid w:val="004F76E2"/>
    <w:rsid w:val="004F79EE"/>
    <w:rsid w:val="004F7B5F"/>
    <w:rsid w:val="004F7BCB"/>
    <w:rsid w:val="004F7CAC"/>
    <w:rsid w:val="00500448"/>
    <w:rsid w:val="0050082F"/>
    <w:rsid w:val="00500F47"/>
    <w:rsid w:val="005010D5"/>
    <w:rsid w:val="005011B1"/>
    <w:rsid w:val="005016D6"/>
    <w:rsid w:val="00501855"/>
    <w:rsid w:val="00502678"/>
    <w:rsid w:val="0050393D"/>
    <w:rsid w:val="00503942"/>
    <w:rsid w:val="00503A92"/>
    <w:rsid w:val="00504AD9"/>
    <w:rsid w:val="00504F3E"/>
    <w:rsid w:val="00505084"/>
    <w:rsid w:val="00505251"/>
    <w:rsid w:val="00505793"/>
    <w:rsid w:val="0050688A"/>
    <w:rsid w:val="00506AD5"/>
    <w:rsid w:val="00506E07"/>
    <w:rsid w:val="00507465"/>
    <w:rsid w:val="00507B34"/>
    <w:rsid w:val="00507CBE"/>
    <w:rsid w:val="005110D4"/>
    <w:rsid w:val="00511467"/>
    <w:rsid w:val="0051194B"/>
    <w:rsid w:val="00514078"/>
    <w:rsid w:val="00514EE3"/>
    <w:rsid w:val="00515DC7"/>
    <w:rsid w:val="0051605A"/>
    <w:rsid w:val="005161ED"/>
    <w:rsid w:val="00516388"/>
    <w:rsid w:val="0051692A"/>
    <w:rsid w:val="00516D71"/>
    <w:rsid w:val="005174C1"/>
    <w:rsid w:val="00517857"/>
    <w:rsid w:val="0051787D"/>
    <w:rsid w:val="005205FB"/>
    <w:rsid w:val="005215D9"/>
    <w:rsid w:val="005215F4"/>
    <w:rsid w:val="00521A10"/>
    <w:rsid w:val="00521B23"/>
    <w:rsid w:val="00521B61"/>
    <w:rsid w:val="00522640"/>
    <w:rsid w:val="005227E3"/>
    <w:rsid w:val="00522837"/>
    <w:rsid w:val="00523880"/>
    <w:rsid w:val="00523C86"/>
    <w:rsid w:val="0052438F"/>
    <w:rsid w:val="005243D9"/>
    <w:rsid w:val="00524F3A"/>
    <w:rsid w:val="00525F3A"/>
    <w:rsid w:val="00526011"/>
    <w:rsid w:val="005262EB"/>
    <w:rsid w:val="00526D58"/>
    <w:rsid w:val="0052728C"/>
    <w:rsid w:val="00527546"/>
    <w:rsid w:val="005275D6"/>
    <w:rsid w:val="0052764B"/>
    <w:rsid w:val="00527ECA"/>
    <w:rsid w:val="00530787"/>
    <w:rsid w:val="005309BA"/>
    <w:rsid w:val="00530A8A"/>
    <w:rsid w:val="0053181D"/>
    <w:rsid w:val="00531AC2"/>
    <w:rsid w:val="0053276E"/>
    <w:rsid w:val="005337EF"/>
    <w:rsid w:val="00533DAE"/>
    <w:rsid w:val="00533E0E"/>
    <w:rsid w:val="0053401D"/>
    <w:rsid w:val="005344D9"/>
    <w:rsid w:val="00534C8A"/>
    <w:rsid w:val="005355DC"/>
    <w:rsid w:val="005358CD"/>
    <w:rsid w:val="00535C4E"/>
    <w:rsid w:val="00535F31"/>
    <w:rsid w:val="005364CE"/>
    <w:rsid w:val="00536510"/>
    <w:rsid w:val="00537627"/>
    <w:rsid w:val="0054070B"/>
    <w:rsid w:val="00540CB4"/>
    <w:rsid w:val="00540EF6"/>
    <w:rsid w:val="005410B8"/>
    <w:rsid w:val="005412F3"/>
    <w:rsid w:val="00541DA9"/>
    <w:rsid w:val="0054487D"/>
    <w:rsid w:val="0054498E"/>
    <w:rsid w:val="00544B20"/>
    <w:rsid w:val="00544CF7"/>
    <w:rsid w:val="00544DF5"/>
    <w:rsid w:val="00545BDB"/>
    <w:rsid w:val="00546751"/>
    <w:rsid w:val="0054736D"/>
    <w:rsid w:val="00547563"/>
    <w:rsid w:val="00547BE3"/>
    <w:rsid w:val="00547EFA"/>
    <w:rsid w:val="00550C1E"/>
    <w:rsid w:val="00550E4F"/>
    <w:rsid w:val="00551587"/>
    <w:rsid w:val="005515B2"/>
    <w:rsid w:val="0055170F"/>
    <w:rsid w:val="005517E7"/>
    <w:rsid w:val="00552E13"/>
    <w:rsid w:val="00552F8D"/>
    <w:rsid w:val="00553296"/>
    <w:rsid w:val="00553324"/>
    <w:rsid w:val="00553835"/>
    <w:rsid w:val="00554075"/>
    <w:rsid w:val="0055414B"/>
    <w:rsid w:val="005541B5"/>
    <w:rsid w:val="0055445D"/>
    <w:rsid w:val="00554652"/>
    <w:rsid w:val="00554DC6"/>
    <w:rsid w:val="00555739"/>
    <w:rsid w:val="00555D16"/>
    <w:rsid w:val="005562D5"/>
    <w:rsid w:val="0055711D"/>
    <w:rsid w:val="0055743E"/>
    <w:rsid w:val="00560417"/>
    <w:rsid w:val="005612E1"/>
    <w:rsid w:val="00561D28"/>
    <w:rsid w:val="00561E4C"/>
    <w:rsid w:val="00562595"/>
    <w:rsid w:val="005625BB"/>
    <w:rsid w:val="005629F5"/>
    <w:rsid w:val="00562B0A"/>
    <w:rsid w:val="005632D0"/>
    <w:rsid w:val="005638DB"/>
    <w:rsid w:val="00564FC7"/>
    <w:rsid w:val="005658C5"/>
    <w:rsid w:val="00565955"/>
    <w:rsid w:val="0056718E"/>
    <w:rsid w:val="00567DE9"/>
    <w:rsid w:val="00570C5E"/>
    <w:rsid w:val="00570DD8"/>
    <w:rsid w:val="00570F80"/>
    <w:rsid w:val="005712F1"/>
    <w:rsid w:val="005715D1"/>
    <w:rsid w:val="005718AE"/>
    <w:rsid w:val="00571ADB"/>
    <w:rsid w:val="005734FD"/>
    <w:rsid w:val="00573D58"/>
    <w:rsid w:val="005748FB"/>
    <w:rsid w:val="00574E14"/>
    <w:rsid w:val="005755D0"/>
    <w:rsid w:val="0057560D"/>
    <w:rsid w:val="00576881"/>
    <w:rsid w:val="005774A1"/>
    <w:rsid w:val="00580A3C"/>
    <w:rsid w:val="00581903"/>
    <w:rsid w:val="00581F34"/>
    <w:rsid w:val="0058348A"/>
    <w:rsid w:val="005853D4"/>
    <w:rsid w:val="005863FB"/>
    <w:rsid w:val="005877F6"/>
    <w:rsid w:val="00587834"/>
    <w:rsid w:val="005908E5"/>
    <w:rsid w:val="00590BB2"/>
    <w:rsid w:val="00590BE3"/>
    <w:rsid w:val="00591869"/>
    <w:rsid w:val="005918AF"/>
    <w:rsid w:val="00592928"/>
    <w:rsid w:val="00592DFB"/>
    <w:rsid w:val="005933AA"/>
    <w:rsid w:val="005939DF"/>
    <w:rsid w:val="00593FB2"/>
    <w:rsid w:val="005940C7"/>
    <w:rsid w:val="0059417D"/>
    <w:rsid w:val="005941F4"/>
    <w:rsid w:val="00594568"/>
    <w:rsid w:val="00594F42"/>
    <w:rsid w:val="0059599F"/>
    <w:rsid w:val="00596271"/>
    <w:rsid w:val="00596311"/>
    <w:rsid w:val="0059663B"/>
    <w:rsid w:val="00596886"/>
    <w:rsid w:val="00596D43"/>
    <w:rsid w:val="00596D9D"/>
    <w:rsid w:val="00596EB8"/>
    <w:rsid w:val="00597663"/>
    <w:rsid w:val="005A0325"/>
    <w:rsid w:val="005A03BC"/>
    <w:rsid w:val="005A0414"/>
    <w:rsid w:val="005A0774"/>
    <w:rsid w:val="005A0BC6"/>
    <w:rsid w:val="005A0FB0"/>
    <w:rsid w:val="005A12F4"/>
    <w:rsid w:val="005A27D1"/>
    <w:rsid w:val="005A29FC"/>
    <w:rsid w:val="005A2A00"/>
    <w:rsid w:val="005A30C2"/>
    <w:rsid w:val="005A3B97"/>
    <w:rsid w:val="005A3BDF"/>
    <w:rsid w:val="005A4148"/>
    <w:rsid w:val="005A47AC"/>
    <w:rsid w:val="005A4E3B"/>
    <w:rsid w:val="005A56BA"/>
    <w:rsid w:val="005A6215"/>
    <w:rsid w:val="005A640E"/>
    <w:rsid w:val="005A7466"/>
    <w:rsid w:val="005B00BB"/>
    <w:rsid w:val="005B0758"/>
    <w:rsid w:val="005B1732"/>
    <w:rsid w:val="005B247C"/>
    <w:rsid w:val="005B2F0E"/>
    <w:rsid w:val="005B32A1"/>
    <w:rsid w:val="005B32E2"/>
    <w:rsid w:val="005B3932"/>
    <w:rsid w:val="005B469E"/>
    <w:rsid w:val="005B48EE"/>
    <w:rsid w:val="005B4CF2"/>
    <w:rsid w:val="005B5F23"/>
    <w:rsid w:val="005B6C1B"/>
    <w:rsid w:val="005B6CAC"/>
    <w:rsid w:val="005B7731"/>
    <w:rsid w:val="005B7C63"/>
    <w:rsid w:val="005B7C7B"/>
    <w:rsid w:val="005C06A1"/>
    <w:rsid w:val="005C074C"/>
    <w:rsid w:val="005C0B7A"/>
    <w:rsid w:val="005C0F60"/>
    <w:rsid w:val="005C1347"/>
    <w:rsid w:val="005C1A07"/>
    <w:rsid w:val="005C25A9"/>
    <w:rsid w:val="005C2674"/>
    <w:rsid w:val="005C2A23"/>
    <w:rsid w:val="005C4586"/>
    <w:rsid w:val="005C4B30"/>
    <w:rsid w:val="005C4B7A"/>
    <w:rsid w:val="005C5F01"/>
    <w:rsid w:val="005C63A3"/>
    <w:rsid w:val="005C6501"/>
    <w:rsid w:val="005C6932"/>
    <w:rsid w:val="005C6A36"/>
    <w:rsid w:val="005C6F63"/>
    <w:rsid w:val="005C728C"/>
    <w:rsid w:val="005C76E2"/>
    <w:rsid w:val="005C7B34"/>
    <w:rsid w:val="005C7C42"/>
    <w:rsid w:val="005C7E80"/>
    <w:rsid w:val="005D00ED"/>
    <w:rsid w:val="005D0721"/>
    <w:rsid w:val="005D0848"/>
    <w:rsid w:val="005D1154"/>
    <w:rsid w:val="005D131D"/>
    <w:rsid w:val="005D14D8"/>
    <w:rsid w:val="005D2120"/>
    <w:rsid w:val="005D2705"/>
    <w:rsid w:val="005D27C0"/>
    <w:rsid w:val="005D2AEA"/>
    <w:rsid w:val="005D3814"/>
    <w:rsid w:val="005D42D6"/>
    <w:rsid w:val="005D49E5"/>
    <w:rsid w:val="005D533B"/>
    <w:rsid w:val="005D563F"/>
    <w:rsid w:val="005D585D"/>
    <w:rsid w:val="005D5D1B"/>
    <w:rsid w:val="005D68FE"/>
    <w:rsid w:val="005D6C94"/>
    <w:rsid w:val="005D6D39"/>
    <w:rsid w:val="005D7B22"/>
    <w:rsid w:val="005D7D8E"/>
    <w:rsid w:val="005E0475"/>
    <w:rsid w:val="005E12C6"/>
    <w:rsid w:val="005E1F2E"/>
    <w:rsid w:val="005E1FB7"/>
    <w:rsid w:val="005E3958"/>
    <w:rsid w:val="005E3A3E"/>
    <w:rsid w:val="005E48B6"/>
    <w:rsid w:val="005E48D8"/>
    <w:rsid w:val="005E4FC3"/>
    <w:rsid w:val="005E5691"/>
    <w:rsid w:val="005E5D3C"/>
    <w:rsid w:val="005E5D66"/>
    <w:rsid w:val="005E7E1A"/>
    <w:rsid w:val="005F15F3"/>
    <w:rsid w:val="005F1CAA"/>
    <w:rsid w:val="005F2536"/>
    <w:rsid w:val="005F2D4B"/>
    <w:rsid w:val="005F30E5"/>
    <w:rsid w:val="005F3127"/>
    <w:rsid w:val="005F3C5A"/>
    <w:rsid w:val="005F4217"/>
    <w:rsid w:val="005F4AAF"/>
    <w:rsid w:val="005F5792"/>
    <w:rsid w:val="005F5D80"/>
    <w:rsid w:val="005F5F8A"/>
    <w:rsid w:val="005F6492"/>
    <w:rsid w:val="005F6E20"/>
    <w:rsid w:val="005F793B"/>
    <w:rsid w:val="005F794F"/>
    <w:rsid w:val="005F7A55"/>
    <w:rsid w:val="005F7BBC"/>
    <w:rsid w:val="006024FC"/>
    <w:rsid w:val="00602934"/>
    <w:rsid w:val="0060378D"/>
    <w:rsid w:val="00604143"/>
    <w:rsid w:val="006047D4"/>
    <w:rsid w:val="00605524"/>
    <w:rsid w:val="00606021"/>
    <w:rsid w:val="00606846"/>
    <w:rsid w:val="0060722C"/>
    <w:rsid w:val="006073BF"/>
    <w:rsid w:val="00607C62"/>
    <w:rsid w:val="006105BE"/>
    <w:rsid w:val="00610A76"/>
    <w:rsid w:val="0061147E"/>
    <w:rsid w:val="00611533"/>
    <w:rsid w:val="00611829"/>
    <w:rsid w:val="00611A57"/>
    <w:rsid w:val="00611E4F"/>
    <w:rsid w:val="006129CF"/>
    <w:rsid w:val="00612D00"/>
    <w:rsid w:val="00612E97"/>
    <w:rsid w:val="00613058"/>
    <w:rsid w:val="00613482"/>
    <w:rsid w:val="0061355E"/>
    <w:rsid w:val="006149BA"/>
    <w:rsid w:val="006149C2"/>
    <w:rsid w:val="00614F86"/>
    <w:rsid w:val="0061554A"/>
    <w:rsid w:val="00615F9F"/>
    <w:rsid w:val="00616F38"/>
    <w:rsid w:val="00620317"/>
    <w:rsid w:val="006203C3"/>
    <w:rsid w:val="0062108F"/>
    <w:rsid w:val="00621285"/>
    <w:rsid w:val="00621771"/>
    <w:rsid w:val="006223AE"/>
    <w:rsid w:val="006229DD"/>
    <w:rsid w:val="006235A9"/>
    <w:rsid w:val="0062431D"/>
    <w:rsid w:val="00624DE7"/>
    <w:rsid w:val="0062530F"/>
    <w:rsid w:val="0062576F"/>
    <w:rsid w:val="00625B9F"/>
    <w:rsid w:val="00625CBA"/>
    <w:rsid w:val="006264A7"/>
    <w:rsid w:val="006264B3"/>
    <w:rsid w:val="00626830"/>
    <w:rsid w:val="00627539"/>
    <w:rsid w:val="006308F2"/>
    <w:rsid w:val="006309F0"/>
    <w:rsid w:val="00630F9C"/>
    <w:rsid w:val="00631307"/>
    <w:rsid w:val="00631412"/>
    <w:rsid w:val="00631D1B"/>
    <w:rsid w:val="006322B9"/>
    <w:rsid w:val="00632683"/>
    <w:rsid w:val="00632F29"/>
    <w:rsid w:val="00633ACE"/>
    <w:rsid w:val="00633C7D"/>
    <w:rsid w:val="00634014"/>
    <w:rsid w:val="00634129"/>
    <w:rsid w:val="006342F2"/>
    <w:rsid w:val="00634B06"/>
    <w:rsid w:val="00634E05"/>
    <w:rsid w:val="00634F72"/>
    <w:rsid w:val="00635365"/>
    <w:rsid w:val="006369D0"/>
    <w:rsid w:val="00636DB7"/>
    <w:rsid w:val="00641602"/>
    <w:rsid w:val="00641608"/>
    <w:rsid w:val="00642EC7"/>
    <w:rsid w:val="006437F7"/>
    <w:rsid w:val="0064546A"/>
    <w:rsid w:val="0064592B"/>
    <w:rsid w:val="00645CFA"/>
    <w:rsid w:val="006460D9"/>
    <w:rsid w:val="00646817"/>
    <w:rsid w:val="00646FC8"/>
    <w:rsid w:val="006477C7"/>
    <w:rsid w:val="00647819"/>
    <w:rsid w:val="00650C00"/>
    <w:rsid w:val="006521F4"/>
    <w:rsid w:val="00652C52"/>
    <w:rsid w:val="006530D5"/>
    <w:rsid w:val="0065381C"/>
    <w:rsid w:val="00654598"/>
    <w:rsid w:val="0065511E"/>
    <w:rsid w:val="00655725"/>
    <w:rsid w:val="00656A67"/>
    <w:rsid w:val="00656B90"/>
    <w:rsid w:val="00656BFF"/>
    <w:rsid w:val="00656CA3"/>
    <w:rsid w:val="006575D8"/>
    <w:rsid w:val="006577F3"/>
    <w:rsid w:val="00660AF1"/>
    <w:rsid w:val="00661191"/>
    <w:rsid w:val="006614BB"/>
    <w:rsid w:val="00662E80"/>
    <w:rsid w:val="00662EF7"/>
    <w:rsid w:val="00663114"/>
    <w:rsid w:val="00663291"/>
    <w:rsid w:val="00664BCA"/>
    <w:rsid w:val="00664E1A"/>
    <w:rsid w:val="00666208"/>
    <w:rsid w:val="0066672F"/>
    <w:rsid w:val="00666844"/>
    <w:rsid w:val="00666CE4"/>
    <w:rsid w:val="00667693"/>
    <w:rsid w:val="0066796C"/>
    <w:rsid w:val="00667A77"/>
    <w:rsid w:val="006703B0"/>
    <w:rsid w:val="0067048C"/>
    <w:rsid w:val="00670C48"/>
    <w:rsid w:val="00670C5A"/>
    <w:rsid w:val="00670D23"/>
    <w:rsid w:val="00670DCA"/>
    <w:rsid w:val="00670DDB"/>
    <w:rsid w:val="0067126B"/>
    <w:rsid w:val="006712AD"/>
    <w:rsid w:val="006718F7"/>
    <w:rsid w:val="00671964"/>
    <w:rsid w:val="006723A4"/>
    <w:rsid w:val="0067295D"/>
    <w:rsid w:val="00673F2B"/>
    <w:rsid w:val="006745BC"/>
    <w:rsid w:val="00674800"/>
    <w:rsid w:val="00675117"/>
    <w:rsid w:val="00675690"/>
    <w:rsid w:val="006764AF"/>
    <w:rsid w:val="006765D8"/>
    <w:rsid w:val="00677683"/>
    <w:rsid w:val="006776AC"/>
    <w:rsid w:val="006778DC"/>
    <w:rsid w:val="00677922"/>
    <w:rsid w:val="00677B46"/>
    <w:rsid w:val="00677BD6"/>
    <w:rsid w:val="00677C01"/>
    <w:rsid w:val="006800BB"/>
    <w:rsid w:val="0068014E"/>
    <w:rsid w:val="00680210"/>
    <w:rsid w:val="006808A3"/>
    <w:rsid w:val="00680999"/>
    <w:rsid w:val="00680E08"/>
    <w:rsid w:val="00681345"/>
    <w:rsid w:val="00681B70"/>
    <w:rsid w:val="00681D6D"/>
    <w:rsid w:val="0068224A"/>
    <w:rsid w:val="0068305A"/>
    <w:rsid w:val="00683188"/>
    <w:rsid w:val="006833EE"/>
    <w:rsid w:val="00684476"/>
    <w:rsid w:val="0068467D"/>
    <w:rsid w:val="00684B6E"/>
    <w:rsid w:val="006854FF"/>
    <w:rsid w:val="006859EC"/>
    <w:rsid w:val="00686108"/>
    <w:rsid w:val="00687E44"/>
    <w:rsid w:val="00687FB4"/>
    <w:rsid w:val="00690260"/>
    <w:rsid w:val="006909D9"/>
    <w:rsid w:val="00690BA4"/>
    <w:rsid w:val="00690F48"/>
    <w:rsid w:val="006926C2"/>
    <w:rsid w:val="00693148"/>
    <w:rsid w:val="00693379"/>
    <w:rsid w:val="00694CE9"/>
    <w:rsid w:val="00694DCC"/>
    <w:rsid w:val="00695AD0"/>
    <w:rsid w:val="00695D79"/>
    <w:rsid w:val="006966D4"/>
    <w:rsid w:val="00696DB0"/>
    <w:rsid w:val="006A074F"/>
    <w:rsid w:val="006A0AA4"/>
    <w:rsid w:val="006A0E73"/>
    <w:rsid w:val="006A1168"/>
    <w:rsid w:val="006A13CC"/>
    <w:rsid w:val="006A15E7"/>
    <w:rsid w:val="006A179C"/>
    <w:rsid w:val="006A258D"/>
    <w:rsid w:val="006A3155"/>
    <w:rsid w:val="006A323F"/>
    <w:rsid w:val="006A60D2"/>
    <w:rsid w:val="006A65EF"/>
    <w:rsid w:val="006A6875"/>
    <w:rsid w:val="006A74F2"/>
    <w:rsid w:val="006A7759"/>
    <w:rsid w:val="006B0ABB"/>
    <w:rsid w:val="006B0C48"/>
    <w:rsid w:val="006B0C92"/>
    <w:rsid w:val="006B1480"/>
    <w:rsid w:val="006B16CA"/>
    <w:rsid w:val="006B2AD9"/>
    <w:rsid w:val="006B31C2"/>
    <w:rsid w:val="006B3364"/>
    <w:rsid w:val="006B3748"/>
    <w:rsid w:val="006B385D"/>
    <w:rsid w:val="006B392A"/>
    <w:rsid w:val="006B3B4E"/>
    <w:rsid w:val="006B3D57"/>
    <w:rsid w:val="006B51E6"/>
    <w:rsid w:val="006B51E8"/>
    <w:rsid w:val="006B5A4C"/>
    <w:rsid w:val="006B5ED5"/>
    <w:rsid w:val="006B5F50"/>
    <w:rsid w:val="006B607B"/>
    <w:rsid w:val="006B6934"/>
    <w:rsid w:val="006B7215"/>
    <w:rsid w:val="006B797D"/>
    <w:rsid w:val="006B7B89"/>
    <w:rsid w:val="006B7FB3"/>
    <w:rsid w:val="006C00DB"/>
    <w:rsid w:val="006C04FF"/>
    <w:rsid w:val="006C109B"/>
    <w:rsid w:val="006C152A"/>
    <w:rsid w:val="006C15DC"/>
    <w:rsid w:val="006C24CE"/>
    <w:rsid w:val="006C2878"/>
    <w:rsid w:val="006C2C84"/>
    <w:rsid w:val="006C3506"/>
    <w:rsid w:val="006C3C29"/>
    <w:rsid w:val="006C3DE7"/>
    <w:rsid w:val="006C443A"/>
    <w:rsid w:val="006C51CC"/>
    <w:rsid w:val="006C51D1"/>
    <w:rsid w:val="006C57D3"/>
    <w:rsid w:val="006C5809"/>
    <w:rsid w:val="006C5C31"/>
    <w:rsid w:val="006C6221"/>
    <w:rsid w:val="006C6CED"/>
    <w:rsid w:val="006C6FDB"/>
    <w:rsid w:val="006C7755"/>
    <w:rsid w:val="006C7E55"/>
    <w:rsid w:val="006D0301"/>
    <w:rsid w:val="006D05EC"/>
    <w:rsid w:val="006D0EEB"/>
    <w:rsid w:val="006D1999"/>
    <w:rsid w:val="006D24A4"/>
    <w:rsid w:val="006D26B9"/>
    <w:rsid w:val="006D3118"/>
    <w:rsid w:val="006D324E"/>
    <w:rsid w:val="006D37B7"/>
    <w:rsid w:val="006D435E"/>
    <w:rsid w:val="006D5220"/>
    <w:rsid w:val="006D6BCC"/>
    <w:rsid w:val="006D7796"/>
    <w:rsid w:val="006E2B23"/>
    <w:rsid w:val="006E3409"/>
    <w:rsid w:val="006E57CB"/>
    <w:rsid w:val="006E60E2"/>
    <w:rsid w:val="006E6D03"/>
    <w:rsid w:val="006E6E15"/>
    <w:rsid w:val="006E738F"/>
    <w:rsid w:val="006E7B0B"/>
    <w:rsid w:val="006F15C1"/>
    <w:rsid w:val="006F18A4"/>
    <w:rsid w:val="006F1CB7"/>
    <w:rsid w:val="006F2139"/>
    <w:rsid w:val="006F2511"/>
    <w:rsid w:val="006F25B6"/>
    <w:rsid w:val="006F30B6"/>
    <w:rsid w:val="006F3EE5"/>
    <w:rsid w:val="006F43D8"/>
    <w:rsid w:val="006F48BC"/>
    <w:rsid w:val="006F4994"/>
    <w:rsid w:val="006F4E54"/>
    <w:rsid w:val="006F549E"/>
    <w:rsid w:val="006F56E7"/>
    <w:rsid w:val="006F5804"/>
    <w:rsid w:val="006F5DA4"/>
    <w:rsid w:val="006F6A5F"/>
    <w:rsid w:val="006F7B96"/>
    <w:rsid w:val="006F7BBA"/>
    <w:rsid w:val="006F7D0E"/>
    <w:rsid w:val="006F7E62"/>
    <w:rsid w:val="007001A6"/>
    <w:rsid w:val="007010DB"/>
    <w:rsid w:val="00701AB0"/>
    <w:rsid w:val="00702065"/>
    <w:rsid w:val="007024D9"/>
    <w:rsid w:val="0070251F"/>
    <w:rsid w:val="00702596"/>
    <w:rsid w:val="00702EAC"/>
    <w:rsid w:val="00703B63"/>
    <w:rsid w:val="0070507E"/>
    <w:rsid w:val="007052AF"/>
    <w:rsid w:val="007058DA"/>
    <w:rsid w:val="00707156"/>
    <w:rsid w:val="00707E41"/>
    <w:rsid w:val="00710560"/>
    <w:rsid w:val="00710C18"/>
    <w:rsid w:val="00710FED"/>
    <w:rsid w:val="00711095"/>
    <w:rsid w:val="00711369"/>
    <w:rsid w:val="00711D17"/>
    <w:rsid w:val="007121B4"/>
    <w:rsid w:val="007126FA"/>
    <w:rsid w:val="00712B31"/>
    <w:rsid w:val="007134A1"/>
    <w:rsid w:val="00714CBE"/>
    <w:rsid w:val="00715314"/>
    <w:rsid w:val="007154C6"/>
    <w:rsid w:val="007167A1"/>
    <w:rsid w:val="00716FEF"/>
    <w:rsid w:val="00717003"/>
    <w:rsid w:val="00717C48"/>
    <w:rsid w:val="00720857"/>
    <w:rsid w:val="00720F56"/>
    <w:rsid w:val="00720FCB"/>
    <w:rsid w:val="007214D4"/>
    <w:rsid w:val="00721657"/>
    <w:rsid w:val="00721D86"/>
    <w:rsid w:val="007224CA"/>
    <w:rsid w:val="0072283F"/>
    <w:rsid w:val="007233CE"/>
    <w:rsid w:val="00723411"/>
    <w:rsid w:val="00723564"/>
    <w:rsid w:val="007239CE"/>
    <w:rsid w:val="00723EBA"/>
    <w:rsid w:val="00723ED7"/>
    <w:rsid w:val="007242C5"/>
    <w:rsid w:val="007248A0"/>
    <w:rsid w:val="007250AD"/>
    <w:rsid w:val="007259E8"/>
    <w:rsid w:val="00725C5A"/>
    <w:rsid w:val="007262F7"/>
    <w:rsid w:val="007267A1"/>
    <w:rsid w:val="007272D4"/>
    <w:rsid w:val="00731247"/>
    <w:rsid w:val="007314B5"/>
    <w:rsid w:val="00731726"/>
    <w:rsid w:val="00732554"/>
    <w:rsid w:val="007327CF"/>
    <w:rsid w:val="00732C10"/>
    <w:rsid w:val="00732E53"/>
    <w:rsid w:val="00733169"/>
    <w:rsid w:val="0073385F"/>
    <w:rsid w:val="00733D15"/>
    <w:rsid w:val="007347F4"/>
    <w:rsid w:val="00734932"/>
    <w:rsid w:val="00734E7C"/>
    <w:rsid w:val="007352A4"/>
    <w:rsid w:val="007360DC"/>
    <w:rsid w:val="00736D93"/>
    <w:rsid w:val="00737287"/>
    <w:rsid w:val="00737A6C"/>
    <w:rsid w:val="00740FBD"/>
    <w:rsid w:val="007410D9"/>
    <w:rsid w:val="00741814"/>
    <w:rsid w:val="007421F3"/>
    <w:rsid w:val="0074317F"/>
    <w:rsid w:val="00743B1E"/>
    <w:rsid w:val="00745399"/>
    <w:rsid w:val="00745B89"/>
    <w:rsid w:val="00745CAE"/>
    <w:rsid w:val="00746070"/>
    <w:rsid w:val="0074610B"/>
    <w:rsid w:val="0074698D"/>
    <w:rsid w:val="007469B4"/>
    <w:rsid w:val="00750B2A"/>
    <w:rsid w:val="00751A71"/>
    <w:rsid w:val="00751E7D"/>
    <w:rsid w:val="00751FD9"/>
    <w:rsid w:val="00752546"/>
    <w:rsid w:val="007526C6"/>
    <w:rsid w:val="00752886"/>
    <w:rsid w:val="00752ACD"/>
    <w:rsid w:val="00754018"/>
    <w:rsid w:val="0075438A"/>
    <w:rsid w:val="00754A8A"/>
    <w:rsid w:val="007551E3"/>
    <w:rsid w:val="00756A3A"/>
    <w:rsid w:val="00757048"/>
    <w:rsid w:val="0075783C"/>
    <w:rsid w:val="00761611"/>
    <w:rsid w:val="00761F52"/>
    <w:rsid w:val="00762B23"/>
    <w:rsid w:val="00763783"/>
    <w:rsid w:val="00763DE0"/>
    <w:rsid w:val="00763E5B"/>
    <w:rsid w:val="00765409"/>
    <w:rsid w:val="00766017"/>
    <w:rsid w:val="0076676B"/>
    <w:rsid w:val="00766B37"/>
    <w:rsid w:val="0076701F"/>
    <w:rsid w:val="00767B1F"/>
    <w:rsid w:val="00770A33"/>
    <w:rsid w:val="00770C04"/>
    <w:rsid w:val="00770DAA"/>
    <w:rsid w:val="00770DCA"/>
    <w:rsid w:val="00770FBA"/>
    <w:rsid w:val="0077148E"/>
    <w:rsid w:val="007715C9"/>
    <w:rsid w:val="00772C65"/>
    <w:rsid w:val="007736EA"/>
    <w:rsid w:val="00774392"/>
    <w:rsid w:val="007748AF"/>
    <w:rsid w:val="00774E55"/>
    <w:rsid w:val="00774FC5"/>
    <w:rsid w:val="007750EB"/>
    <w:rsid w:val="00775202"/>
    <w:rsid w:val="00775338"/>
    <w:rsid w:val="00775F51"/>
    <w:rsid w:val="00776737"/>
    <w:rsid w:val="00776796"/>
    <w:rsid w:val="00776FFE"/>
    <w:rsid w:val="00777385"/>
    <w:rsid w:val="007776E9"/>
    <w:rsid w:val="00780A33"/>
    <w:rsid w:val="007814EF"/>
    <w:rsid w:val="007815F4"/>
    <w:rsid w:val="00781668"/>
    <w:rsid w:val="00781E2D"/>
    <w:rsid w:val="00782108"/>
    <w:rsid w:val="00782785"/>
    <w:rsid w:val="0078284F"/>
    <w:rsid w:val="007835C3"/>
    <w:rsid w:val="0078388D"/>
    <w:rsid w:val="00785105"/>
    <w:rsid w:val="007859C2"/>
    <w:rsid w:val="00785C52"/>
    <w:rsid w:val="00786519"/>
    <w:rsid w:val="00786D6F"/>
    <w:rsid w:val="00786E9F"/>
    <w:rsid w:val="00787898"/>
    <w:rsid w:val="00787F36"/>
    <w:rsid w:val="007904DE"/>
    <w:rsid w:val="00790D5B"/>
    <w:rsid w:val="00790E04"/>
    <w:rsid w:val="00790FCA"/>
    <w:rsid w:val="00791B23"/>
    <w:rsid w:val="00792E71"/>
    <w:rsid w:val="007935F4"/>
    <w:rsid w:val="00793A9D"/>
    <w:rsid w:val="007946A6"/>
    <w:rsid w:val="0079473F"/>
    <w:rsid w:val="00794765"/>
    <w:rsid w:val="00794895"/>
    <w:rsid w:val="00794FE8"/>
    <w:rsid w:val="007953D8"/>
    <w:rsid w:val="00796239"/>
    <w:rsid w:val="0079647A"/>
    <w:rsid w:val="00796839"/>
    <w:rsid w:val="00796873"/>
    <w:rsid w:val="007968C4"/>
    <w:rsid w:val="00796C45"/>
    <w:rsid w:val="00797690"/>
    <w:rsid w:val="0079788B"/>
    <w:rsid w:val="00797E5A"/>
    <w:rsid w:val="007A002F"/>
    <w:rsid w:val="007A04E9"/>
    <w:rsid w:val="007A0993"/>
    <w:rsid w:val="007A0A45"/>
    <w:rsid w:val="007A0BEC"/>
    <w:rsid w:val="007A1068"/>
    <w:rsid w:val="007A123F"/>
    <w:rsid w:val="007A126F"/>
    <w:rsid w:val="007A18A9"/>
    <w:rsid w:val="007A2010"/>
    <w:rsid w:val="007A2EB0"/>
    <w:rsid w:val="007A2F3A"/>
    <w:rsid w:val="007A3967"/>
    <w:rsid w:val="007A3D76"/>
    <w:rsid w:val="007A3FA5"/>
    <w:rsid w:val="007A4327"/>
    <w:rsid w:val="007A4B83"/>
    <w:rsid w:val="007A5143"/>
    <w:rsid w:val="007A55B2"/>
    <w:rsid w:val="007A5AA4"/>
    <w:rsid w:val="007A5CC1"/>
    <w:rsid w:val="007A6A33"/>
    <w:rsid w:val="007A6E04"/>
    <w:rsid w:val="007A7AEF"/>
    <w:rsid w:val="007B0136"/>
    <w:rsid w:val="007B11A9"/>
    <w:rsid w:val="007B1B77"/>
    <w:rsid w:val="007B20E7"/>
    <w:rsid w:val="007B2294"/>
    <w:rsid w:val="007B285C"/>
    <w:rsid w:val="007B2F34"/>
    <w:rsid w:val="007B39D3"/>
    <w:rsid w:val="007B39FD"/>
    <w:rsid w:val="007B3B94"/>
    <w:rsid w:val="007B4152"/>
    <w:rsid w:val="007B4464"/>
    <w:rsid w:val="007B4481"/>
    <w:rsid w:val="007B4677"/>
    <w:rsid w:val="007B489C"/>
    <w:rsid w:val="007B5378"/>
    <w:rsid w:val="007B5888"/>
    <w:rsid w:val="007B6932"/>
    <w:rsid w:val="007B6CC1"/>
    <w:rsid w:val="007B6DF0"/>
    <w:rsid w:val="007B7261"/>
    <w:rsid w:val="007C01FC"/>
    <w:rsid w:val="007C1B0F"/>
    <w:rsid w:val="007C4AE0"/>
    <w:rsid w:val="007C4B2B"/>
    <w:rsid w:val="007C6355"/>
    <w:rsid w:val="007C65F4"/>
    <w:rsid w:val="007D0B2A"/>
    <w:rsid w:val="007D0FD6"/>
    <w:rsid w:val="007D25F6"/>
    <w:rsid w:val="007D3966"/>
    <w:rsid w:val="007D3A4F"/>
    <w:rsid w:val="007D45F6"/>
    <w:rsid w:val="007D48D1"/>
    <w:rsid w:val="007D4C6A"/>
    <w:rsid w:val="007D5077"/>
    <w:rsid w:val="007D5BDF"/>
    <w:rsid w:val="007D5CB6"/>
    <w:rsid w:val="007D5E8F"/>
    <w:rsid w:val="007D65FB"/>
    <w:rsid w:val="007D66B7"/>
    <w:rsid w:val="007D66E5"/>
    <w:rsid w:val="007D6A14"/>
    <w:rsid w:val="007D6CEA"/>
    <w:rsid w:val="007D715F"/>
    <w:rsid w:val="007D71A6"/>
    <w:rsid w:val="007D7FAB"/>
    <w:rsid w:val="007E0DF6"/>
    <w:rsid w:val="007E107F"/>
    <w:rsid w:val="007E15F6"/>
    <w:rsid w:val="007E2311"/>
    <w:rsid w:val="007E2455"/>
    <w:rsid w:val="007E24F0"/>
    <w:rsid w:val="007E418A"/>
    <w:rsid w:val="007E429C"/>
    <w:rsid w:val="007E63C0"/>
    <w:rsid w:val="007E6AB6"/>
    <w:rsid w:val="007E7752"/>
    <w:rsid w:val="007F06D5"/>
    <w:rsid w:val="007F0706"/>
    <w:rsid w:val="007F07BA"/>
    <w:rsid w:val="007F106A"/>
    <w:rsid w:val="007F2A4B"/>
    <w:rsid w:val="007F2DFC"/>
    <w:rsid w:val="007F2F9B"/>
    <w:rsid w:val="007F3A9A"/>
    <w:rsid w:val="007F3B2F"/>
    <w:rsid w:val="007F417A"/>
    <w:rsid w:val="007F46B1"/>
    <w:rsid w:val="007F49FF"/>
    <w:rsid w:val="007F4B65"/>
    <w:rsid w:val="007F4E90"/>
    <w:rsid w:val="007F5BDB"/>
    <w:rsid w:val="007F64B5"/>
    <w:rsid w:val="007F6AFC"/>
    <w:rsid w:val="00800616"/>
    <w:rsid w:val="008016D5"/>
    <w:rsid w:val="00801990"/>
    <w:rsid w:val="00801D69"/>
    <w:rsid w:val="00801DAD"/>
    <w:rsid w:val="00801EA9"/>
    <w:rsid w:val="008020A8"/>
    <w:rsid w:val="0080239C"/>
    <w:rsid w:val="00802F05"/>
    <w:rsid w:val="00803377"/>
    <w:rsid w:val="00804623"/>
    <w:rsid w:val="0080558C"/>
    <w:rsid w:val="0080663F"/>
    <w:rsid w:val="00806CDA"/>
    <w:rsid w:val="00807979"/>
    <w:rsid w:val="008105AB"/>
    <w:rsid w:val="008107F4"/>
    <w:rsid w:val="00811A5C"/>
    <w:rsid w:val="008129CD"/>
    <w:rsid w:val="00812AA3"/>
    <w:rsid w:val="00812B13"/>
    <w:rsid w:val="00812F6F"/>
    <w:rsid w:val="008133C6"/>
    <w:rsid w:val="008136F8"/>
    <w:rsid w:val="00814026"/>
    <w:rsid w:val="0081425D"/>
    <w:rsid w:val="008149A1"/>
    <w:rsid w:val="00814CB0"/>
    <w:rsid w:val="00814F58"/>
    <w:rsid w:val="00815863"/>
    <w:rsid w:val="00815CE2"/>
    <w:rsid w:val="00815D72"/>
    <w:rsid w:val="00815E08"/>
    <w:rsid w:val="00816967"/>
    <w:rsid w:val="008176B6"/>
    <w:rsid w:val="00817B85"/>
    <w:rsid w:val="00820607"/>
    <w:rsid w:val="00820C82"/>
    <w:rsid w:val="00820D62"/>
    <w:rsid w:val="00821013"/>
    <w:rsid w:val="008219B2"/>
    <w:rsid w:val="008232CC"/>
    <w:rsid w:val="0082413D"/>
    <w:rsid w:val="008248CE"/>
    <w:rsid w:val="00824F87"/>
    <w:rsid w:val="0082544B"/>
    <w:rsid w:val="00825F4C"/>
    <w:rsid w:val="008272CB"/>
    <w:rsid w:val="0082730C"/>
    <w:rsid w:val="0082789E"/>
    <w:rsid w:val="0083059A"/>
    <w:rsid w:val="00830B16"/>
    <w:rsid w:val="00830FF0"/>
    <w:rsid w:val="00831B0C"/>
    <w:rsid w:val="008323AA"/>
    <w:rsid w:val="00832EE1"/>
    <w:rsid w:val="00833A1F"/>
    <w:rsid w:val="00833B04"/>
    <w:rsid w:val="008341F8"/>
    <w:rsid w:val="00834791"/>
    <w:rsid w:val="00835F56"/>
    <w:rsid w:val="0083606F"/>
    <w:rsid w:val="00836208"/>
    <w:rsid w:val="0083636B"/>
    <w:rsid w:val="00836C54"/>
    <w:rsid w:val="0084030C"/>
    <w:rsid w:val="00840FB4"/>
    <w:rsid w:val="00841452"/>
    <w:rsid w:val="00842199"/>
    <w:rsid w:val="0084226D"/>
    <w:rsid w:val="00842523"/>
    <w:rsid w:val="008428DA"/>
    <w:rsid w:val="00842B34"/>
    <w:rsid w:val="00842C12"/>
    <w:rsid w:val="00843DFB"/>
    <w:rsid w:val="00843E7A"/>
    <w:rsid w:val="00844435"/>
    <w:rsid w:val="0084525B"/>
    <w:rsid w:val="00845CE4"/>
    <w:rsid w:val="0084658B"/>
    <w:rsid w:val="00846E91"/>
    <w:rsid w:val="008478A4"/>
    <w:rsid w:val="008479A9"/>
    <w:rsid w:val="00847DF7"/>
    <w:rsid w:val="00847E35"/>
    <w:rsid w:val="00847FA1"/>
    <w:rsid w:val="00850609"/>
    <w:rsid w:val="008508D3"/>
    <w:rsid w:val="00851A42"/>
    <w:rsid w:val="0085231F"/>
    <w:rsid w:val="00852FFD"/>
    <w:rsid w:val="008531A5"/>
    <w:rsid w:val="00853380"/>
    <w:rsid w:val="00853BCC"/>
    <w:rsid w:val="00853C8C"/>
    <w:rsid w:val="008541BF"/>
    <w:rsid w:val="008543E0"/>
    <w:rsid w:val="00854E57"/>
    <w:rsid w:val="00855064"/>
    <w:rsid w:val="00856137"/>
    <w:rsid w:val="0085683E"/>
    <w:rsid w:val="00856C04"/>
    <w:rsid w:val="00857757"/>
    <w:rsid w:val="008578EF"/>
    <w:rsid w:val="00857956"/>
    <w:rsid w:val="00857F7F"/>
    <w:rsid w:val="00860C7D"/>
    <w:rsid w:val="0086155A"/>
    <w:rsid w:val="00861A1E"/>
    <w:rsid w:val="00862E31"/>
    <w:rsid w:val="00862E80"/>
    <w:rsid w:val="008632B7"/>
    <w:rsid w:val="00863A68"/>
    <w:rsid w:val="00863CBA"/>
    <w:rsid w:val="00863DAF"/>
    <w:rsid w:val="00864B03"/>
    <w:rsid w:val="00864D57"/>
    <w:rsid w:val="00866841"/>
    <w:rsid w:val="008675CA"/>
    <w:rsid w:val="00867E22"/>
    <w:rsid w:val="00870410"/>
    <w:rsid w:val="008708C2"/>
    <w:rsid w:val="00871F50"/>
    <w:rsid w:val="008721C1"/>
    <w:rsid w:val="00872E42"/>
    <w:rsid w:val="008730CD"/>
    <w:rsid w:val="00873730"/>
    <w:rsid w:val="00873E4A"/>
    <w:rsid w:val="0087472F"/>
    <w:rsid w:val="00874983"/>
    <w:rsid w:val="00874D92"/>
    <w:rsid w:val="00874F2D"/>
    <w:rsid w:val="00875402"/>
    <w:rsid w:val="00875740"/>
    <w:rsid w:val="00875FE4"/>
    <w:rsid w:val="0087723B"/>
    <w:rsid w:val="0087770A"/>
    <w:rsid w:val="0087782B"/>
    <w:rsid w:val="00877B6C"/>
    <w:rsid w:val="008802C2"/>
    <w:rsid w:val="00880AB0"/>
    <w:rsid w:val="00881256"/>
    <w:rsid w:val="00881482"/>
    <w:rsid w:val="00881701"/>
    <w:rsid w:val="00882181"/>
    <w:rsid w:val="00882498"/>
    <w:rsid w:val="00882AFA"/>
    <w:rsid w:val="00883671"/>
    <w:rsid w:val="00883679"/>
    <w:rsid w:val="008839F4"/>
    <w:rsid w:val="008846A4"/>
    <w:rsid w:val="00885785"/>
    <w:rsid w:val="00885D49"/>
    <w:rsid w:val="00886762"/>
    <w:rsid w:val="0088682C"/>
    <w:rsid w:val="008869A3"/>
    <w:rsid w:val="00886B1D"/>
    <w:rsid w:val="00886E2C"/>
    <w:rsid w:val="0088765B"/>
    <w:rsid w:val="008919A8"/>
    <w:rsid w:val="00891A05"/>
    <w:rsid w:val="00891D1F"/>
    <w:rsid w:val="00891E85"/>
    <w:rsid w:val="008926B6"/>
    <w:rsid w:val="00893C57"/>
    <w:rsid w:val="00893F62"/>
    <w:rsid w:val="00894177"/>
    <w:rsid w:val="00894415"/>
    <w:rsid w:val="00894757"/>
    <w:rsid w:val="00894C7A"/>
    <w:rsid w:val="00895275"/>
    <w:rsid w:val="00895BAE"/>
    <w:rsid w:val="00896329"/>
    <w:rsid w:val="0089636F"/>
    <w:rsid w:val="00896494"/>
    <w:rsid w:val="008A08AB"/>
    <w:rsid w:val="008A1483"/>
    <w:rsid w:val="008A1E72"/>
    <w:rsid w:val="008A1F32"/>
    <w:rsid w:val="008A1FDC"/>
    <w:rsid w:val="008A26F0"/>
    <w:rsid w:val="008A2F43"/>
    <w:rsid w:val="008A32E6"/>
    <w:rsid w:val="008A39D9"/>
    <w:rsid w:val="008A3BC3"/>
    <w:rsid w:val="008A3BEF"/>
    <w:rsid w:val="008A457F"/>
    <w:rsid w:val="008A4FFB"/>
    <w:rsid w:val="008A5AF8"/>
    <w:rsid w:val="008A5BC3"/>
    <w:rsid w:val="008A60E8"/>
    <w:rsid w:val="008A6647"/>
    <w:rsid w:val="008A7709"/>
    <w:rsid w:val="008A79D6"/>
    <w:rsid w:val="008A7B41"/>
    <w:rsid w:val="008B03AB"/>
    <w:rsid w:val="008B0A78"/>
    <w:rsid w:val="008B0AB3"/>
    <w:rsid w:val="008B18CA"/>
    <w:rsid w:val="008B1ADE"/>
    <w:rsid w:val="008B245B"/>
    <w:rsid w:val="008B2554"/>
    <w:rsid w:val="008B278A"/>
    <w:rsid w:val="008B3871"/>
    <w:rsid w:val="008B443C"/>
    <w:rsid w:val="008B4486"/>
    <w:rsid w:val="008B453C"/>
    <w:rsid w:val="008B5461"/>
    <w:rsid w:val="008B56F2"/>
    <w:rsid w:val="008B5801"/>
    <w:rsid w:val="008B61E4"/>
    <w:rsid w:val="008B630D"/>
    <w:rsid w:val="008B6839"/>
    <w:rsid w:val="008B685C"/>
    <w:rsid w:val="008B7130"/>
    <w:rsid w:val="008C0177"/>
    <w:rsid w:val="008C0A86"/>
    <w:rsid w:val="008C0B0E"/>
    <w:rsid w:val="008C136E"/>
    <w:rsid w:val="008C2B4F"/>
    <w:rsid w:val="008C304E"/>
    <w:rsid w:val="008C329E"/>
    <w:rsid w:val="008C3319"/>
    <w:rsid w:val="008C3AAA"/>
    <w:rsid w:val="008C46D8"/>
    <w:rsid w:val="008C4AB3"/>
    <w:rsid w:val="008C5B77"/>
    <w:rsid w:val="008C66A9"/>
    <w:rsid w:val="008C676C"/>
    <w:rsid w:val="008C7071"/>
    <w:rsid w:val="008C73CD"/>
    <w:rsid w:val="008C7739"/>
    <w:rsid w:val="008C7C1F"/>
    <w:rsid w:val="008D1A6F"/>
    <w:rsid w:val="008D1AC8"/>
    <w:rsid w:val="008D1FA5"/>
    <w:rsid w:val="008D33F8"/>
    <w:rsid w:val="008D397D"/>
    <w:rsid w:val="008D3F70"/>
    <w:rsid w:val="008D4327"/>
    <w:rsid w:val="008D45B7"/>
    <w:rsid w:val="008D4AFC"/>
    <w:rsid w:val="008D4CCA"/>
    <w:rsid w:val="008D4DAF"/>
    <w:rsid w:val="008D54AD"/>
    <w:rsid w:val="008D5C3C"/>
    <w:rsid w:val="008E02DD"/>
    <w:rsid w:val="008E12A9"/>
    <w:rsid w:val="008E1501"/>
    <w:rsid w:val="008E1892"/>
    <w:rsid w:val="008E2243"/>
    <w:rsid w:val="008E29F4"/>
    <w:rsid w:val="008E33C1"/>
    <w:rsid w:val="008E390C"/>
    <w:rsid w:val="008E39F8"/>
    <w:rsid w:val="008E3E1E"/>
    <w:rsid w:val="008E4189"/>
    <w:rsid w:val="008E45CA"/>
    <w:rsid w:val="008E59FA"/>
    <w:rsid w:val="008E6375"/>
    <w:rsid w:val="008E6C12"/>
    <w:rsid w:val="008E6DAF"/>
    <w:rsid w:val="008E760C"/>
    <w:rsid w:val="008E7850"/>
    <w:rsid w:val="008E7E7F"/>
    <w:rsid w:val="008F027F"/>
    <w:rsid w:val="008F0697"/>
    <w:rsid w:val="008F0B8A"/>
    <w:rsid w:val="008F0C38"/>
    <w:rsid w:val="008F204E"/>
    <w:rsid w:val="008F2178"/>
    <w:rsid w:val="008F29A1"/>
    <w:rsid w:val="008F3E64"/>
    <w:rsid w:val="008F48F4"/>
    <w:rsid w:val="008F4F4C"/>
    <w:rsid w:val="008F4F60"/>
    <w:rsid w:val="008F526C"/>
    <w:rsid w:val="008F5F8A"/>
    <w:rsid w:val="008F7542"/>
    <w:rsid w:val="008F76AF"/>
    <w:rsid w:val="008F7B37"/>
    <w:rsid w:val="008F7EB1"/>
    <w:rsid w:val="00900278"/>
    <w:rsid w:val="009008CB"/>
    <w:rsid w:val="00900E81"/>
    <w:rsid w:val="00901F83"/>
    <w:rsid w:val="00901F8D"/>
    <w:rsid w:val="00902998"/>
    <w:rsid w:val="00903842"/>
    <w:rsid w:val="00903FE5"/>
    <w:rsid w:val="00904404"/>
    <w:rsid w:val="00904D0D"/>
    <w:rsid w:val="009054AC"/>
    <w:rsid w:val="0090587F"/>
    <w:rsid w:val="009063A1"/>
    <w:rsid w:val="00906401"/>
    <w:rsid w:val="00906CCD"/>
    <w:rsid w:val="0090795B"/>
    <w:rsid w:val="00910304"/>
    <w:rsid w:val="009107BC"/>
    <w:rsid w:val="00910C8D"/>
    <w:rsid w:val="00910E2B"/>
    <w:rsid w:val="0091143F"/>
    <w:rsid w:val="00911D94"/>
    <w:rsid w:val="00913EF6"/>
    <w:rsid w:val="00914F8F"/>
    <w:rsid w:val="00915349"/>
    <w:rsid w:val="00915430"/>
    <w:rsid w:val="00915460"/>
    <w:rsid w:val="00915B68"/>
    <w:rsid w:val="00916937"/>
    <w:rsid w:val="009172AE"/>
    <w:rsid w:val="0091736F"/>
    <w:rsid w:val="00917ABD"/>
    <w:rsid w:val="0092119C"/>
    <w:rsid w:val="009223A5"/>
    <w:rsid w:val="009228E2"/>
    <w:rsid w:val="009229AB"/>
    <w:rsid w:val="00922DF9"/>
    <w:rsid w:val="00923503"/>
    <w:rsid w:val="0092390E"/>
    <w:rsid w:val="00923AC3"/>
    <w:rsid w:val="009243D7"/>
    <w:rsid w:val="00924BFA"/>
    <w:rsid w:val="00924E7D"/>
    <w:rsid w:val="00925068"/>
    <w:rsid w:val="009252E3"/>
    <w:rsid w:val="00925990"/>
    <w:rsid w:val="009266D4"/>
    <w:rsid w:val="00926DFD"/>
    <w:rsid w:val="00927247"/>
    <w:rsid w:val="0093037A"/>
    <w:rsid w:val="00930CA0"/>
    <w:rsid w:val="009321C7"/>
    <w:rsid w:val="0093228C"/>
    <w:rsid w:val="009327A1"/>
    <w:rsid w:val="009329A2"/>
    <w:rsid w:val="00933602"/>
    <w:rsid w:val="00933E46"/>
    <w:rsid w:val="00934B7C"/>
    <w:rsid w:val="00934CDA"/>
    <w:rsid w:val="0093653A"/>
    <w:rsid w:val="009365B9"/>
    <w:rsid w:val="00936761"/>
    <w:rsid w:val="00937B0B"/>
    <w:rsid w:val="00940369"/>
    <w:rsid w:val="00940CB6"/>
    <w:rsid w:val="00940FE7"/>
    <w:rsid w:val="00941C3D"/>
    <w:rsid w:val="00941E11"/>
    <w:rsid w:val="00941F56"/>
    <w:rsid w:val="009423AF"/>
    <w:rsid w:val="009424F0"/>
    <w:rsid w:val="00942E00"/>
    <w:rsid w:val="00942FAC"/>
    <w:rsid w:val="009431E2"/>
    <w:rsid w:val="0094388C"/>
    <w:rsid w:val="00944015"/>
    <w:rsid w:val="0094423F"/>
    <w:rsid w:val="009442A5"/>
    <w:rsid w:val="0094438A"/>
    <w:rsid w:val="00944B62"/>
    <w:rsid w:val="00945158"/>
    <w:rsid w:val="00946251"/>
    <w:rsid w:val="009462CA"/>
    <w:rsid w:val="00946425"/>
    <w:rsid w:val="00946729"/>
    <w:rsid w:val="00946CD6"/>
    <w:rsid w:val="00947007"/>
    <w:rsid w:val="00947704"/>
    <w:rsid w:val="00950128"/>
    <w:rsid w:val="00952D89"/>
    <w:rsid w:val="00952EA3"/>
    <w:rsid w:val="0095349A"/>
    <w:rsid w:val="00954E4D"/>
    <w:rsid w:val="0095619F"/>
    <w:rsid w:val="00956288"/>
    <w:rsid w:val="00956719"/>
    <w:rsid w:val="009576B4"/>
    <w:rsid w:val="00960B3D"/>
    <w:rsid w:val="00962DCC"/>
    <w:rsid w:val="009641D7"/>
    <w:rsid w:val="009642EE"/>
    <w:rsid w:val="009643E9"/>
    <w:rsid w:val="00964701"/>
    <w:rsid w:val="009647FE"/>
    <w:rsid w:val="00964FA6"/>
    <w:rsid w:val="0096707A"/>
    <w:rsid w:val="00967AF7"/>
    <w:rsid w:val="00970317"/>
    <w:rsid w:val="009710F9"/>
    <w:rsid w:val="00971135"/>
    <w:rsid w:val="00971E77"/>
    <w:rsid w:val="00972144"/>
    <w:rsid w:val="00972E32"/>
    <w:rsid w:val="00972EAD"/>
    <w:rsid w:val="009736C6"/>
    <w:rsid w:val="009738A7"/>
    <w:rsid w:val="00973CB6"/>
    <w:rsid w:val="00973D23"/>
    <w:rsid w:val="009742EC"/>
    <w:rsid w:val="009750BB"/>
    <w:rsid w:val="00975346"/>
    <w:rsid w:val="00975417"/>
    <w:rsid w:val="00975751"/>
    <w:rsid w:val="009759DC"/>
    <w:rsid w:val="009762FD"/>
    <w:rsid w:val="009764D8"/>
    <w:rsid w:val="009768A4"/>
    <w:rsid w:val="0097735E"/>
    <w:rsid w:val="00980135"/>
    <w:rsid w:val="00980B55"/>
    <w:rsid w:val="00981165"/>
    <w:rsid w:val="00981538"/>
    <w:rsid w:val="0098197A"/>
    <w:rsid w:val="00981D14"/>
    <w:rsid w:val="00984616"/>
    <w:rsid w:val="00984A7D"/>
    <w:rsid w:val="00984ADF"/>
    <w:rsid w:val="0098511E"/>
    <w:rsid w:val="00985272"/>
    <w:rsid w:val="0098632A"/>
    <w:rsid w:val="009867CD"/>
    <w:rsid w:val="00986D0A"/>
    <w:rsid w:val="00990469"/>
    <w:rsid w:val="00990545"/>
    <w:rsid w:val="00990F01"/>
    <w:rsid w:val="009910F5"/>
    <w:rsid w:val="00991AA3"/>
    <w:rsid w:val="00991BC9"/>
    <w:rsid w:val="0099217C"/>
    <w:rsid w:val="009929E0"/>
    <w:rsid w:val="00992D70"/>
    <w:rsid w:val="00993388"/>
    <w:rsid w:val="0099347F"/>
    <w:rsid w:val="00993BAC"/>
    <w:rsid w:val="00993D90"/>
    <w:rsid w:val="009940BD"/>
    <w:rsid w:val="009941F5"/>
    <w:rsid w:val="00994ABE"/>
    <w:rsid w:val="009955F1"/>
    <w:rsid w:val="00995BB0"/>
    <w:rsid w:val="00995F2A"/>
    <w:rsid w:val="00996667"/>
    <w:rsid w:val="00997577"/>
    <w:rsid w:val="0099784B"/>
    <w:rsid w:val="00997927"/>
    <w:rsid w:val="00997BC5"/>
    <w:rsid w:val="009A003F"/>
    <w:rsid w:val="009A0A2F"/>
    <w:rsid w:val="009A2861"/>
    <w:rsid w:val="009A3932"/>
    <w:rsid w:val="009A3B08"/>
    <w:rsid w:val="009A4CBD"/>
    <w:rsid w:val="009A4F67"/>
    <w:rsid w:val="009A5268"/>
    <w:rsid w:val="009A536F"/>
    <w:rsid w:val="009A561F"/>
    <w:rsid w:val="009A57FA"/>
    <w:rsid w:val="009A5E6B"/>
    <w:rsid w:val="009A5E9A"/>
    <w:rsid w:val="009A5FAF"/>
    <w:rsid w:val="009A612C"/>
    <w:rsid w:val="009A688B"/>
    <w:rsid w:val="009A6FB1"/>
    <w:rsid w:val="009A7CC8"/>
    <w:rsid w:val="009B016A"/>
    <w:rsid w:val="009B0829"/>
    <w:rsid w:val="009B0936"/>
    <w:rsid w:val="009B0FC2"/>
    <w:rsid w:val="009B1088"/>
    <w:rsid w:val="009B1D97"/>
    <w:rsid w:val="009B226D"/>
    <w:rsid w:val="009B2507"/>
    <w:rsid w:val="009B2BA2"/>
    <w:rsid w:val="009B3EA3"/>
    <w:rsid w:val="009B3EB0"/>
    <w:rsid w:val="009B3F18"/>
    <w:rsid w:val="009B4B7E"/>
    <w:rsid w:val="009B5C91"/>
    <w:rsid w:val="009C090B"/>
    <w:rsid w:val="009C0965"/>
    <w:rsid w:val="009C0FF4"/>
    <w:rsid w:val="009C1B1F"/>
    <w:rsid w:val="009C2BC5"/>
    <w:rsid w:val="009C2D01"/>
    <w:rsid w:val="009C2E16"/>
    <w:rsid w:val="009C419B"/>
    <w:rsid w:val="009C49E9"/>
    <w:rsid w:val="009C5584"/>
    <w:rsid w:val="009C576E"/>
    <w:rsid w:val="009C68E1"/>
    <w:rsid w:val="009C6E84"/>
    <w:rsid w:val="009C75C8"/>
    <w:rsid w:val="009C75F9"/>
    <w:rsid w:val="009D03FB"/>
    <w:rsid w:val="009D0493"/>
    <w:rsid w:val="009D0E81"/>
    <w:rsid w:val="009D1592"/>
    <w:rsid w:val="009D182C"/>
    <w:rsid w:val="009D1899"/>
    <w:rsid w:val="009D18DB"/>
    <w:rsid w:val="009D2973"/>
    <w:rsid w:val="009D3B86"/>
    <w:rsid w:val="009D3B8E"/>
    <w:rsid w:val="009D4AA0"/>
    <w:rsid w:val="009D5080"/>
    <w:rsid w:val="009D5C5A"/>
    <w:rsid w:val="009D5D22"/>
    <w:rsid w:val="009D6033"/>
    <w:rsid w:val="009D6B2F"/>
    <w:rsid w:val="009D6FD7"/>
    <w:rsid w:val="009D7A83"/>
    <w:rsid w:val="009D7E6A"/>
    <w:rsid w:val="009D7F56"/>
    <w:rsid w:val="009E0103"/>
    <w:rsid w:val="009E08D1"/>
    <w:rsid w:val="009E0984"/>
    <w:rsid w:val="009E19E9"/>
    <w:rsid w:val="009E1A02"/>
    <w:rsid w:val="009E1ED4"/>
    <w:rsid w:val="009E22F4"/>
    <w:rsid w:val="009E2429"/>
    <w:rsid w:val="009E24E4"/>
    <w:rsid w:val="009E3A21"/>
    <w:rsid w:val="009E3AA6"/>
    <w:rsid w:val="009E3E03"/>
    <w:rsid w:val="009E3F49"/>
    <w:rsid w:val="009E46CA"/>
    <w:rsid w:val="009E52F3"/>
    <w:rsid w:val="009E5468"/>
    <w:rsid w:val="009E617F"/>
    <w:rsid w:val="009E76C1"/>
    <w:rsid w:val="009E7B38"/>
    <w:rsid w:val="009F197A"/>
    <w:rsid w:val="009F2A28"/>
    <w:rsid w:val="009F2DD1"/>
    <w:rsid w:val="009F2E91"/>
    <w:rsid w:val="009F4B5D"/>
    <w:rsid w:val="009F4F68"/>
    <w:rsid w:val="009F545C"/>
    <w:rsid w:val="009F6AD2"/>
    <w:rsid w:val="009F6DC7"/>
    <w:rsid w:val="009F78BD"/>
    <w:rsid w:val="009F7BF5"/>
    <w:rsid w:val="00A00C60"/>
    <w:rsid w:val="00A01B34"/>
    <w:rsid w:val="00A023B0"/>
    <w:rsid w:val="00A0242A"/>
    <w:rsid w:val="00A02585"/>
    <w:rsid w:val="00A029E6"/>
    <w:rsid w:val="00A0365F"/>
    <w:rsid w:val="00A03BEF"/>
    <w:rsid w:val="00A03D2C"/>
    <w:rsid w:val="00A04E9E"/>
    <w:rsid w:val="00A05083"/>
    <w:rsid w:val="00A05498"/>
    <w:rsid w:val="00A05782"/>
    <w:rsid w:val="00A0611D"/>
    <w:rsid w:val="00A07E3F"/>
    <w:rsid w:val="00A100D6"/>
    <w:rsid w:val="00A1058F"/>
    <w:rsid w:val="00A1060C"/>
    <w:rsid w:val="00A10787"/>
    <w:rsid w:val="00A11C8A"/>
    <w:rsid w:val="00A121DA"/>
    <w:rsid w:val="00A122B6"/>
    <w:rsid w:val="00A1269B"/>
    <w:rsid w:val="00A127B7"/>
    <w:rsid w:val="00A12921"/>
    <w:rsid w:val="00A12DB5"/>
    <w:rsid w:val="00A13688"/>
    <w:rsid w:val="00A13AD2"/>
    <w:rsid w:val="00A1488F"/>
    <w:rsid w:val="00A148FD"/>
    <w:rsid w:val="00A14C9B"/>
    <w:rsid w:val="00A1538C"/>
    <w:rsid w:val="00A1684D"/>
    <w:rsid w:val="00A17324"/>
    <w:rsid w:val="00A201E9"/>
    <w:rsid w:val="00A21571"/>
    <w:rsid w:val="00A22572"/>
    <w:rsid w:val="00A226D8"/>
    <w:rsid w:val="00A23586"/>
    <w:rsid w:val="00A23AA2"/>
    <w:rsid w:val="00A23CAC"/>
    <w:rsid w:val="00A23D65"/>
    <w:rsid w:val="00A243E3"/>
    <w:rsid w:val="00A24BAC"/>
    <w:rsid w:val="00A24FAA"/>
    <w:rsid w:val="00A25A67"/>
    <w:rsid w:val="00A2613D"/>
    <w:rsid w:val="00A267D5"/>
    <w:rsid w:val="00A2712B"/>
    <w:rsid w:val="00A27683"/>
    <w:rsid w:val="00A276C0"/>
    <w:rsid w:val="00A30FAC"/>
    <w:rsid w:val="00A32585"/>
    <w:rsid w:val="00A329A7"/>
    <w:rsid w:val="00A33148"/>
    <w:rsid w:val="00A346FF"/>
    <w:rsid w:val="00A35209"/>
    <w:rsid w:val="00A364B7"/>
    <w:rsid w:val="00A36563"/>
    <w:rsid w:val="00A36C77"/>
    <w:rsid w:val="00A36D87"/>
    <w:rsid w:val="00A37A72"/>
    <w:rsid w:val="00A37A7F"/>
    <w:rsid w:val="00A412A2"/>
    <w:rsid w:val="00A421E3"/>
    <w:rsid w:val="00A42468"/>
    <w:rsid w:val="00A42E41"/>
    <w:rsid w:val="00A43566"/>
    <w:rsid w:val="00A43B0F"/>
    <w:rsid w:val="00A44162"/>
    <w:rsid w:val="00A44BF1"/>
    <w:rsid w:val="00A4532C"/>
    <w:rsid w:val="00A453C9"/>
    <w:rsid w:val="00A4555A"/>
    <w:rsid w:val="00A45582"/>
    <w:rsid w:val="00A45745"/>
    <w:rsid w:val="00A462C2"/>
    <w:rsid w:val="00A46CD8"/>
    <w:rsid w:val="00A46DA1"/>
    <w:rsid w:val="00A470E4"/>
    <w:rsid w:val="00A50488"/>
    <w:rsid w:val="00A50686"/>
    <w:rsid w:val="00A50B86"/>
    <w:rsid w:val="00A50C34"/>
    <w:rsid w:val="00A51092"/>
    <w:rsid w:val="00A52F0D"/>
    <w:rsid w:val="00A53307"/>
    <w:rsid w:val="00A539DE"/>
    <w:rsid w:val="00A53BE7"/>
    <w:rsid w:val="00A53E5A"/>
    <w:rsid w:val="00A53F33"/>
    <w:rsid w:val="00A54322"/>
    <w:rsid w:val="00A55603"/>
    <w:rsid w:val="00A557FA"/>
    <w:rsid w:val="00A559B3"/>
    <w:rsid w:val="00A5697F"/>
    <w:rsid w:val="00A5748B"/>
    <w:rsid w:val="00A57836"/>
    <w:rsid w:val="00A578CE"/>
    <w:rsid w:val="00A579EE"/>
    <w:rsid w:val="00A6047A"/>
    <w:rsid w:val="00A60ECD"/>
    <w:rsid w:val="00A614DB"/>
    <w:rsid w:val="00A61AC2"/>
    <w:rsid w:val="00A61CBF"/>
    <w:rsid w:val="00A628C4"/>
    <w:rsid w:val="00A630B1"/>
    <w:rsid w:val="00A6340C"/>
    <w:rsid w:val="00A6342B"/>
    <w:rsid w:val="00A639A1"/>
    <w:rsid w:val="00A63B0E"/>
    <w:rsid w:val="00A63B8A"/>
    <w:rsid w:val="00A63B9E"/>
    <w:rsid w:val="00A6434F"/>
    <w:rsid w:val="00A6481F"/>
    <w:rsid w:val="00A64FBB"/>
    <w:rsid w:val="00A651D0"/>
    <w:rsid w:val="00A65AC7"/>
    <w:rsid w:val="00A65C26"/>
    <w:rsid w:val="00A66E95"/>
    <w:rsid w:val="00A66EB1"/>
    <w:rsid w:val="00A67429"/>
    <w:rsid w:val="00A67846"/>
    <w:rsid w:val="00A67F89"/>
    <w:rsid w:val="00A700AC"/>
    <w:rsid w:val="00A70483"/>
    <w:rsid w:val="00A706AE"/>
    <w:rsid w:val="00A70FA1"/>
    <w:rsid w:val="00A717A4"/>
    <w:rsid w:val="00A7311A"/>
    <w:rsid w:val="00A731B1"/>
    <w:rsid w:val="00A733AD"/>
    <w:rsid w:val="00A736DE"/>
    <w:rsid w:val="00A73942"/>
    <w:rsid w:val="00A73A1E"/>
    <w:rsid w:val="00A741A0"/>
    <w:rsid w:val="00A749B5"/>
    <w:rsid w:val="00A75E91"/>
    <w:rsid w:val="00A76BDB"/>
    <w:rsid w:val="00A77BC4"/>
    <w:rsid w:val="00A77DAD"/>
    <w:rsid w:val="00A81104"/>
    <w:rsid w:val="00A8204A"/>
    <w:rsid w:val="00A82895"/>
    <w:rsid w:val="00A82D0B"/>
    <w:rsid w:val="00A82EB2"/>
    <w:rsid w:val="00A851C1"/>
    <w:rsid w:val="00A85BF2"/>
    <w:rsid w:val="00A8699C"/>
    <w:rsid w:val="00A86B56"/>
    <w:rsid w:val="00A86E44"/>
    <w:rsid w:val="00A873D5"/>
    <w:rsid w:val="00A876C1"/>
    <w:rsid w:val="00A8774B"/>
    <w:rsid w:val="00A9040C"/>
    <w:rsid w:val="00A90520"/>
    <w:rsid w:val="00A91965"/>
    <w:rsid w:val="00A91B24"/>
    <w:rsid w:val="00A923A6"/>
    <w:rsid w:val="00A9329C"/>
    <w:rsid w:val="00A93707"/>
    <w:rsid w:val="00A937AB"/>
    <w:rsid w:val="00A937C6"/>
    <w:rsid w:val="00A942F9"/>
    <w:rsid w:val="00A948F7"/>
    <w:rsid w:val="00A949CC"/>
    <w:rsid w:val="00A94A3E"/>
    <w:rsid w:val="00A94BD8"/>
    <w:rsid w:val="00A9557B"/>
    <w:rsid w:val="00A95592"/>
    <w:rsid w:val="00A96451"/>
    <w:rsid w:val="00A96B9C"/>
    <w:rsid w:val="00A96C92"/>
    <w:rsid w:val="00A96D86"/>
    <w:rsid w:val="00A97115"/>
    <w:rsid w:val="00A9716E"/>
    <w:rsid w:val="00A97EED"/>
    <w:rsid w:val="00AA0276"/>
    <w:rsid w:val="00AA0DD7"/>
    <w:rsid w:val="00AA184D"/>
    <w:rsid w:val="00AA18C7"/>
    <w:rsid w:val="00AA2165"/>
    <w:rsid w:val="00AA2432"/>
    <w:rsid w:val="00AA2544"/>
    <w:rsid w:val="00AA2642"/>
    <w:rsid w:val="00AA38D8"/>
    <w:rsid w:val="00AA3F16"/>
    <w:rsid w:val="00AA4A90"/>
    <w:rsid w:val="00AA529C"/>
    <w:rsid w:val="00AA6DE3"/>
    <w:rsid w:val="00AB0477"/>
    <w:rsid w:val="00AB0869"/>
    <w:rsid w:val="00AB093B"/>
    <w:rsid w:val="00AB10E7"/>
    <w:rsid w:val="00AB1E32"/>
    <w:rsid w:val="00AB21F6"/>
    <w:rsid w:val="00AB2C68"/>
    <w:rsid w:val="00AB2EA4"/>
    <w:rsid w:val="00AB32B6"/>
    <w:rsid w:val="00AB3A70"/>
    <w:rsid w:val="00AB4F37"/>
    <w:rsid w:val="00AB508C"/>
    <w:rsid w:val="00AB5672"/>
    <w:rsid w:val="00AB581F"/>
    <w:rsid w:val="00AB60F7"/>
    <w:rsid w:val="00AB6769"/>
    <w:rsid w:val="00AB68A8"/>
    <w:rsid w:val="00AB6975"/>
    <w:rsid w:val="00AB7135"/>
    <w:rsid w:val="00AB729A"/>
    <w:rsid w:val="00AB7682"/>
    <w:rsid w:val="00AB7B2A"/>
    <w:rsid w:val="00AB7F63"/>
    <w:rsid w:val="00AC1201"/>
    <w:rsid w:val="00AC282A"/>
    <w:rsid w:val="00AC2E68"/>
    <w:rsid w:val="00AC378B"/>
    <w:rsid w:val="00AC3D22"/>
    <w:rsid w:val="00AC3E15"/>
    <w:rsid w:val="00AC402A"/>
    <w:rsid w:val="00AC4071"/>
    <w:rsid w:val="00AC4401"/>
    <w:rsid w:val="00AC4A03"/>
    <w:rsid w:val="00AC52B5"/>
    <w:rsid w:val="00AC5A1F"/>
    <w:rsid w:val="00AC615D"/>
    <w:rsid w:val="00AC61F1"/>
    <w:rsid w:val="00AC6351"/>
    <w:rsid w:val="00AC7F46"/>
    <w:rsid w:val="00AD05CB"/>
    <w:rsid w:val="00AD0C5B"/>
    <w:rsid w:val="00AD1731"/>
    <w:rsid w:val="00AD264C"/>
    <w:rsid w:val="00AD2DD4"/>
    <w:rsid w:val="00AD3019"/>
    <w:rsid w:val="00AD3C3D"/>
    <w:rsid w:val="00AD4422"/>
    <w:rsid w:val="00AD48BC"/>
    <w:rsid w:val="00AD4DFE"/>
    <w:rsid w:val="00AD5324"/>
    <w:rsid w:val="00AD63E2"/>
    <w:rsid w:val="00AD6890"/>
    <w:rsid w:val="00AD7725"/>
    <w:rsid w:val="00AE07A5"/>
    <w:rsid w:val="00AE0AB0"/>
    <w:rsid w:val="00AE0C69"/>
    <w:rsid w:val="00AE1584"/>
    <w:rsid w:val="00AE1B31"/>
    <w:rsid w:val="00AE1CFA"/>
    <w:rsid w:val="00AE253F"/>
    <w:rsid w:val="00AE34DD"/>
    <w:rsid w:val="00AE353D"/>
    <w:rsid w:val="00AE3AA9"/>
    <w:rsid w:val="00AE4164"/>
    <w:rsid w:val="00AE4D1A"/>
    <w:rsid w:val="00AE757B"/>
    <w:rsid w:val="00AF0371"/>
    <w:rsid w:val="00AF1EF8"/>
    <w:rsid w:val="00AF273F"/>
    <w:rsid w:val="00AF28E9"/>
    <w:rsid w:val="00AF33C8"/>
    <w:rsid w:val="00AF3B93"/>
    <w:rsid w:val="00AF4838"/>
    <w:rsid w:val="00AF4F5F"/>
    <w:rsid w:val="00AF6B6B"/>
    <w:rsid w:val="00AF71AA"/>
    <w:rsid w:val="00AF7AC3"/>
    <w:rsid w:val="00AF7EE9"/>
    <w:rsid w:val="00B002B9"/>
    <w:rsid w:val="00B009F1"/>
    <w:rsid w:val="00B00F42"/>
    <w:rsid w:val="00B0106B"/>
    <w:rsid w:val="00B01638"/>
    <w:rsid w:val="00B01A30"/>
    <w:rsid w:val="00B01FAB"/>
    <w:rsid w:val="00B02D7E"/>
    <w:rsid w:val="00B03096"/>
    <w:rsid w:val="00B03385"/>
    <w:rsid w:val="00B03B2F"/>
    <w:rsid w:val="00B05C88"/>
    <w:rsid w:val="00B05F6E"/>
    <w:rsid w:val="00B06715"/>
    <w:rsid w:val="00B06A8F"/>
    <w:rsid w:val="00B07C55"/>
    <w:rsid w:val="00B100E8"/>
    <w:rsid w:val="00B10729"/>
    <w:rsid w:val="00B10DD1"/>
    <w:rsid w:val="00B11150"/>
    <w:rsid w:val="00B116F4"/>
    <w:rsid w:val="00B11F5B"/>
    <w:rsid w:val="00B1202F"/>
    <w:rsid w:val="00B122AD"/>
    <w:rsid w:val="00B12D7E"/>
    <w:rsid w:val="00B13055"/>
    <w:rsid w:val="00B131A6"/>
    <w:rsid w:val="00B13556"/>
    <w:rsid w:val="00B13B8F"/>
    <w:rsid w:val="00B13F59"/>
    <w:rsid w:val="00B14BD3"/>
    <w:rsid w:val="00B1527A"/>
    <w:rsid w:val="00B15B5D"/>
    <w:rsid w:val="00B15C9B"/>
    <w:rsid w:val="00B17366"/>
    <w:rsid w:val="00B1764B"/>
    <w:rsid w:val="00B20094"/>
    <w:rsid w:val="00B201A7"/>
    <w:rsid w:val="00B20C73"/>
    <w:rsid w:val="00B20DBD"/>
    <w:rsid w:val="00B20E0E"/>
    <w:rsid w:val="00B20F70"/>
    <w:rsid w:val="00B21993"/>
    <w:rsid w:val="00B21A85"/>
    <w:rsid w:val="00B22185"/>
    <w:rsid w:val="00B22CA9"/>
    <w:rsid w:val="00B22D67"/>
    <w:rsid w:val="00B2337E"/>
    <w:rsid w:val="00B23453"/>
    <w:rsid w:val="00B244C9"/>
    <w:rsid w:val="00B24828"/>
    <w:rsid w:val="00B254CB"/>
    <w:rsid w:val="00B2616E"/>
    <w:rsid w:val="00B263B9"/>
    <w:rsid w:val="00B263D6"/>
    <w:rsid w:val="00B263D7"/>
    <w:rsid w:val="00B264DE"/>
    <w:rsid w:val="00B26862"/>
    <w:rsid w:val="00B272F8"/>
    <w:rsid w:val="00B27D20"/>
    <w:rsid w:val="00B30025"/>
    <w:rsid w:val="00B30A45"/>
    <w:rsid w:val="00B30EEF"/>
    <w:rsid w:val="00B3207D"/>
    <w:rsid w:val="00B32CDF"/>
    <w:rsid w:val="00B339A8"/>
    <w:rsid w:val="00B34360"/>
    <w:rsid w:val="00B34D15"/>
    <w:rsid w:val="00B34D29"/>
    <w:rsid w:val="00B35EB0"/>
    <w:rsid w:val="00B36253"/>
    <w:rsid w:val="00B369E3"/>
    <w:rsid w:val="00B36A97"/>
    <w:rsid w:val="00B370D6"/>
    <w:rsid w:val="00B37251"/>
    <w:rsid w:val="00B3732B"/>
    <w:rsid w:val="00B37BB0"/>
    <w:rsid w:val="00B37D9F"/>
    <w:rsid w:val="00B4043E"/>
    <w:rsid w:val="00B406C9"/>
    <w:rsid w:val="00B40B69"/>
    <w:rsid w:val="00B40D69"/>
    <w:rsid w:val="00B4187E"/>
    <w:rsid w:val="00B42CDC"/>
    <w:rsid w:val="00B443FC"/>
    <w:rsid w:val="00B444A8"/>
    <w:rsid w:val="00B445A5"/>
    <w:rsid w:val="00B44D2C"/>
    <w:rsid w:val="00B460EA"/>
    <w:rsid w:val="00B4663F"/>
    <w:rsid w:val="00B4764E"/>
    <w:rsid w:val="00B51739"/>
    <w:rsid w:val="00B53D71"/>
    <w:rsid w:val="00B55AEC"/>
    <w:rsid w:val="00B55B53"/>
    <w:rsid w:val="00B55FB9"/>
    <w:rsid w:val="00B571B0"/>
    <w:rsid w:val="00B57582"/>
    <w:rsid w:val="00B57B3C"/>
    <w:rsid w:val="00B60069"/>
    <w:rsid w:val="00B626CF"/>
    <w:rsid w:val="00B629BA"/>
    <w:rsid w:val="00B636FE"/>
    <w:rsid w:val="00B65931"/>
    <w:rsid w:val="00B7115A"/>
    <w:rsid w:val="00B717AA"/>
    <w:rsid w:val="00B71F7C"/>
    <w:rsid w:val="00B72145"/>
    <w:rsid w:val="00B721A3"/>
    <w:rsid w:val="00B7244F"/>
    <w:rsid w:val="00B7305D"/>
    <w:rsid w:val="00B7321C"/>
    <w:rsid w:val="00B736A8"/>
    <w:rsid w:val="00B73A00"/>
    <w:rsid w:val="00B73C80"/>
    <w:rsid w:val="00B73DA0"/>
    <w:rsid w:val="00B75BFA"/>
    <w:rsid w:val="00B75C71"/>
    <w:rsid w:val="00B76300"/>
    <w:rsid w:val="00B76675"/>
    <w:rsid w:val="00B76B2E"/>
    <w:rsid w:val="00B76E39"/>
    <w:rsid w:val="00B76F64"/>
    <w:rsid w:val="00B7791C"/>
    <w:rsid w:val="00B77A3B"/>
    <w:rsid w:val="00B77B9B"/>
    <w:rsid w:val="00B77F94"/>
    <w:rsid w:val="00B80475"/>
    <w:rsid w:val="00B80D36"/>
    <w:rsid w:val="00B81296"/>
    <w:rsid w:val="00B81524"/>
    <w:rsid w:val="00B81592"/>
    <w:rsid w:val="00B81796"/>
    <w:rsid w:val="00B81B25"/>
    <w:rsid w:val="00B81F7B"/>
    <w:rsid w:val="00B82A7F"/>
    <w:rsid w:val="00B82CA2"/>
    <w:rsid w:val="00B82ED1"/>
    <w:rsid w:val="00B82F72"/>
    <w:rsid w:val="00B83304"/>
    <w:rsid w:val="00B833A9"/>
    <w:rsid w:val="00B834AB"/>
    <w:rsid w:val="00B83B1E"/>
    <w:rsid w:val="00B83CB0"/>
    <w:rsid w:val="00B84FB1"/>
    <w:rsid w:val="00B85033"/>
    <w:rsid w:val="00B86990"/>
    <w:rsid w:val="00B869CE"/>
    <w:rsid w:val="00B90444"/>
    <w:rsid w:val="00B914EE"/>
    <w:rsid w:val="00B91A47"/>
    <w:rsid w:val="00B91D7B"/>
    <w:rsid w:val="00B92798"/>
    <w:rsid w:val="00B92D1E"/>
    <w:rsid w:val="00B9328B"/>
    <w:rsid w:val="00B93520"/>
    <w:rsid w:val="00B93621"/>
    <w:rsid w:val="00B93E8C"/>
    <w:rsid w:val="00B93F0E"/>
    <w:rsid w:val="00B94F6C"/>
    <w:rsid w:val="00B957C5"/>
    <w:rsid w:val="00B9589A"/>
    <w:rsid w:val="00B97429"/>
    <w:rsid w:val="00B97967"/>
    <w:rsid w:val="00B97E92"/>
    <w:rsid w:val="00BA0C11"/>
    <w:rsid w:val="00BA0E4C"/>
    <w:rsid w:val="00BA15B8"/>
    <w:rsid w:val="00BA1975"/>
    <w:rsid w:val="00BA1B34"/>
    <w:rsid w:val="00BA1EE8"/>
    <w:rsid w:val="00BA2405"/>
    <w:rsid w:val="00BA2538"/>
    <w:rsid w:val="00BA28C8"/>
    <w:rsid w:val="00BA3A5D"/>
    <w:rsid w:val="00BA3E37"/>
    <w:rsid w:val="00BA429F"/>
    <w:rsid w:val="00BA47EE"/>
    <w:rsid w:val="00BA483A"/>
    <w:rsid w:val="00BA4F78"/>
    <w:rsid w:val="00BA5086"/>
    <w:rsid w:val="00BA5B33"/>
    <w:rsid w:val="00BA5C26"/>
    <w:rsid w:val="00BA5C56"/>
    <w:rsid w:val="00BA64A9"/>
    <w:rsid w:val="00BA68A7"/>
    <w:rsid w:val="00BA6EA9"/>
    <w:rsid w:val="00BA6FE6"/>
    <w:rsid w:val="00BA6FF5"/>
    <w:rsid w:val="00BA7258"/>
    <w:rsid w:val="00BA7C8F"/>
    <w:rsid w:val="00BB0535"/>
    <w:rsid w:val="00BB08B9"/>
    <w:rsid w:val="00BB1AA7"/>
    <w:rsid w:val="00BB2403"/>
    <w:rsid w:val="00BB28B5"/>
    <w:rsid w:val="00BB2CAA"/>
    <w:rsid w:val="00BB3163"/>
    <w:rsid w:val="00BB39D6"/>
    <w:rsid w:val="00BB56D8"/>
    <w:rsid w:val="00BB590B"/>
    <w:rsid w:val="00BB5A31"/>
    <w:rsid w:val="00BB6CD8"/>
    <w:rsid w:val="00BB6D22"/>
    <w:rsid w:val="00BB78C6"/>
    <w:rsid w:val="00BB7E66"/>
    <w:rsid w:val="00BC05AE"/>
    <w:rsid w:val="00BC0C4F"/>
    <w:rsid w:val="00BC1AFE"/>
    <w:rsid w:val="00BC1CB0"/>
    <w:rsid w:val="00BC1D61"/>
    <w:rsid w:val="00BC2E8B"/>
    <w:rsid w:val="00BC2F8B"/>
    <w:rsid w:val="00BC3B9D"/>
    <w:rsid w:val="00BC3CE6"/>
    <w:rsid w:val="00BC3F4F"/>
    <w:rsid w:val="00BC4CE4"/>
    <w:rsid w:val="00BC585E"/>
    <w:rsid w:val="00BC5EC1"/>
    <w:rsid w:val="00BC73BE"/>
    <w:rsid w:val="00BC74F3"/>
    <w:rsid w:val="00BC7EDB"/>
    <w:rsid w:val="00BD0222"/>
    <w:rsid w:val="00BD1B04"/>
    <w:rsid w:val="00BD275D"/>
    <w:rsid w:val="00BD28A6"/>
    <w:rsid w:val="00BD3167"/>
    <w:rsid w:val="00BD361B"/>
    <w:rsid w:val="00BD3B96"/>
    <w:rsid w:val="00BD4E90"/>
    <w:rsid w:val="00BD5B59"/>
    <w:rsid w:val="00BD6011"/>
    <w:rsid w:val="00BD649D"/>
    <w:rsid w:val="00BD67AD"/>
    <w:rsid w:val="00BD6DC3"/>
    <w:rsid w:val="00BD713F"/>
    <w:rsid w:val="00BD7490"/>
    <w:rsid w:val="00BE008B"/>
    <w:rsid w:val="00BE060B"/>
    <w:rsid w:val="00BE0766"/>
    <w:rsid w:val="00BE09D5"/>
    <w:rsid w:val="00BE17C1"/>
    <w:rsid w:val="00BE19DB"/>
    <w:rsid w:val="00BE1A7E"/>
    <w:rsid w:val="00BE3A84"/>
    <w:rsid w:val="00BE3C4E"/>
    <w:rsid w:val="00BE468E"/>
    <w:rsid w:val="00BE4754"/>
    <w:rsid w:val="00BE4AC0"/>
    <w:rsid w:val="00BE502C"/>
    <w:rsid w:val="00BE5D4C"/>
    <w:rsid w:val="00BE626C"/>
    <w:rsid w:val="00BE6923"/>
    <w:rsid w:val="00BE6AC5"/>
    <w:rsid w:val="00BE7452"/>
    <w:rsid w:val="00BF07F5"/>
    <w:rsid w:val="00BF13F9"/>
    <w:rsid w:val="00BF1468"/>
    <w:rsid w:val="00BF1749"/>
    <w:rsid w:val="00BF2EDD"/>
    <w:rsid w:val="00BF33D4"/>
    <w:rsid w:val="00BF36CE"/>
    <w:rsid w:val="00BF3F1F"/>
    <w:rsid w:val="00BF48AB"/>
    <w:rsid w:val="00BF539D"/>
    <w:rsid w:val="00BF68EA"/>
    <w:rsid w:val="00BF69CF"/>
    <w:rsid w:val="00BF71B4"/>
    <w:rsid w:val="00BF7261"/>
    <w:rsid w:val="00C01DD5"/>
    <w:rsid w:val="00C02150"/>
    <w:rsid w:val="00C03E01"/>
    <w:rsid w:val="00C0524A"/>
    <w:rsid w:val="00C05462"/>
    <w:rsid w:val="00C055C5"/>
    <w:rsid w:val="00C05D6D"/>
    <w:rsid w:val="00C05D97"/>
    <w:rsid w:val="00C05DA4"/>
    <w:rsid w:val="00C06699"/>
    <w:rsid w:val="00C07CF3"/>
    <w:rsid w:val="00C10145"/>
    <w:rsid w:val="00C1059D"/>
    <w:rsid w:val="00C109F5"/>
    <w:rsid w:val="00C11342"/>
    <w:rsid w:val="00C11B7D"/>
    <w:rsid w:val="00C11B87"/>
    <w:rsid w:val="00C1209B"/>
    <w:rsid w:val="00C129B1"/>
    <w:rsid w:val="00C12DA9"/>
    <w:rsid w:val="00C12FA6"/>
    <w:rsid w:val="00C13E56"/>
    <w:rsid w:val="00C144AA"/>
    <w:rsid w:val="00C146B6"/>
    <w:rsid w:val="00C14967"/>
    <w:rsid w:val="00C1548E"/>
    <w:rsid w:val="00C163D7"/>
    <w:rsid w:val="00C16699"/>
    <w:rsid w:val="00C167EA"/>
    <w:rsid w:val="00C2025E"/>
    <w:rsid w:val="00C20553"/>
    <w:rsid w:val="00C20CC9"/>
    <w:rsid w:val="00C21DAD"/>
    <w:rsid w:val="00C21EB1"/>
    <w:rsid w:val="00C225F0"/>
    <w:rsid w:val="00C22B53"/>
    <w:rsid w:val="00C23B38"/>
    <w:rsid w:val="00C24A3B"/>
    <w:rsid w:val="00C251FC"/>
    <w:rsid w:val="00C25A07"/>
    <w:rsid w:val="00C264DF"/>
    <w:rsid w:val="00C2697C"/>
    <w:rsid w:val="00C26DE5"/>
    <w:rsid w:val="00C2728E"/>
    <w:rsid w:val="00C27408"/>
    <w:rsid w:val="00C2767D"/>
    <w:rsid w:val="00C279E9"/>
    <w:rsid w:val="00C3006A"/>
    <w:rsid w:val="00C30B15"/>
    <w:rsid w:val="00C30C7D"/>
    <w:rsid w:val="00C311CA"/>
    <w:rsid w:val="00C312EA"/>
    <w:rsid w:val="00C32DAF"/>
    <w:rsid w:val="00C334DA"/>
    <w:rsid w:val="00C34144"/>
    <w:rsid w:val="00C341FE"/>
    <w:rsid w:val="00C3551E"/>
    <w:rsid w:val="00C35743"/>
    <w:rsid w:val="00C361D2"/>
    <w:rsid w:val="00C3683C"/>
    <w:rsid w:val="00C36A12"/>
    <w:rsid w:val="00C36FFD"/>
    <w:rsid w:val="00C3716F"/>
    <w:rsid w:val="00C371D7"/>
    <w:rsid w:val="00C37A47"/>
    <w:rsid w:val="00C4023F"/>
    <w:rsid w:val="00C40E17"/>
    <w:rsid w:val="00C41599"/>
    <w:rsid w:val="00C41F07"/>
    <w:rsid w:val="00C42501"/>
    <w:rsid w:val="00C42E57"/>
    <w:rsid w:val="00C4322C"/>
    <w:rsid w:val="00C43CA7"/>
    <w:rsid w:val="00C43D98"/>
    <w:rsid w:val="00C450BC"/>
    <w:rsid w:val="00C45DFF"/>
    <w:rsid w:val="00C45E2C"/>
    <w:rsid w:val="00C46118"/>
    <w:rsid w:val="00C462C3"/>
    <w:rsid w:val="00C46601"/>
    <w:rsid w:val="00C468FF"/>
    <w:rsid w:val="00C4762D"/>
    <w:rsid w:val="00C476EF"/>
    <w:rsid w:val="00C501CA"/>
    <w:rsid w:val="00C50403"/>
    <w:rsid w:val="00C50536"/>
    <w:rsid w:val="00C50F18"/>
    <w:rsid w:val="00C5153C"/>
    <w:rsid w:val="00C51675"/>
    <w:rsid w:val="00C51929"/>
    <w:rsid w:val="00C51BCD"/>
    <w:rsid w:val="00C5266C"/>
    <w:rsid w:val="00C52C45"/>
    <w:rsid w:val="00C53CDF"/>
    <w:rsid w:val="00C54169"/>
    <w:rsid w:val="00C54879"/>
    <w:rsid w:val="00C55FCC"/>
    <w:rsid w:val="00C5654E"/>
    <w:rsid w:val="00C572BD"/>
    <w:rsid w:val="00C5741A"/>
    <w:rsid w:val="00C57A0A"/>
    <w:rsid w:val="00C60BC5"/>
    <w:rsid w:val="00C611F3"/>
    <w:rsid w:val="00C6154A"/>
    <w:rsid w:val="00C61633"/>
    <w:rsid w:val="00C61CC0"/>
    <w:rsid w:val="00C62DFF"/>
    <w:rsid w:val="00C630E6"/>
    <w:rsid w:val="00C635F0"/>
    <w:rsid w:val="00C638F2"/>
    <w:rsid w:val="00C63918"/>
    <w:rsid w:val="00C63CE3"/>
    <w:rsid w:val="00C6444B"/>
    <w:rsid w:val="00C646C4"/>
    <w:rsid w:val="00C64B85"/>
    <w:rsid w:val="00C64BE8"/>
    <w:rsid w:val="00C65969"/>
    <w:rsid w:val="00C65A0B"/>
    <w:rsid w:val="00C65BC4"/>
    <w:rsid w:val="00C663AA"/>
    <w:rsid w:val="00C67752"/>
    <w:rsid w:val="00C67784"/>
    <w:rsid w:val="00C677D5"/>
    <w:rsid w:val="00C70329"/>
    <w:rsid w:val="00C71A43"/>
    <w:rsid w:val="00C71CD1"/>
    <w:rsid w:val="00C723EE"/>
    <w:rsid w:val="00C7290D"/>
    <w:rsid w:val="00C731F1"/>
    <w:rsid w:val="00C739D9"/>
    <w:rsid w:val="00C73B7D"/>
    <w:rsid w:val="00C73BBC"/>
    <w:rsid w:val="00C74AB7"/>
    <w:rsid w:val="00C75F18"/>
    <w:rsid w:val="00C763B7"/>
    <w:rsid w:val="00C763F4"/>
    <w:rsid w:val="00C767AA"/>
    <w:rsid w:val="00C76A48"/>
    <w:rsid w:val="00C76BC5"/>
    <w:rsid w:val="00C77268"/>
    <w:rsid w:val="00C7737B"/>
    <w:rsid w:val="00C77470"/>
    <w:rsid w:val="00C77D54"/>
    <w:rsid w:val="00C8001B"/>
    <w:rsid w:val="00C80D25"/>
    <w:rsid w:val="00C8142B"/>
    <w:rsid w:val="00C816F4"/>
    <w:rsid w:val="00C81CFF"/>
    <w:rsid w:val="00C82DEF"/>
    <w:rsid w:val="00C82F5E"/>
    <w:rsid w:val="00C83A18"/>
    <w:rsid w:val="00C8436A"/>
    <w:rsid w:val="00C84907"/>
    <w:rsid w:val="00C8523B"/>
    <w:rsid w:val="00C8574A"/>
    <w:rsid w:val="00C8577E"/>
    <w:rsid w:val="00C86105"/>
    <w:rsid w:val="00C86438"/>
    <w:rsid w:val="00C86D68"/>
    <w:rsid w:val="00C878F1"/>
    <w:rsid w:val="00C87E46"/>
    <w:rsid w:val="00C907B6"/>
    <w:rsid w:val="00C90A29"/>
    <w:rsid w:val="00C90D75"/>
    <w:rsid w:val="00C91AD2"/>
    <w:rsid w:val="00C91CDC"/>
    <w:rsid w:val="00C925CE"/>
    <w:rsid w:val="00C934FC"/>
    <w:rsid w:val="00C939EB"/>
    <w:rsid w:val="00C93C19"/>
    <w:rsid w:val="00C9440A"/>
    <w:rsid w:val="00C9733C"/>
    <w:rsid w:val="00C97B08"/>
    <w:rsid w:val="00C97B4E"/>
    <w:rsid w:val="00C97EE8"/>
    <w:rsid w:val="00CA010C"/>
    <w:rsid w:val="00CA0643"/>
    <w:rsid w:val="00CA0723"/>
    <w:rsid w:val="00CA1DE2"/>
    <w:rsid w:val="00CA1F34"/>
    <w:rsid w:val="00CA1FBB"/>
    <w:rsid w:val="00CA298F"/>
    <w:rsid w:val="00CA31BD"/>
    <w:rsid w:val="00CA337A"/>
    <w:rsid w:val="00CA384C"/>
    <w:rsid w:val="00CA3E39"/>
    <w:rsid w:val="00CA4985"/>
    <w:rsid w:val="00CA64DF"/>
    <w:rsid w:val="00CA65D6"/>
    <w:rsid w:val="00CA6E4A"/>
    <w:rsid w:val="00CA7A81"/>
    <w:rsid w:val="00CB018F"/>
    <w:rsid w:val="00CB056A"/>
    <w:rsid w:val="00CB09AF"/>
    <w:rsid w:val="00CB2272"/>
    <w:rsid w:val="00CB269E"/>
    <w:rsid w:val="00CB32C4"/>
    <w:rsid w:val="00CB359E"/>
    <w:rsid w:val="00CB3D24"/>
    <w:rsid w:val="00CB4B21"/>
    <w:rsid w:val="00CB574F"/>
    <w:rsid w:val="00CB6B10"/>
    <w:rsid w:val="00CB7450"/>
    <w:rsid w:val="00CC0716"/>
    <w:rsid w:val="00CC0A81"/>
    <w:rsid w:val="00CC0C18"/>
    <w:rsid w:val="00CC0CE9"/>
    <w:rsid w:val="00CC12CF"/>
    <w:rsid w:val="00CC1634"/>
    <w:rsid w:val="00CC2342"/>
    <w:rsid w:val="00CC2842"/>
    <w:rsid w:val="00CC3523"/>
    <w:rsid w:val="00CC4333"/>
    <w:rsid w:val="00CC4839"/>
    <w:rsid w:val="00CC4FCA"/>
    <w:rsid w:val="00CC51D2"/>
    <w:rsid w:val="00CC6D7E"/>
    <w:rsid w:val="00CC75A0"/>
    <w:rsid w:val="00CC7AF7"/>
    <w:rsid w:val="00CD05EE"/>
    <w:rsid w:val="00CD0D25"/>
    <w:rsid w:val="00CD0F15"/>
    <w:rsid w:val="00CD15BD"/>
    <w:rsid w:val="00CD2337"/>
    <w:rsid w:val="00CD30B2"/>
    <w:rsid w:val="00CD30C2"/>
    <w:rsid w:val="00CD3567"/>
    <w:rsid w:val="00CD38F2"/>
    <w:rsid w:val="00CD3B41"/>
    <w:rsid w:val="00CD433B"/>
    <w:rsid w:val="00CD450E"/>
    <w:rsid w:val="00CD4772"/>
    <w:rsid w:val="00CD4828"/>
    <w:rsid w:val="00CD4A70"/>
    <w:rsid w:val="00CD5029"/>
    <w:rsid w:val="00CD55AA"/>
    <w:rsid w:val="00CD574B"/>
    <w:rsid w:val="00CD5EE5"/>
    <w:rsid w:val="00CD602E"/>
    <w:rsid w:val="00CD645D"/>
    <w:rsid w:val="00CD67D3"/>
    <w:rsid w:val="00CE07B7"/>
    <w:rsid w:val="00CE1090"/>
    <w:rsid w:val="00CE15D5"/>
    <w:rsid w:val="00CE1B3B"/>
    <w:rsid w:val="00CE32CD"/>
    <w:rsid w:val="00CE4520"/>
    <w:rsid w:val="00CE5250"/>
    <w:rsid w:val="00CE5E46"/>
    <w:rsid w:val="00CE6575"/>
    <w:rsid w:val="00CE6A3B"/>
    <w:rsid w:val="00CE74C6"/>
    <w:rsid w:val="00CE7543"/>
    <w:rsid w:val="00CF0A10"/>
    <w:rsid w:val="00CF0B6B"/>
    <w:rsid w:val="00CF0F62"/>
    <w:rsid w:val="00CF2B98"/>
    <w:rsid w:val="00CF2CEF"/>
    <w:rsid w:val="00CF45E3"/>
    <w:rsid w:val="00CF468B"/>
    <w:rsid w:val="00CF54FF"/>
    <w:rsid w:val="00CF55D0"/>
    <w:rsid w:val="00CF7327"/>
    <w:rsid w:val="00CF7600"/>
    <w:rsid w:val="00CF794B"/>
    <w:rsid w:val="00CF7B36"/>
    <w:rsid w:val="00CF7B8D"/>
    <w:rsid w:val="00CF7CDD"/>
    <w:rsid w:val="00D003A3"/>
    <w:rsid w:val="00D010BC"/>
    <w:rsid w:val="00D0127D"/>
    <w:rsid w:val="00D01A84"/>
    <w:rsid w:val="00D01BB5"/>
    <w:rsid w:val="00D020FC"/>
    <w:rsid w:val="00D02467"/>
    <w:rsid w:val="00D02C35"/>
    <w:rsid w:val="00D02D38"/>
    <w:rsid w:val="00D031F7"/>
    <w:rsid w:val="00D03AF2"/>
    <w:rsid w:val="00D03B8F"/>
    <w:rsid w:val="00D03BA5"/>
    <w:rsid w:val="00D04297"/>
    <w:rsid w:val="00D044BA"/>
    <w:rsid w:val="00D044CB"/>
    <w:rsid w:val="00D04863"/>
    <w:rsid w:val="00D049A7"/>
    <w:rsid w:val="00D04AF8"/>
    <w:rsid w:val="00D0530E"/>
    <w:rsid w:val="00D053AF"/>
    <w:rsid w:val="00D0588C"/>
    <w:rsid w:val="00D06CBB"/>
    <w:rsid w:val="00D072B7"/>
    <w:rsid w:val="00D10A7A"/>
    <w:rsid w:val="00D111D4"/>
    <w:rsid w:val="00D11AB2"/>
    <w:rsid w:val="00D129D1"/>
    <w:rsid w:val="00D13451"/>
    <w:rsid w:val="00D1367E"/>
    <w:rsid w:val="00D14C11"/>
    <w:rsid w:val="00D15622"/>
    <w:rsid w:val="00D15FDA"/>
    <w:rsid w:val="00D1612B"/>
    <w:rsid w:val="00D166A3"/>
    <w:rsid w:val="00D169E5"/>
    <w:rsid w:val="00D175BF"/>
    <w:rsid w:val="00D17C22"/>
    <w:rsid w:val="00D20557"/>
    <w:rsid w:val="00D20F0E"/>
    <w:rsid w:val="00D21200"/>
    <w:rsid w:val="00D21483"/>
    <w:rsid w:val="00D21DFC"/>
    <w:rsid w:val="00D22F6F"/>
    <w:rsid w:val="00D2352B"/>
    <w:rsid w:val="00D238A4"/>
    <w:rsid w:val="00D24D14"/>
    <w:rsid w:val="00D24E69"/>
    <w:rsid w:val="00D259CA"/>
    <w:rsid w:val="00D25D2E"/>
    <w:rsid w:val="00D25DC5"/>
    <w:rsid w:val="00D26558"/>
    <w:rsid w:val="00D269AF"/>
    <w:rsid w:val="00D26DB1"/>
    <w:rsid w:val="00D27B5D"/>
    <w:rsid w:val="00D27BC1"/>
    <w:rsid w:val="00D30975"/>
    <w:rsid w:val="00D30E20"/>
    <w:rsid w:val="00D3173D"/>
    <w:rsid w:val="00D31902"/>
    <w:rsid w:val="00D329F1"/>
    <w:rsid w:val="00D32A24"/>
    <w:rsid w:val="00D32D0B"/>
    <w:rsid w:val="00D33889"/>
    <w:rsid w:val="00D339C4"/>
    <w:rsid w:val="00D33B2F"/>
    <w:rsid w:val="00D357A1"/>
    <w:rsid w:val="00D36060"/>
    <w:rsid w:val="00D362DC"/>
    <w:rsid w:val="00D36C25"/>
    <w:rsid w:val="00D37056"/>
    <w:rsid w:val="00D37294"/>
    <w:rsid w:val="00D37948"/>
    <w:rsid w:val="00D37FF9"/>
    <w:rsid w:val="00D40479"/>
    <w:rsid w:val="00D40948"/>
    <w:rsid w:val="00D411D9"/>
    <w:rsid w:val="00D41577"/>
    <w:rsid w:val="00D415F6"/>
    <w:rsid w:val="00D42019"/>
    <w:rsid w:val="00D42500"/>
    <w:rsid w:val="00D42B1F"/>
    <w:rsid w:val="00D43AD0"/>
    <w:rsid w:val="00D43D34"/>
    <w:rsid w:val="00D43D41"/>
    <w:rsid w:val="00D4403F"/>
    <w:rsid w:val="00D44577"/>
    <w:rsid w:val="00D44A22"/>
    <w:rsid w:val="00D44E0D"/>
    <w:rsid w:val="00D45122"/>
    <w:rsid w:val="00D466FA"/>
    <w:rsid w:val="00D46CAD"/>
    <w:rsid w:val="00D47543"/>
    <w:rsid w:val="00D47B9F"/>
    <w:rsid w:val="00D50636"/>
    <w:rsid w:val="00D51AEA"/>
    <w:rsid w:val="00D51F8F"/>
    <w:rsid w:val="00D5247D"/>
    <w:rsid w:val="00D529B7"/>
    <w:rsid w:val="00D52FE5"/>
    <w:rsid w:val="00D53741"/>
    <w:rsid w:val="00D53A34"/>
    <w:rsid w:val="00D53DD8"/>
    <w:rsid w:val="00D5441C"/>
    <w:rsid w:val="00D5502F"/>
    <w:rsid w:val="00D553AF"/>
    <w:rsid w:val="00D557F1"/>
    <w:rsid w:val="00D558F7"/>
    <w:rsid w:val="00D55DAA"/>
    <w:rsid w:val="00D56650"/>
    <w:rsid w:val="00D56737"/>
    <w:rsid w:val="00D56A64"/>
    <w:rsid w:val="00D56D02"/>
    <w:rsid w:val="00D57D3E"/>
    <w:rsid w:val="00D60336"/>
    <w:rsid w:val="00D61BAB"/>
    <w:rsid w:val="00D61BBC"/>
    <w:rsid w:val="00D629D6"/>
    <w:rsid w:val="00D631D9"/>
    <w:rsid w:val="00D6378F"/>
    <w:rsid w:val="00D64D08"/>
    <w:rsid w:val="00D64D0B"/>
    <w:rsid w:val="00D64E7D"/>
    <w:rsid w:val="00D64EB7"/>
    <w:rsid w:val="00D65D8E"/>
    <w:rsid w:val="00D66373"/>
    <w:rsid w:val="00D66FC0"/>
    <w:rsid w:val="00D67A9B"/>
    <w:rsid w:val="00D70091"/>
    <w:rsid w:val="00D70432"/>
    <w:rsid w:val="00D71983"/>
    <w:rsid w:val="00D71B98"/>
    <w:rsid w:val="00D72036"/>
    <w:rsid w:val="00D7206C"/>
    <w:rsid w:val="00D720DA"/>
    <w:rsid w:val="00D7263E"/>
    <w:rsid w:val="00D727F6"/>
    <w:rsid w:val="00D7390F"/>
    <w:rsid w:val="00D745B5"/>
    <w:rsid w:val="00D7533F"/>
    <w:rsid w:val="00D754EE"/>
    <w:rsid w:val="00D7564A"/>
    <w:rsid w:val="00D76313"/>
    <w:rsid w:val="00D76492"/>
    <w:rsid w:val="00D764BB"/>
    <w:rsid w:val="00D76D02"/>
    <w:rsid w:val="00D805D2"/>
    <w:rsid w:val="00D816B4"/>
    <w:rsid w:val="00D819EF"/>
    <w:rsid w:val="00D81B8B"/>
    <w:rsid w:val="00D82AA2"/>
    <w:rsid w:val="00D831D9"/>
    <w:rsid w:val="00D83722"/>
    <w:rsid w:val="00D838E2"/>
    <w:rsid w:val="00D85824"/>
    <w:rsid w:val="00D8688B"/>
    <w:rsid w:val="00D8729C"/>
    <w:rsid w:val="00D8753D"/>
    <w:rsid w:val="00D90C77"/>
    <w:rsid w:val="00D90E05"/>
    <w:rsid w:val="00D91C83"/>
    <w:rsid w:val="00D91F4C"/>
    <w:rsid w:val="00D922BB"/>
    <w:rsid w:val="00D9262E"/>
    <w:rsid w:val="00D927D1"/>
    <w:rsid w:val="00D933C3"/>
    <w:rsid w:val="00D93921"/>
    <w:rsid w:val="00D95241"/>
    <w:rsid w:val="00D956E3"/>
    <w:rsid w:val="00D960E6"/>
    <w:rsid w:val="00D96E8D"/>
    <w:rsid w:val="00D97C20"/>
    <w:rsid w:val="00DA042B"/>
    <w:rsid w:val="00DA0A1C"/>
    <w:rsid w:val="00DA0B21"/>
    <w:rsid w:val="00DA1227"/>
    <w:rsid w:val="00DA15D9"/>
    <w:rsid w:val="00DA1799"/>
    <w:rsid w:val="00DA1B87"/>
    <w:rsid w:val="00DA2178"/>
    <w:rsid w:val="00DA29C5"/>
    <w:rsid w:val="00DA3ED7"/>
    <w:rsid w:val="00DA3EFF"/>
    <w:rsid w:val="00DA4255"/>
    <w:rsid w:val="00DA47C1"/>
    <w:rsid w:val="00DA50C6"/>
    <w:rsid w:val="00DA53B9"/>
    <w:rsid w:val="00DA5AC3"/>
    <w:rsid w:val="00DA646F"/>
    <w:rsid w:val="00DA76B8"/>
    <w:rsid w:val="00DA7738"/>
    <w:rsid w:val="00DA7957"/>
    <w:rsid w:val="00DA7BCA"/>
    <w:rsid w:val="00DB0288"/>
    <w:rsid w:val="00DB02E2"/>
    <w:rsid w:val="00DB1431"/>
    <w:rsid w:val="00DB1F01"/>
    <w:rsid w:val="00DB21CA"/>
    <w:rsid w:val="00DB23A1"/>
    <w:rsid w:val="00DB27A6"/>
    <w:rsid w:val="00DB2A7D"/>
    <w:rsid w:val="00DB2B3E"/>
    <w:rsid w:val="00DB3757"/>
    <w:rsid w:val="00DB38D7"/>
    <w:rsid w:val="00DB3E95"/>
    <w:rsid w:val="00DB4102"/>
    <w:rsid w:val="00DB434D"/>
    <w:rsid w:val="00DB4E5B"/>
    <w:rsid w:val="00DB5079"/>
    <w:rsid w:val="00DB51FC"/>
    <w:rsid w:val="00DB52F2"/>
    <w:rsid w:val="00DB5481"/>
    <w:rsid w:val="00DB5B7E"/>
    <w:rsid w:val="00DB652C"/>
    <w:rsid w:val="00DB6541"/>
    <w:rsid w:val="00DB6834"/>
    <w:rsid w:val="00DB6B42"/>
    <w:rsid w:val="00DC0440"/>
    <w:rsid w:val="00DC0EEE"/>
    <w:rsid w:val="00DC1560"/>
    <w:rsid w:val="00DC1A5E"/>
    <w:rsid w:val="00DC1F46"/>
    <w:rsid w:val="00DC230E"/>
    <w:rsid w:val="00DC26BD"/>
    <w:rsid w:val="00DC2918"/>
    <w:rsid w:val="00DC37B2"/>
    <w:rsid w:val="00DC442A"/>
    <w:rsid w:val="00DC44CC"/>
    <w:rsid w:val="00DC4690"/>
    <w:rsid w:val="00DC4E99"/>
    <w:rsid w:val="00DC55F1"/>
    <w:rsid w:val="00DC58CC"/>
    <w:rsid w:val="00DC5C97"/>
    <w:rsid w:val="00DC5CCE"/>
    <w:rsid w:val="00DC7601"/>
    <w:rsid w:val="00DC7BDE"/>
    <w:rsid w:val="00DD16BB"/>
    <w:rsid w:val="00DD1A84"/>
    <w:rsid w:val="00DD24B9"/>
    <w:rsid w:val="00DD2517"/>
    <w:rsid w:val="00DD299A"/>
    <w:rsid w:val="00DD2D00"/>
    <w:rsid w:val="00DD2F79"/>
    <w:rsid w:val="00DD4349"/>
    <w:rsid w:val="00DD44F0"/>
    <w:rsid w:val="00DD4F3A"/>
    <w:rsid w:val="00DD5066"/>
    <w:rsid w:val="00DD555C"/>
    <w:rsid w:val="00DD617F"/>
    <w:rsid w:val="00DD61C9"/>
    <w:rsid w:val="00DD63C5"/>
    <w:rsid w:val="00DD6760"/>
    <w:rsid w:val="00DD7DEA"/>
    <w:rsid w:val="00DD7F55"/>
    <w:rsid w:val="00DE0CB0"/>
    <w:rsid w:val="00DE160F"/>
    <w:rsid w:val="00DE24D3"/>
    <w:rsid w:val="00DE282E"/>
    <w:rsid w:val="00DE2BB8"/>
    <w:rsid w:val="00DE2E25"/>
    <w:rsid w:val="00DE31B4"/>
    <w:rsid w:val="00DE35CC"/>
    <w:rsid w:val="00DE3C28"/>
    <w:rsid w:val="00DE417B"/>
    <w:rsid w:val="00DE428B"/>
    <w:rsid w:val="00DE4353"/>
    <w:rsid w:val="00DE649A"/>
    <w:rsid w:val="00DE6D11"/>
    <w:rsid w:val="00DE6F58"/>
    <w:rsid w:val="00DE71A2"/>
    <w:rsid w:val="00DE769C"/>
    <w:rsid w:val="00DE7B5B"/>
    <w:rsid w:val="00DE7B8C"/>
    <w:rsid w:val="00DF01B1"/>
    <w:rsid w:val="00DF0522"/>
    <w:rsid w:val="00DF086D"/>
    <w:rsid w:val="00DF1CD4"/>
    <w:rsid w:val="00DF2C14"/>
    <w:rsid w:val="00DF40A4"/>
    <w:rsid w:val="00DF4913"/>
    <w:rsid w:val="00DF511D"/>
    <w:rsid w:val="00DF5187"/>
    <w:rsid w:val="00DF56BE"/>
    <w:rsid w:val="00DF65A8"/>
    <w:rsid w:val="00DF65CF"/>
    <w:rsid w:val="00DF6A03"/>
    <w:rsid w:val="00DF6D81"/>
    <w:rsid w:val="00DF70D5"/>
    <w:rsid w:val="00DF752E"/>
    <w:rsid w:val="00DF7904"/>
    <w:rsid w:val="00DF7FD7"/>
    <w:rsid w:val="00E004FB"/>
    <w:rsid w:val="00E00CDD"/>
    <w:rsid w:val="00E00FA4"/>
    <w:rsid w:val="00E0227C"/>
    <w:rsid w:val="00E02B4D"/>
    <w:rsid w:val="00E02E5F"/>
    <w:rsid w:val="00E0326C"/>
    <w:rsid w:val="00E03F6F"/>
    <w:rsid w:val="00E04C1A"/>
    <w:rsid w:val="00E056A6"/>
    <w:rsid w:val="00E057E5"/>
    <w:rsid w:val="00E05D29"/>
    <w:rsid w:val="00E07A04"/>
    <w:rsid w:val="00E07D4A"/>
    <w:rsid w:val="00E07ED6"/>
    <w:rsid w:val="00E07F1C"/>
    <w:rsid w:val="00E1018E"/>
    <w:rsid w:val="00E101E5"/>
    <w:rsid w:val="00E101E8"/>
    <w:rsid w:val="00E1034C"/>
    <w:rsid w:val="00E10726"/>
    <w:rsid w:val="00E10AC8"/>
    <w:rsid w:val="00E10F80"/>
    <w:rsid w:val="00E12710"/>
    <w:rsid w:val="00E1389E"/>
    <w:rsid w:val="00E139C5"/>
    <w:rsid w:val="00E13CC5"/>
    <w:rsid w:val="00E14293"/>
    <w:rsid w:val="00E15219"/>
    <w:rsid w:val="00E15516"/>
    <w:rsid w:val="00E155C8"/>
    <w:rsid w:val="00E167C3"/>
    <w:rsid w:val="00E177B5"/>
    <w:rsid w:val="00E177B6"/>
    <w:rsid w:val="00E179CA"/>
    <w:rsid w:val="00E203B9"/>
    <w:rsid w:val="00E20756"/>
    <w:rsid w:val="00E2132F"/>
    <w:rsid w:val="00E21BCE"/>
    <w:rsid w:val="00E22369"/>
    <w:rsid w:val="00E23B0D"/>
    <w:rsid w:val="00E23C74"/>
    <w:rsid w:val="00E23CE5"/>
    <w:rsid w:val="00E2414F"/>
    <w:rsid w:val="00E251A3"/>
    <w:rsid w:val="00E251AB"/>
    <w:rsid w:val="00E25587"/>
    <w:rsid w:val="00E2559E"/>
    <w:rsid w:val="00E2651D"/>
    <w:rsid w:val="00E26805"/>
    <w:rsid w:val="00E268AB"/>
    <w:rsid w:val="00E27336"/>
    <w:rsid w:val="00E2764A"/>
    <w:rsid w:val="00E2765A"/>
    <w:rsid w:val="00E3039E"/>
    <w:rsid w:val="00E306D4"/>
    <w:rsid w:val="00E3103F"/>
    <w:rsid w:val="00E31A15"/>
    <w:rsid w:val="00E31A57"/>
    <w:rsid w:val="00E3219F"/>
    <w:rsid w:val="00E32721"/>
    <w:rsid w:val="00E3298B"/>
    <w:rsid w:val="00E32EF8"/>
    <w:rsid w:val="00E33467"/>
    <w:rsid w:val="00E33CC3"/>
    <w:rsid w:val="00E33D02"/>
    <w:rsid w:val="00E341A4"/>
    <w:rsid w:val="00E343FC"/>
    <w:rsid w:val="00E34EDB"/>
    <w:rsid w:val="00E37C74"/>
    <w:rsid w:val="00E37E24"/>
    <w:rsid w:val="00E41431"/>
    <w:rsid w:val="00E41B87"/>
    <w:rsid w:val="00E420C3"/>
    <w:rsid w:val="00E4239B"/>
    <w:rsid w:val="00E42764"/>
    <w:rsid w:val="00E427CD"/>
    <w:rsid w:val="00E4284E"/>
    <w:rsid w:val="00E42913"/>
    <w:rsid w:val="00E42B09"/>
    <w:rsid w:val="00E43939"/>
    <w:rsid w:val="00E43ED6"/>
    <w:rsid w:val="00E43F33"/>
    <w:rsid w:val="00E44124"/>
    <w:rsid w:val="00E44768"/>
    <w:rsid w:val="00E4544D"/>
    <w:rsid w:val="00E45593"/>
    <w:rsid w:val="00E45B25"/>
    <w:rsid w:val="00E46635"/>
    <w:rsid w:val="00E468D4"/>
    <w:rsid w:val="00E47178"/>
    <w:rsid w:val="00E472AE"/>
    <w:rsid w:val="00E47F34"/>
    <w:rsid w:val="00E5043A"/>
    <w:rsid w:val="00E50D5B"/>
    <w:rsid w:val="00E50F8E"/>
    <w:rsid w:val="00E510B5"/>
    <w:rsid w:val="00E515EA"/>
    <w:rsid w:val="00E518C1"/>
    <w:rsid w:val="00E521BC"/>
    <w:rsid w:val="00E52865"/>
    <w:rsid w:val="00E534E3"/>
    <w:rsid w:val="00E54000"/>
    <w:rsid w:val="00E54965"/>
    <w:rsid w:val="00E54B3D"/>
    <w:rsid w:val="00E54BB1"/>
    <w:rsid w:val="00E54D02"/>
    <w:rsid w:val="00E55807"/>
    <w:rsid w:val="00E55F7A"/>
    <w:rsid w:val="00E56667"/>
    <w:rsid w:val="00E56BBB"/>
    <w:rsid w:val="00E572B8"/>
    <w:rsid w:val="00E57843"/>
    <w:rsid w:val="00E57885"/>
    <w:rsid w:val="00E57E93"/>
    <w:rsid w:val="00E6535A"/>
    <w:rsid w:val="00E659D3"/>
    <w:rsid w:val="00E6720B"/>
    <w:rsid w:val="00E67960"/>
    <w:rsid w:val="00E67B60"/>
    <w:rsid w:val="00E705A9"/>
    <w:rsid w:val="00E706D8"/>
    <w:rsid w:val="00E70986"/>
    <w:rsid w:val="00E70CEC"/>
    <w:rsid w:val="00E70DB1"/>
    <w:rsid w:val="00E727AB"/>
    <w:rsid w:val="00E72CAE"/>
    <w:rsid w:val="00E7503A"/>
    <w:rsid w:val="00E75737"/>
    <w:rsid w:val="00E759F0"/>
    <w:rsid w:val="00E762CC"/>
    <w:rsid w:val="00E76E37"/>
    <w:rsid w:val="00E77107"/>
    <w:rsid w:val="00E778D0"/>
    <w:rsid w:val="00E77F83"/>
    <w:rsid w:val="00E800DF"/>
    <w:rsid w:val="00E808D0"/>
    <w:rsid w:val="00E80952"/>
    <w:rsid w:val="00E80C09"/>
    <w:rsid w:val="00E818AB"/>
    <w:rsid w:val="00E8198D"/>
    <w:rsid w:val="00E81E01"/>
    <w:rsid w:val="00E82506"/>
    <w:rsid w:val="00E83C88"/>
    <w:rsid w:val="00E8465D"/>
    <w:rsid w:val="00E84D68"/>
    <w:rsid w:val="00E84D88"/>
    <w:rsid w:val="00E861BD"/>
    <w:rsid w:val="00E8660B"/>
    <w:rsid w:val="00E868C9"/>
    <w:rsid w:val="00E86A95"/>
    <w:rsid w:val="00E86B0E"/>
    <w:rsid w:val="00E86D04"/>
    <w:rsid w:val="00E877D4"/>
    <w:rsid w:val="00E879AB"/>
    <w:rsid w:val="00E87E6D"/>
    <w:rsid w:val="00E9002C"/>
    <w:rsid w:val="00E903A5"/>
    <w:rsid w:val="00E90672"/>
    <w:rsid w:val="00E906FB"/>
    <w:rsid w:val="00E917AE"/>
    <w:rsid w:val="00E9230E"/>
    <w:rsid w:val="00E9232C"/>
    <w:rsid w:val="00E92F8E"/>
    <w:rsid w:val="00E934EF"/>
    <w:rsid w:val="00E93834"/>
    <w:rsid w:val="00E93967"/>
    <w:rsid w:val="00E943AC"/>
    <w:rsid w:val="00E95BD8"/>
    <w:rsid w:val="00E964C9"/>
    <w:rsid w:val="00E97171"/>
    <w:rsid w:val="00E97743"/>
    <w:rsid w:val="00E97954"/>
    <w:rsid w:val="00EA044F"/>
    <w:rsid w:val="00EA0CC4"/>
    <w:rsid w:val="00EA24C3"/>
    <w:rsid w:val="00EA2F14"/>
    <w:rsid w:val="00EA3239"/>
    <w:rsid w:val="00EA3475"/>
    <w:rsid w:val="00EA4C3A"/>
    <w:rsid w:val="00EA4C53"/>
    <w:rsid w:val="00EA4E72"/>
    <w:rsid w:val="00EA500A"/>
    <w:rsid w:val="00EA500B"/>
    <w:rsid w:val="00EA52CB"/>
    <w:rsid w:val="00EA558A"/>
    <w:rsid w:val="00EA5C59"/>
    <w:rsid w:val="00EA653B"/>
    <w:rsid w:val="00EA6766"/>
    <w:rsid w:val="00EA6C3C"/>
    <w:rsid w:val="00EA7540"/>
    <w:rsid w:val="00EA7F55"/>
    <w:rsid w:val="00EB03AA"/>
    <w:rsid w:val="00EB14B7"/>
    <w:rsid w:val="00EB1840"/>
    <w:rsid w:val="00EB18AC"/>
    <w:rsid w:val="00EB19F8"/>
    <w:rsid w:val="00EB2F4F"/>
    <w:rsid w:val="00EB3603"/>
    <w:rsid w:val="00EB39B6"/>
    <w:rsid w:val="00EB4474"/>
    <w:rsid w:val="00EB4ADC"/>
    <w:rsid w:val="00EB4FBF"/>
    <w:rsid w:val="00EB55CC"/>
    <w:rsid w:val="00EB63F5"/>
    <w:rsid w:val="00EB6947"/>
    <w:rsid w:val="00EB6D57"/>
    <w:rsid w:val="00EC11BD"/>
    <w:rsid w:val="00EC1840"/>
    <w:rsid w:val="00EC1AC6"/>
    <w:rsid w:val="00EC1E89"/>
    <w:rsid w:val="00EC21D4"/>
    <w:rsid w:val="00EC2864"/>
    <w:rsid w:val="00EC31B3"/>
    <w:rsid w:val="00EC34FA"/>
    <w:rsid w:val="00EC45F3"/>
    <w:rsid w:val="00EC676F"/>
    <w:rsid w:val="00EC67E6"/>
    <w:rsid w:val="00ED01D7"/>
    <w:rsid w:val="00ED0A37"/>
    <w:rsid w:val="00ED1251"/>
    <w:rsid w:val="00ED12D1"/>
    <w:rsid w:val="00ED1530"/>
    <w:rsid w:val="00ED1865"/>
    <w:rsid w:val="00ED298A"/>
    <w:rsid w:val="00ED2B1F"/>
    <w:rsid w:val="00ED3439"/>
    <w:rsid w:val="00ED35E3"/>
    <w:rsid w:val="00ED3879"/>
    <w:rsid w:val="00ED39E6"/>
    <w:rsid w:val="00ED3AB4"/>
    <w:rsid w:val="00ED3DB9"/>
    <w:rsid w:val="00ED5228"/>
    <w:rsid w:val="00ED6412"/>
    <w:rsid w:val="00ED6518"/>
    <w:rsid w:val="00ED75AC"/>
    <w:rsid w:val="00ED79EF"/>
    <w:rsid w:val="00EE06D6"/>
    <w:rsid w:val="00EE0770"/>
    <w:rsid w:val="00EE07AB"/>
    <w:rsid w:val="00EE0E77"/>
    <w:rsid w:val="00EE1745"/>
    <w:rsid w:val="00EE1A78"/>
    <w:rsid w:val="00EE1BCA"/>
    <w:rsid w:val="00EE237B"/>
    <w:rsid w:val="00EE29CA"/>
    <w:rsid w:val="00EE3051"/>
    <w:rsid w:val="00EE42C5"/>
    <w:rsid w:val="00EE43E8"/>
    <w:rsid w:val="00EE489C"/>
    <w:rsid w:val="00EE4A07"/>
    <w:rsid w:val="00EE4BD1"/>
    <w:rsid w:val="00EE5838"/>
    <w:rsid w:val="00EE6B14"/>
    <w:rsid w:val="00EE7168"/>
    <w:rsid w:val="00EE7442"/>
    <w:rsid w:val="00EE796A"/>
    <w:rsid w:val="00EE7E50"/>
    <w:rsid w:val="00EE7E77"/>
    <w:rsid w:val="00EF06FB"/>
    <w:rsid w:val="00EF0DC0"/>
    <w:rsid w:val="00EF18D3"/>
    <w:rsid w:val="00EF211E"/>
    <w:rsid w:val="00EF2A0B"/>
    <w:rsid w:val="00EF3EB5"/>
    <w:rsid w:val="00EF4492"/>
    <w:rsid w:val="00EF4E95"/>
    <w:rsid w:val="00EF5873"/>
    <w:rsid w:val="00EF5AFB"/>
    <w:rsid w:val="00EF5FAA"/>
    <w:rsid w:val="00EF64DC"/>
    <w:rsid w:val="00EF6751"/>
    <w:rsid w:val="00EF68AB"/>
    <w:rsid w:val="00EF7721"/>
    <w:rsid w:val="00EF7A31"/>
    <w:rsid w:val="00F001D0"/>
    <w:rsid w:val="00F00496"/>
    <w:rsid w:val="00F005CD"/>
    <w:rsid w:val="00F010E2"/>
    <w:rsid w:val="00F0201F"/>
    <w:rsid w:val="00F020E2"/>
    <w:rsid w:val="00F02104"/>
    <w:rsid w:val="00F02D48"/>
    <w:rsid w:val="00F03935"/>
    <w:rsid w:val="00F04C7B"/>
    <w:rsid w:val="00F054FC"/>
    <w:rsid w:val="00F05916"/>
    <w:rsid w:val="00F05C38"/>
    <w:rsid w:val="00F0631D"/>
    <w:rsid w:val="00F06661"/>
    <w:rsid w:val="00F06701"/>
    <w:rsid w:val="00F06B32"/>
    <w:rsid w:val="00F07E3C"/>
    <w:rsid w:val="00F101F2"/>
    <w:rsid w:val="00F1062A"/>
    <w:rsid w:val="00F11034"/>
    <w:rsid w:val="00F11293"/>
    <w:rsid w:val="00F11799"/>
    <w:rsid w:val="00F11F0D"/>
    <w:rsid w:val="00F12B95"/>
    <w:rsid w:val="00F141AF"/>
    <w:rsid w:val="00F14622"/>
    <w:rsid w:val="00F14E76"/>
    <w:rsid w:val="00F15769"/>
    <w:rsid w:val="00F15852"/>
    <w:rsid w:val="00F17592"/>
    <w:rsid w:val="00F176F0"/>
    <w:rsid w:val="00F177ED"/>
    <w:rsid w:val="00F17959"/>
    <w:rsid w:val="00F20246"/>
    <w:rsid w:val="00F21842"/>
    <w:rsid w:val="00F21B66"/>
    <w:rsid w:val="00F21BF1"/>
    <w:rsid w:val="00F21C04"/>
    <w:rsid w:val="00F21FFC"/>
    <w:rsid w:val="00F23723"/>
    <w:rsid w:val="00F23A1C"/>
    <w:rsid w:val="00F24334"/>
    <w:rsid w:val="00F244CB"/>
    <w:rsid w:val="00F246A9"/>
    <w:rsid w:val="00F25114"/>
    <w:rsid w:val="00F2516B"/>
    <w:rsid w:val="00F25A11"/>
    <w:rsid w:val="00F2615E"/>
    <w:rsid w:val="00F266AC"/>
    <w:rsid w:val="00F26730"/>
    <w:rsid w:val="00F27DE8"/>
    <w:rsid w:val="00F3158F"/>
    <w:rsid w:val="00F322ED"/>
    <w:rsid w:val="00F33949"/>
    <w:rsid w:val="00F33E01"/>
    <w:rsid w:val="00F35B90"/>
    <w:rsid w:val="00F35E7C"/>
    <w:rsid w:val="00F360CA"/>
    <w:rsid w:val="00F360CF"/>
    <w:rsid w:val="00F36173"/>
    <w:rsid w:val="00F362A1"/>
    <w:rsid w:val="00F36851"/>
    <w:rsid w:val="00F37565"/>
    <w:rsid w:val="00F37A80"/>
    <w:rsid w:val="00F37E2F"/>
    <w:rsid w:val="00F37FA2"/>
    <w:rsid w:val="00F40630"/>
    <w:rsid w:val="00F40A93"/>
    <w:rsid w:val="00F4101C"/>
    <w:rsid w:val="00F4115A"/>
    <w:rsid w:val="00F417D5"/>
    <w:rsid w:val="00F42FA5"/>
    <w:rsid w:val="00F43123"/>
    <w:rsid w:val="00F437D2"/>
    <w:rsid w:val="00F43B27"/>
    <w:rsid w:val="00F43D50"/>
    <w:rsid w:val="00F4452B"/>
    <w:rsid w:val="00F44C0A"/>
    <w:rsid w:val="00F45373"/>
    <w:rsid w:val="00F45DD5"/>
    <w:rsid w:val="00F4635D"/>
    <w:rsid w:val="00F4704A"/>
    <w:rsid w:val="00F470BE"/>
    <w:rsid w:val="00F47438"/>
    <w:rsid w:val="00F47764"/>
    <w:rsid w:val="00F509C6"/>
    <w:rsid w:val="00F51238"/>
    <w:rsid w:val="00F51A85"/>
    <w:rsid w:val="00F51E3C"/>
    <w:rsid w:val="00F525CB"/>
    <w:rsid w:val="00F526EF"/>
    <w:rsid w:val="00F52710"/>
    <w:rsid w:val="00F5309D"/>
    <w:rsid w:val="00F5313A"/>
    <w:rsid w:val="00F5370D"/>
    <w:rsid w:val="00F53915"/>
    <w:rsid w:val="00F53956"/>
    <w:rsid w:val="00F5407A"/>
    <w:rsid w:val="00F54A58"/>
    <w:rsid w:val="00F55268"/>
    <w:rsid w:val="00F554B1"/>
    <w:rsid w:val="00F56525"/>
    <w:rsid w:val="00F579B6"/>
    <w:rsid w:val="00F57B33"/>
    <w:rsid w:val="00F57CDC"/>
    <w:rsid w:val="00F605AC"/>
    <w:rsid w:val="00F60F4B"/>
    <w:rsid w:val="00F610F9"/>
    <w:rsid w:val="00F61449"/>
    <w:rsid w:val="00F617D2"/>
    <w:rsid w:val="00F62B99"/>
    <w:rsid w:val="00F64800"/>
    <w:rsid w:val="00F65055"/>
    <w:rsid w:val="00F6554E"/>
    <w:rsid w:val="00F66076"/>
    <w:rsid w:val="00F66E43"/>
    <w:rsid w:val="00F67274"/>
    <w:rsid w:val="00F71652"/>
    <w:rsid w:val="00F71705"/>
    <w:rsid w:val="00F717D5"/>
    <w:rsid w:val="00F71D8C"/>
    <w:rsid w:val="00F724CF"/>
    <w:rsid w:val="00F72E0B"/>
    <w:rsid w:val="00F7300D"/>
    <w:rsid w:val="00F7385A"/>
    <w:rsid w:val="00F7392B"/>
    <w:rsid w:val="00F741B2"/>
    <w:rsid w:val="00F7496C"/>
    <w:rsid w:val="00F758A5"/>
    <w:rsid w:val="00F76B13"/>
    <w:rsid w:val="00F77BB4"/>
    <w:rsid w:val="00F77D7C"/>
    <w:rsid w:val="00F804A0"/>
    <w:rsid w:val="00F805E7"/>
    <w:rsid w:val="00F80A24"/>
    <w:rsid w:val="00F80FB2"/>
    <w:rsid w:val="00F81800"/>
    <w:rsid w:val="00F81A20"/>
    <w:rsid w:val="00F820C0"/>
    <w:rsid w:val="00F826FC"/>
    <w:rsid w:val="00F83B66"/>
    <w:rsid w:val="00F83F55"/>
    <w:rsid w:val="00F84600"/>
    <w:rsid w:val="00F858EE"/>
    <w:rsid w:val="00F85EC1"/>
    <w:rsid w:val="00F866DF"/>
    <w:rsid w:val="00F9015B"/>
    <w:rsid w:val="00F910CF"/>
    <w:rsid w:val="00F910FE"/>
    <w:rsid w:val="00F91878"/>
    <w:rsid w:val="00F92440"/>
    <w:rsid w:val="00F93065"/>
    <w:rsid w:val="00F93324"/>
    <w:rsid w:val="00F93C17"/>
    <w:rsid w:val="00F93E6B"/>
    <w:rsid w:val="00F948B2"/>
    <w:rsid w:val="00F94A9F"/>
    <w:rsid w:val="00F954DA"/>
    <w:rsid w:val="00F958EE"/>
    <w:rsid w:val="00F95F70"/>
    <w:rsid w:val="00F96BF2"/>
    <w:rsid w:val="00F96D20"/>
    <w:rsid w:val="00F9703C"/>
    <w:rsid w:val="00FA02E0"/>
    <w:rsid w:val="00FA0456"/>
    <w:rsid w:val="00FA141B"/>
    <w:rsid w:val="00FA152E"/>
    <w:rsid w:val="00FA1B3F"/>
    <w:rsid w:val="00FA1DFF"/>
    <w:rsid w:val="00FA1F84"/>
    <w:rsid w:val="00FA22C2"/>
    <w:rsid w:val="00FA40A7"/>
    <w:rsid w:val="00FA42F5"/>
    <w:rsid w:val="00FA4617"/>
    <w:rsid w:val="00FA4783"/>
    <w:rsid w:val="00FA4E30"/>
    <w:rsid w:val="00FA52DE"/>
    <w:rsid w:val="00FA57C8"/>
    <w:rsid w:val="00FA5A5A"/>
    <w:rsid w:val="00FA5B8C"/>
    <w:rsid w:val="00FA6347"/>
    <w:rsid w:val="00FA6774"/>
    <w:rsid w:val="00FA6B14"/>
    <w:rsid w:val="00FA715D"/>
    <w:rsid w:val="00FA76E7"/>
    <w:rsid w:val="00FA7F8F"/>
    <w:rsid w:val="00FB01C4"/>
    <w:rsid w:val="00FB08DB"/>
    <w:rsid w:val="00FB187F"/>
    <w:rsid w:val="00FB2550"/>
    <w:rsid w:val="00FB313F"/>
    <w:rsid w:val="00FB379E"/>
    <w:rsid w:val="00FB383A"/>
    <w:rsid w:val="00FB3E53"/>
    <w:rsid w:val="00FB418B"/>
    <w:rsid w:val="00FB4612"/>
    <w:rsid w:val="00FB520E"/>
    <w:rsid w:val="00FB551C"/>
    <w:rsid w:val="00FB5649"/>
    <w:rsid w:val="00FB623E"/>
    <w:rsid w:val="00FB753E"/>
    <w:rsid w:val="00FB7769"/>
    <w:rsid w:val="00FC06D3"/>
    <w:rsid w:val="00FC0D0F"/>
    <w:rsid w:val="00FC1348"/>
    <w:rsid w:val="00FC187E"/>
    <w:rsid w:val="00FC1AEC"/>
    <w:rsid w:val="00FC1D77"/>
    <w:rsid w:val="00FC2070"/>
    <w:rsid w:val="00FC20DC"/>
    <w:rsid w:val="00FC230A"/>
    <w:rsid w:val="00FC2D66"/>
    <w:rsid w:val="00FC2E13"/>
    <w:rsid w:val="00FC3E3E"/>
    <w:rsid w:val="00FC506B"/>
    <w:rsid w:val="00FC518E"/>
    <w:rsid w:val="00FC5246"/>
    <w:rsid w:val="00FC56C6"/>
    <w:rsid w:val="00FC69B3"/>
    <w:rsid w:val="00FC70E2"/>
    <w:rsid w:val="00FC7298"/>
    <w:rsid w:val="00FC740B"/>
    <w:rsid w:val="00FD0E04"/>
    <w:rsid w:val="00FD10B8"/>
    <w:rsid w:val="00FD1109"/>
    <w:rsid w:val="00FD1AFB"/>
    <w:rsid w:val="00FD1CC6"/>
    <w:rsid w:val="00FD1FCE"/>
    <w:rsid w:val="00FD369A"/>
    <w:rsid w:val="00FD37A1"/>
    <w:rsid w:val="00FD3D38"/>
    <w:rsid w:val="00FD4DB8"/>
    <w:rsid w:val="00FD5CA8"/>
    <w:rsid w:val="00FD6135"/>
    <w:rsid w:val="00FD6276"/>
    <w:rsid w:val="00FD6C9F"/>
    <w:rsid w:val="00FD7AC9"/>
    <w:rsid w:val="00FE0571"/>
    <w:rsid w:val="00FE0C5C"/>
    <w:rsid w:val="00FE204B"/>
    <w:rsid w:val="00FE23E1"/>
    <w:rsid w:val="00FE2771"/>
    <w:rsid w:val="00FE27AA"/>
    <w:rsid w:val="00FE31AD"/>
    <w:rsid w:val="00FE3AEB"/>
    <w:rsid w:val="00FE3AF4"/>
    <w:rsid w:val="00FE44A5"/>
    <w:rsid w:val="00FE4970"/>
    <w:rsid w:val="00FE6528"/>
    <w:rsid w:val="00FE770D"/>
    <w:rsid w:val="00FE7B43"/>
    <w:rsid w:val="00FF00BB"/>
    <w:rsid w:val="00FF05D6"/>
    <w:rsid w:val="00FF0F0A"/>
    <w:rsid w:val="00FF0F68"/>
    <w:rsid w:val="00FF1358"/>
    <w:rsid w:val="00FF1469"/>
    <w:rsid w:val="00FF1A24"/>
    <w:rsid w:val="00FF2778"/>
    <w:rsid w:val="00FF2E8E"/>
    <w:rsid w:val="00FF35F0"/>
    <w:rsid w:val="00FF371E"/>
    <w:rsid w:val="00FF3A2F"/>
    <w:rsid w:val="00FF5309"/>
    <w:rsid w:val="00FF5689"/>
    <w:rsid w:val="00FF5B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AB8E8"/>
  <w15:chartTrackingRefBased/>
  <w15:docId w15:val="{24F51845-1429-450B-A45E-5B83893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6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4A"/>
    <w:pPr>
      <w:spacing w:before="240" w:after="120" w:line="360" w:lineRule="auto"/>
      <w:jc w:val="both"/>
    </w:pPr>
    <w:rPr>
      <w:rFonts w:ascii="Arial" w:hAnsi="Arial" w:cs="Arial"/>
    </w:rPr>
  </w:style>
  <w:style w:type="paragraph" w:styleId="Ttulo1">
    <w:name w:val="heading 1"/>
    <w:basedOn w:val="TITULODEINICIO"/>
    <w:next w:val="Normal"/>
    <w:link w:val="Ttulo1Car"/>
    <w:uiPriority w:val="9"/>
    <w:qFormat/>
    <w:rsid w:val="0003508A"/>
    <w:pPr>
      <w:spacing w:after="360"/>
      <w:outlineLvl w:val="0"/>
    </w:pPr>
    <w:rPr>
      <w:lang w:val="en-GB"/>
    </w:rPr>
  </w:style>
  <w:style w:type="paragraph" w:styleId="Ttulo2">
    <w:name w:val="heading 2"/>
    <w:basedOn w:val="LADILLO1"/>
    <w:next w:val="Normal"/>
    <w:link w:val="Ttulo2Car"/>
    <w:uiPriority w:val="9"/>
    <w:unhideWhenUsed/>
    <w:qFormat/>
    <w:rsid w:val="0003508A"/>
    <w:pPr>
      <w:outlineLvl w:val="1"/>
    </w:pPr>
  </w:style>
  <w:style w:type="paragraph" w:styleId="Ttulo3">
    <w:name w:val="heading 3"/>
    <w:basedOn w:val="LADILLO2"/>
    <w:next w:val="Normal"/>
    <w:link w:val="Ttulo3Car"/>
    <w:uiPriority w:val="9"/>
    <w:unhideWhenUsed/>
    <w:qFormat/>
    <w:rsid w:val="0003508A"/>
    <w:pPr>
      <w:outlineLvl w:val="2"/>
    </w:pPr>
  </w:style>
  <w:style w:type="paragraph" w:styleId="Ttulo4">
    <w:name w:val="heading 4"/>
    <w:basedOn w:val="Normal"/>
    <w:next w:val="Normal"/>
    <w:link w:val="Ttulo4Car"/>
    <w:uiPriority w:val="9"/>
    <w:unhideWhenUsed/>
    <w:qFormat/>
    <w:rsid w:val="00FD1A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E766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EINICIO">
    <w:name w:val="TITULO DE INICIO"/>
    <w:basedOn w:val="Normal"/>
    <w:link w:val="TITULODEINICIOCar"/>
    <w:qFormat/>
    <w:rsid w:val="003B7F87"/>
    <w:pPr>
      <w:spacing w:line="240" w:lineRule="auto"/>
    </w:pPr>
    <w:rPr>
      <w:rFonts w:ascii="Arial Narrow" w:hAnsi="Arial Narrow" w:cs="Times New Roman (Títulos en alf"/>
      <w:color w:val="4A4F96"/>
      <w:spacing w:val="-10"/>
      <w:kern w:val="28"/>
      <w:sz w:val="56"/>
      <w:szCs w:val="56"/>
    </w:rPr>
  </w:style>
  <w:style w:type="character" w:customStyle="1" w:styleId="TITULODEINICIOCar">
    <w:name w:val="TITULO DE INICIO Car"/>
    <w:basedOn w:val="Fuentedeprrafopredeter"/>
    <w:link w:val="TITULODEINICIO"/>
    <w:rsid w:val="003B7F87"/>
    <w:rPr>
      <w:rFonts w:ascii="Arial Narrow" w:hAnsi="Arial Narrow" w:cs="Times New Roman (Títulos en alf"/>
      <w:color w:val="4A4F96"/>
      <w:spacing w:val="-10"/>
      <w:kern w:val="28"/>
      <w:sz w:val="56"/>
      <w:szCs w:val="56"/>
    </w:rPr>
  </w:style>
  <w:style w:type="character" w:customStyle="1" w:styleId="Ttulo1Car">
    <w:name w:val="Título 1 Car"/>
    <w:basedOn w:val="Fuentedeprrafopredeter"/>
    <w:link w:val="Ttulo1"/>
    <w:uiPriority w:val="9"/>
    <w:rsid w:val="0003508A"/>
    <w:rPr>
      <w:rFonts w:ascii="Arial Narrow" w:hAnsi="Arial Narrow" w:cs="Times New Roman (Títulos en alf"/>
      <w:color w:val="4A4F96"/>
      <w:spacing w:val="-10"/>
      <w:kern w:val="28"/>
      <w:sz w:val="56"/>
      <w:szCs w:val="56"/>
      <w:lang w:val="en-GB"/>
    </w:rPr>
  </w:style>
  <w:style w:type="character" w:customStyle="1" w:styleId="Ttulo2Car">
    <w:name w:val="Título 2 Car"/>
    <w:basedOn w:val="Fuentedeprrafopredeter"/>
    <w:link w:val="Ttulo2"/>
    <w:uiPriority w:val="9"/>
    <w:rsid w:val="0003508A"/>
    <w:rPr>
      <w:rFonts w:ascii="Arial Narrow" w:eastAsiaTheme="majorEastAsia" w:hAnsi="Arial Narrow" w:cstheme="majorBidi"/>
      <w:smallCaps/>
      <w:color w:val="4A4F96"/>
      <w:spacing w:val="5"/>
      <w:sz w:val="32"/>
      <w:szCs w:val="60"/>
      <w:lang w:val="es-ES_tradnl"/>
    </w:rPr>
  </w:style>
  <w:style w:type="character" w:customStyle="1" w:styleId="Ttulo3Car">
    <w:name w:val="Título 3 Car"/>
    <w:basedOn w:val="Fuentedeprrafopredeter"/>
    <w:link w:val="Ttulo3"/>
    <w:uiPriority w:val="9"/>
    <w:rsid w:val="0003508A"/>
    <w:rPr>
      <w:rFonts w:ascii="Arial Narrow" w:eastAsiaTheme="majorEastAsia" w:hAnsi="Arial Narrow" w:cstheme="majorBidi"/>
      <w:smallCaps/>
      <w:color w:val="4A4F96"/>
      <w:spacing w:val="5"/>
      <w:sz w:val="28"/>
      <w:szCs w:val="60"/>
      <w:lang w:val="es-ES_tradnl"/>
    </w:rPr>
  </w:style>
  <w:style w:type="character" w:customStyle="1" w:styleId="Ttulo4Car">
    <w:name w:val="Título 4 Car"/>
    <w:basedOn w:val="Fuentedeprrafopredeter"/>
    <w:link w:val="Ttulo4"/>
    <w:uiPriority w:val="9"/>
    <w:rsid w:val="00FD1AFB"/>
    <w:rPr>
      <w:rFonts w:asciiTheme="majorHAnsi" w:eastAsiaTheme="majorEastAsia" w:hAnsiTheme="majorHAnsi" w:cstheme="majorBidi"/>
      <w:i/>
      <w:iCs/>
      <w:color w:val="2F5496" w:themeColor="accent1" w:themeShade="BF"/>
    </w:rPr>
  </w:style>
  <w:style w:type="paragraph" w:styleId="Sinespaciado">
    <w:name w:val="No Spacing"/>
    <w:uiPriority w:val="1"/>
    <w:qFormat/>
    <w:rsid w:val="00774FC5"/>
    <w:pPr>
      <w:spacing w:after="0" w:line="240" w:lineRule="auto"/>
    </w:pPr>
  </w:style>
  <w:style w:type="paragraph" w:styleId="Prrafodelista">
    <w:name w:val="List Paragraph"/>
    <w:basedOn w:val="Normal"/>
    <w:uiPriority w:val="34"/>
    <w:qFormat/>
    <w:rsid w:val="00F17592"/>
    <w:pPr>
      <w:ind w:left="720"/>
      <w:contextualSpacing/>
    </w:pPr>
  </w:style>
  <w:style w:type="paragraph" w:styleId="Descripcin">
    <w:name w:val="caption"/>
    <w:aliases w:val="Fuente,Table caption,Caption Char Char Char,Caption Char Char Char Char Char Char,Caption Char Char Char Char Char Char Char Char Char Char Char Char Char Char Char Char Char Char Char Char Char Char Char Char Char Char,Caption 3,c,appendix"/>
    <w:basedOn w:val="Normal"/>
    <w:next w:val="Normal"/>
    <w:link w:val="DescripcinCar"/>
    <w:uiPriority w:val="68"/>
    <w:unhideWhenUsed/>
    <w:qFormat/>
    <w:rsid w:val="00AD5324"/>
    <w:pPr>
      <w:pBdr>
        <w:bottom w:val="single" w:sz="4" w:space="1" w:color="auto"/>
      </w:pBdr>
      <w:shd w:val="clear" w:color="auto" w:fill="F0F2FF"/>
      <w:spacing w:after="200" w:line="240" w:lineRule="auto"/>
    </w:pPr>
    <w:rPr>
      <w:sz w:val="18"/>
      <w:szCs w:val="18"/>
    </w:rPr>
  </w:style>
  <w:style w:type="paragraph" w:styleId="Bibliografa">
    <w:name w:val="Bibliography"/>
    <w:basedOn w:val="Normal"/>
    <w:next w:val="Normal"/>
    <w:uiPriority w:val="37"/>
    <w:unhideWhenUsed/>
    <w:rsid w:val="005715D1"/>
    <w:pPr>
      <w:tabs>
        <w:tab w:val="left" w:pos="384"/>
      </w:tabs>
      <w:spacing w:after="240" w:line="240" w:lineRule="auto"/>
      <w:ind w:left="384" w:hanging="384"/>
    </w:pPr>
  </w:style>
  <w:style w:type="table" w:styleId="Tabladelista4-nfasis6">
    <w:name w:val="List Table 4 Accent 6"/>
    <w:basedOn w:val="Tablanormal"/>
    <w:uiPriority w:val="49"/>
    <w:rsid w:val="00D9392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globo">
    <w:name w:val="Balloon Text"/>
    <w:basedOn w:val="Normal"/>
    <w:link w:val="TextodegloboCar"/>
    <w:uiPriority w:val="99"/>
    <w:semiHidden/>
    <w:unhideWhenUsed/>
    <w:rsid w:val="006822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24A"/>
    <w:rPr>
      <w:rFonts w:ascii="Segoe UI" w:hAnsi="Segoe UI" w:cs="Segoe UI"/>
      <w:sz w:val="18"/>
      <w:szCs w:val="18"/>
    </w:rPr>
  </w:style>
  <w:style w:type="paragraph" w:styleId="Encabezado">
    <w:name w:val="header"/>
    <w:basedOn w:val="Normal"/>
    <w:link w:val="EncabezadoCar"/>
    <w:uiPriority w:val="99"/>
    <w:unhideWhenUsed/>
    <w:rsid w:val="00F27D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7DE8"/>
  </w:style>
  <w:style w:type="paragraph" w:styleId="Piedepgina">
    <w:name w:val="footer"/>
    <w:basedOn w:val="Normal"/>
    <w:link w:val="PiedepginaCar"/>
    <w:uiPriority w:val="99"/>
    <w:unhideWhenUsed/>
    <w:rsid w:val="00F27D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7DE8"/>
  </w:style>
  <w:style w:type="paragraph" w:customStyle="1" w:styleId="parrafo">
    <w:name w:val="parrafo"/>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7496C"/>
    <w:rPr>
      <w:rFonts w:ascii="Times New Roman" w:hAnsi="Times New Roman" w:cs="Times New Roman"/>
      <w:sz w:val="24"/>
      <w:szCs w:val="24"/>
    </w:rPr>
  </w:style>
  <w:style w:type="character" w:styleId="Hipervnculo">
    <w:name w:val="Hyperlink"/>
    <w:basedOn w:val="Fuentedeprrafopredeter"/>
    <w:uiPriority w:val="99"/>
    <w:unhideWhenUsed/>
    <w:rsid w:val="008133C6"/>
    <w:rPr>
      <w:color w:val="0000FF"/>
      <w:u w:val="single"/>
    </w:rPr>
  </w:style>
  <w:style w:type="paragraph" w:customStyle="1" w:styleId="Default">
    <w:name w:val="Default"/>
    <w:rsid w:val="009D3B86"/>
    <w:pPr>
      <w:autoSpaceDE w:val="0"/>
      <w:autoSpaceDN w:val="0"/>
      <w:adjustRightInd w:val="0"/>
      <w:spacing w:after="0" w:line="240" w:lineRule="auto"/>
    </w:pPr>
    <w:rPr>
      <w:rFonts w:ascii="Calibri" w:eastAsiaTheme="majorEastAsia" w:hAnsi="Calibri" w:cs="Calibri"/>
      <w:color w:val="000000"/>
      <w:sz w:val="24"/>
      <w:szCs w:val="24"/>
    </w:rPr>
  </w:style>
  <w:style w:type="character" w:styleId="Nmerodepgina">
    <w:name w:val="page number"/>
    <w:basedOn w:val="Fuentedeprrafopredeter"/>
    <w:uiPriority w:val="99"/>
    <w:semiHidden/>
    <w:unhideWhenUsed/>
    <w:rsid w:val="009D3B86"/>
  </w:style>
  <w:style w:type="character" w:styleId="Textoennegrita">
    <w:name w:val="Strong"/>
    <w:basedOn w:val="Fuentedeprrafopredeter"/>
    <w:uiPriority w:val="22"/>
    <w:qFormat/>
    <w:rsid w:val="006A1168"/>
    <w:rPr>
      <w:b/>
      <w:bCs/>
    </w:rPr>
  </w:style>
  <w:style w:type="paragraph" w:customStyle="1" w:styleId="selectionshareable">
    <w:name w:val="selectionshareable"/>
    <w:basedOn w:val="Normal"/>
    <w:rsid w:val="00FD1AF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dice1">
    <w:name w:val="index 1"/>
    <w:basedOn w:val="Normal"/>
    <w:next w:val="Normal"/>
    <w:autoRedefine/>
    <w:uiPriority w:val="99"/>
    <w:unhideWhenUsed/>
    <w:rsid w:val="00B40B69"/>
    <w:pPr>
      <w:spacing w:before="0" w:after="0"/>
      <w:ind w:left="220" w:hanging="220"/>
      <w:jc w:val="left"/>
    </w:pPr>
    <w:rPr>
      <w:rFonts w:asciiTheme="minorHAnsi" w:hAnsiTheme="minorHAnsi" w:cstheme="minorHAnsi"/>
      <w:sz w:val="18"/>
      <w:szCs w:val="18"/>
    </w:rPr>
  </w:style>
  <w:style w:type="paragraph" w:styleId="ndice2">
    <w:name w:val="index 2"/>
    <w:basedOn w:val="Normal"/>
    <w:next w:val="Normal"/>
    <w:autoRedefine/>
    <w:uiPriority w:val="99"/>
    <w:unhideWhenUsed/>
    <w:rsid w:val="00B40B69"/>
    <w:pPr>
      <w:spacing w:before="0" w:after="0"/>
      <w:ind w:left="440" w:hanging="220"/>
      <w:jc w:val="left"/>
    </w:pPr>
    <w:rPr>
      <w:rFonts w:asciiTheme="minorHAnsi" w:hAnsiTheme="minorHAnsi" w:cstheme="minorHAnsi"/>
      <w:sz w:val="18"/>
      <w:szCs w:val="18"/>
    </w:rPr>
  </w:style>
  <w:style w:type="paragraph" w:styleId="ndice3">
    <w:name w:val="index 3"/>
    <w:basedOn w:val="Normal"/>
    <w:next w:val="Normal"/>
    <w:autoRedefine/>
    <w:uiPriority w:val="99"/>
    <w:unhideWhenUsed/>
    <w:rsid w:val="00B40B69"/>
    <w:pPr>
      <w:spacing w:before="0" w:after="0"/>
      <w:ind w:left="660" w:hanging="220"/>
      <w:jc w:val="left"/>
    </w:pPr>
    <w:rPr>
      <w:rFonts w:asciiTheme="minorHAnsi" w:hAnsiTheme="minorHAnsi" w:cstheme="minorHAnsi"/>
      <w:sz w:val="18"/>
      <w:szCs w:val="18"/>
    </w:rPr>
  </w:style>
  <w:style w:type="paragraph" w:styleId="ndice4">
    <w:name w:val="index 4"/>
    <w:basedOn w:val="Normal"/>
    <w:next w:val="Normal"/>
    <w:autoRedefine/>
    <w:uiPriority w:val="99"/>
    <w:unhideWhenUsed/>
    <w:rsid w:val="00B40B69"/>
    <w:pPr>
      <w:spacing w:before="0" w:after="0"/>
      <w:ind w:left="880" w:hanging="220"/>
      <w:jc w:val="left"/>
    </w:pPr>
    <w:rPr>
      <w:rFonts w:asciiTheme="minorHAnsi" w:hAnsiTheme="minorHAnsi" w:cstheme="minorHAnsi"/>
      <w:sz w:val="18"/>
      <w:szCs w:val="18"/>
    </w:rPr>
  </w:style>
  <w:style w:type="paragraph" w:styleId="ndice5">
    <w:name w:val="index 5"/>
    <w:basedOn w:val="Normal"/>
    <w:next w:val="Normal"/>
    <w:autoRedefine/>
    <w:uiPriority w:val="99"/>
    <w:unhideWhenUsed/>
    <w:rsid w:val="00B40B69"/>
    <w:pPr>
      <w:spacing w:before="0" w:after="0"/>
      <w:ind w:left="1100" w:hanging="220"/>
      <w:jc w:val="left"/>
    </w:pPr>
    <w:rPr>
      <w:rFonts w:asciiTheme="minorHAnsi" w:hAnsiTheme="minorHAnsi" w:cstheme="minorHAnsi"/>
      <w:sz w:val="18"/>
      <w:szCs w:val="18"/>
    </w:rPr>
  </w:style>
  <w:style w:type="paragraph" w:styleId="ndice6">
    <w:name w:val="index 6"/>
    <w:basedOn w:val="Normal"/>
    <w:next w:val="Normal"/>
    <w:autoRedefine/>
    <w:uiPriority w:val="99"/>
    <w:unhideWhenUsed/>
    <w:rsid w:val="00B40B69"/>
    <w:pPr>
      <w:spacing w:before="0" w:after="0"/>
      <w:ind w:left="1320" w:hanging="220"/>
      <w:jc w:val="left"/>
    </w:pPr>
    <w:rPr>
      <w:rFonts w:asciiTheme="minorHAnsi" w:hAnsiTheme="minorHAnsi" w:cstheme="minorHAnsi"/>
      <w:sz w:val="18"/>
      <w:szCs w:val="18"/>
    </w:rPr>
  </w:style>
  <w:style w:type="paragraph" w:styleId="ndice7">
    <w:name w:val="index 7"/>
    <w:basedOn w:val="Normal"/>
    <w:next w:val="Normal"/>
    <w:autoRedefine/>
    <w:uiPriority w:val="99"/>
    <w:unhideWhenUsed/>
    <w:rsid w:val="00B40B69"/>
    <w:pPr>
      <w:spacing w:before="0" w:after="0"/>
      <w:ind w:left="1540" w:hanging="220"/>
      <w:jc w:val="left"/>
    </w:pPr>
    <w:rPr>
      <w:rFonts w:asciiTheme="minorHAnsi" w:hAnsiTheme="minorHAnsi" w:cstheme="minorHAnsi"/>
      <w:sz w:val="18"/>
      <w:szCs w:val="18"/>
    </w:rPr>
  </w:style>
  <w:style w:type="paragraph" w:styleId="ndice8">
    <w:name w:val="index 8"/>
    <w:basedOn w:val="Normal"/>
    <w:next w:val="Normal"/>
    <w:autoRedefine/>
    <w:uiPriority w:val="99"/>
    <w:unhideWhenUsed/>
    <w:rsid w:val="00B40B69"/>
    <w:pPr>
      <w:spacing w:before="0" w:after="0"/>
      <w:ind w:left="1760" w:hanging="220"/>
      <w:jc w:val="left"/>
    </w:pPr>
    <w:rPr>
      <w:rFonts w:asciiTheme="minorHAnsi" w:hAnsiTheme="minorHAnsi" w:cstheme="minorHAnsi"/>
      <w:sz w:val="18"/>
      <w:szCs w:val="18"/>
    </w:rPr>
  </w:style>
  <w:style w:type="paragraph" w:styleId="ndice9">
    <w:name w:val="index 9"/>
    <w:basedOn w:val="Normal"/>
    <w:next w:val="Normal"/>
    <w:autoRedefine/>
    <w:uiPriority w:val="99"/>
    <w:unhideWhenUsed/>
    <w:rsid w:val="00B40B69"/>
    <w:pPr>
      <w:spacing w:before="0" w:after="0"/>
      <w:ind w:left="1980" w:hanging="220"/>
      <w:jc w:val="left"/>
    </w:pPr>
    <w:rPr>
      <w:rFonts w:asciiTheme="minorHAnsi" w:hAnsiTheme="minorHAnsi" w:cstheme="minorHAnsi"/>
      <w:sz w:val="18"/>
      <w:szCs w:val="18"/>
    </w:rPr>
  </w:style>
  <w:style w:type="paragraph" w:styleId="Ttulodendice">
    <w:name w:val="index heading"/>
    <w:basedOn w:val="Normal"/>
    <w:next w:val="ndice1"/>
    <w:uiPriority w:val="99"/>
    <w:unhideWhenUsed/>
    <w:rsid w:val="00B40B69"/>
    <w:pPr>
      <w:ind w:left="140"/>
      <w:jc w:val="left"/>
    </w:pPr>
    <w:rPr>
      <w:rFonts w:asciiTheme="majorHAnsi" w:hAnsiTheme="majorHAnsi" w:cstheme="majorHAnsi"/>
      <w:b/>
      <w:bCs/>
      <w:sz w:val="28"/>
      <w:szCs w:val="28"/>
    </w:rPr>
  </w:style>
  <w:style w:type="table" w:styleId="Tablaconcuadrcula">
    <w:name w:val="Table Grid"/>
    <w:basedOn w:val="Tablanormal"/>
    <w:uiPriority w:val="39"/>
    <w:rsid w:val="00013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GENERAL">
    <w:name w:val="TEXTO GENERAL"/>
    <w:link w:val="TEXTOGENERALCar"/>
    <w:qFormat/>
    <w:rsid w:val="00933602"/>
    <w:pPr>
      <w:spacing w:after="120" w:line="360" w:lineRule="auto"/>
      <w:jc w:val="both"/>
    </w:pPr>
    <w:rPr>
      <w:rFonts w:ascii="Arial" w:hAnsi="Arial" w:cs="Times New Roman (Cuerpo en alfa"/>
      <w:color w:val="000000" w:themeColor="text1"/>
      <w:sz w:val="24"/>
    </w:rPr>
  </w:style>
  <w:style w:type="character" w:customStyle="1" w:styleId="TEXTOGENERALCar">
    <w:name w:val="TEXTO GENERAL Car"/>
    <w:basedOn w:val="Fuentedeprrafopredeter"/>
    <w:link w:val="TEXTOGENERAL"/>
    <w:rsid w:val="00933602"/>
    <w:rPr>
      <w:rFonts w:ascii="Arial" w:hAnsi="Arial" w:cs="Times New Roman (Cuerpo en alfa"/>
      <w:color w:val="000000" w:themeColor="text1"/>
      <w:sz w:val="24"/>
    </w:rPr>
  </w:style>
  <w:style w:type="paragraph" w:styleId="Ttulo">
    <w:name w:val="Title"/>
    <w:basedOn w:val="Normal"/>
    <w:next w:val="Normal"/>
    <w:link w:val="TtuloCar"/>
    <w:uiPriority w:val="10"/>
    <w:qFormat/>
    <w:rsid w:val="00933602"/>
    <w:pPr>
      <w:spacing w:after="0" w:line="240" w:lineRule="auto"/>
      <w:contextualSpacing/>
      <w:jc w:val="center"/>
    </w:pPr>
    <w:rPr>
      <w:rFonts w:ascii="Arial Narrow" w:eastAsiaTheme="majorEastAsia" w:hAnsi="Arial Narrow" w:cs="Times New Roman (Títulos en alf"/>
      <w:smallCaps/>
      <w:color w:val="7030A0"/>
      <w:spacing w:val="-10"/>
      <w:kern w:val="28"/>
      <w:sz w:val="60"/>
      <w:szCs w:val="56"/>
    </w:rPr>
  </w:style>
  <w:style w:type="character" w:customStyle="1" w:styleId="TtuloCar">
    <w:name w:val="Título Car"/>
    <w:basedOn w:val="Fuentedeprrafopredeter"/>
    <w:link w:val="Ttulo"/>
    <w:uiPriority w:val="10"/>
    <w:rsid w:val="00933602"/>
    <w:rPr>
      <w:rFonts w:ascii="Arial Narrow" w:eastAsiaTheme="majorEastAsia" w:hAnsi="Arial Narrow" w:cs="Times New Roman (Títulos en alf"/>
      <w:smallCaps/>
      <w:color w:val="7030A0"/>
      <w:spacing w:val="-10"/>
      <w:kern w:val="28"/>
      <w:sz w:val="60"/>
      <w:szCs w:val="56"/>
    </w:rPr>
  </w:style>
  <w:style w:type="paragraph" w:styleId="TtuloTDC">
    <w:name w:val="TOC Heading"/>
    <w:basedOn w:val="Ttulo1"/>
    <w:next w:val="Normal"/>
    <w:uiPriority w:val="39"/>
    <w:unhideWhenUsed/>
    <w:qFormat/>
    <w:rsid w:val="00916937"/>
    <w:pPr>
      <w:keepNext/>
      <w:keepLines/>
      <w:spacing w:after="0" w:line="259" w:lineRule="auto"/>
      <w:outlineLvl w:val="9"/>
    </w:pPr>
    <w:rPr>
      <w:rFonts w:asciiTheme="majorHAnsi" w:eastAsiaTheme="majorEastAsia" w:hAnsiTheme="majorHAnsi" w:cstheme="majorBidi"/>
      <w:color w:val="2F5496" w:themeColor="accent1" w:themeShade="BF"/>
      <w:spacing w:val="0"/>
      <w:kern w:val="0"/>
      <w:sz w:val="32"/>
      <w:szCs w:val="32"/>
      <w:lang w:val="es-ES" w:eastAsia="es-ES"/>
    </w:rPr>
  </w:style>
  <w:style w:type="paragraph" w:styleId="TDC1">
    <w:name w:val="toc 1"/>
    <w:basedOn w:val="Normal"/>
    <w:next w:val="Normal"/>
    <w:autoRedefine/>
    <w:uiPriority w:val="39"/>
    <w:unhideWhenUsed/>
    <w:rsid w:val="007B1B77"/>
    <w:pPr>
      <w:tabs>
        <w:tab w:val="right" w:leader="underscore" w:pos="15628"/>
      </w:tabs>
      <w:spacing w:before="60" w:after="60" w:line="276" w:lineRule="auto"/>
      <w:jc w:val="left"/>
    </w:pPr>
    <w:rPr>
      <w:rFonts w:ascii="Times New Roman" w:hAnsi="Times New Roman" w:cstheme="minorHAnsi"/>
      <w:b/>
      <w:bCs/>
      <w:i/>
      <w:iCs/>
      <w:sz w:val="24"/>
      <w:szCs w:val="24"/>
    </w:rPr>
  </w:style>
  <w:style w:type="paragraph" w:styleId="TDC2">
    <w:name w:val="toc 2"/>
    <w:next w:val="Normal"/>
    <w:autoRedefine/>
    <w:uiPriority w:val="39"/>
    <w:unhideWhenUsed/>
    <w:rsid w:val="007B1B77"/>
    <w:pPr>
      <w:spacing w:before="60" w:after="60" w:line="276" w:lineRule="auto"/>
      <w:ind w:left="221"/>
    </w:pPr>
    <w:rPr>
      <w:rFonts w:ascii="Times New Roman" w:hAnsi="Times New Roman" w:cstheme="minorHAnsi"/>
      <w:bCs/>
    </w:rPr>
  </w:style>
  <w:style w:type="paragraph" w:styleId="TDC3">
    <w:name w:val="toc 3"/>
    <w:basedOn w:val="Normal"/>
    <w:next w:val="Normal"/>
    <w:autoRedefine/>
    <w:uiPriority w:val="39"/>
    <w:unhideWhenUsed/>
    <w:rsid w:val="00916937"/>
    <w:pPr>
      <w:spacing w:before="0" w:after="0"/>
      <w:ind w:left="440"/>
      <w:jc w:val="left"/>
    </w:pPr>
    <w:rPr>
      <w:rFonts w:asciiTheme="minorHAnsi" w:hAnsiTheme="minorHAnsi" w:cstheme="minorHAnsi"/>
      <w:sz w:val="20"/>
      <w:szCs w:val="20"/>
    </w:rPr>
  </w:style>
  <w:style w:type="character" w:styleId="Refdecomentario">
    <w:name w:val="annotation reference"/>
    <w:basedOn w:val="Fuentedeprrafopredeter"/>
    <w:uiPriority w:val="99"/>
    <w:semiHidden/>
    <w:unhideWhenUsed/>
    <w:rsid w:val="0045685F"/>
    <w:rPr>
      <w:sz w:val="16"/>
      <w:szCs w:val="16"/>
    </w:rPr>
  </w:style>
  <w:style w:type="paragraph" w:styleId="Textocomentario">
    <w:name w:val="annotation text"/>
    <w:basedOn w:val="Normal"/>
    <w:link w:val="TextocomentarioCar"/>
    <w:uiPriority w:val="99"/>
    <w:unhideWhenUsed/>
    <w:rsid w:val="0045685F"/>
    <w:pPr>
      <w:spacing w:line="240" w:lineRule="auto"/>
    </w:pPr>
    <w:rPr>
      <w:sz w:val="20"/>
      <w:szCs w:val="20"/>
    </w:rPr>
  </w:style>
  <w:style w:type="character" w:customStyle="1" w:styleId="TextocomentarioCar">
    <w:name w:val="Texto comentario Car"/>
    <w:basedOn w:val="Fuentedeprrafopredeter"/>
    <w:link w:val="Textocomentario"/>
    <w:uiPriority w:val="99"/>
    <w:rsid w:val="0045685F"/>
    <w:rPr>
      <w:sz w:val="20"/>
      <w:szCs w:val="20"/>
    </w:rPr>
  </w:style>
  <w:style w:type="paragraph" w:styleId="Asuntodelcomentario">
    <w:name w:val="annotation subject"/>
    <w:basedOn w:val="Textocomentario"/>
    <w:next w:val="Textocomentario"/>
    <w:link w:val="AsuntodelcomentarioCar"/>
    <w:uiPriority w:val="99"/>
    <w:semiHidden/>
    <w:unhideWhenUsed/>
    <w:rsid w:val="0045685F"/>
    <w:rPr>
      <w:b/>
      <w:bCs/>
    </w:rPr>
  </w:style>
  <w:style w:type="character" w:customStyle="1" w:styleId="AsuntodelcomentarioCar">
    <w:name w:val="Asunto del comentario Car"/>
    <w:basedOn w:val="TextocomentarioCar"/>
    <w:link w:val="Asuntodelcomentario"/>
    <w:uiPriority w:val="99"/>
    <w:semiHidden/>
    <w:rsid w:val="0045685F"/>
    <w:rPr>
      <w:b/>
      <w:bCs/>
      <w:sz w:val="20"/>
      <w:szCs w:val="20"/>
    </w:rPr>
  </w:style>
  <w:style w:type="paragraph" w:customStyle="1" w:styleId="msonormal0">
    <w:name w:val="msonormal"/>
    <w:basedOn w:val="Normal"/>
    <w:rsid w:val="007B013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65">
    <w:name w:val="xl65"/>
    <w:basedOn w:val="Normal"/>
    <w:rsid w:val="007B0136"/>
    <w:pP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6">
    <w:name w:val="xl66"/>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7">
    <w:name w:val="xl67"/>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customStyle="1" w:styleId="xl68">
    <w:name w:val="xl68"/>
    <w:basedOn w:val="Normal"/>
    <w:rsid w:val="007B01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ES"/>
    </w:rPr>
  </w:style>
  <w:style w:type="paragraph" w:styleId="Revisin">
    <w:name w:val="Revision"/>
    <w:hidden/>
    <w:uiPriority w:val="99"/>
    <w:semiHidden/>
    <w:rsid w:val="005275D6"/>
    <w:pPr>
      <w:spacing w:after="0" w:line="240" w:lineRule="auto"/>
    </w:pPr>
  </w:style>
  <w:style w:type="paragraph" w:styleId="Textonotapie">
    <w:name w:val="footnote text"/>
    <w:basedOn w:val="Normal"/>
    <w:link w:val="TextonotapieCar"/>
    <w:uiPriority w:val="99"/>
    <w:semiHidden/>
    <w:unhideWhenUsed/>
    <w:rsid w:val="00CD233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2337"/>
    <w:rPr>
      <w:sz w:val="20"/>
      <w:szCs w:val="20"/>
    </w:rPr>
  </w:style>
  <w:style w:type="character" w:styleId="Refdenotaalpie">
    <w:name w:val="footnote reference"/>
    <w:basedOn w:val="Fuentedeprrafopredeter"/>
    <w:uiPriority w:val="99"/>
    <w:semiHidden/>
    <w:unhideWhenUsed/>
    <w:rsid w:val="00CD2337"/>
    <w:rPr>
      <w:vertAlign w:val="superscript"/>
    </w:rPr>
  </w:style>
  <w:style w:type="character" w:styleId="Refdenotaalfinal">
    <w:name w:val="endnote reference"/>
    <w:basedOn w:val="Fuentedeprrafopredeter"/>
    <w:uiPriority w:val="99"/>
    <w:semiHidden/>
    <w:unhideWhenUsed/>
    <w:rsid w:val="00F010E2"/>
    <w:rPr>
      <w:vertAlign w:val="superscript"/>
    </w:rPr>
  </w:style>
  <w:style w:type="character" w:styleId="nfasis">
    <w:name w:val="Emphasis"/>
    <w:aliases w:val="Título tabla"/>
    <w:uiPriority w:val="20"/>
    <w:rsid w:val="00AD5324"/>
    <w:rPr>
      <w:rFonts w:asciiTheme="minorHAnsi" w:hAnsiTheme="minorHAnsi"/>
      <w:b/>
      <w:i w:val="0"/>
      <w:iCs/>
      <w:caps w:val="0"/>
      <w:smallCaps w:val="0"/>
      <w:color w:val="4A489B"/>
      <w:sz w:val="22"/>
    </w:rPr>
  </w:style>
  <w:style w:type="paragraph" w:customStyle="1" w:styleId="TextoFUENTE">
    <w:name w:val="Texto FUENTE"/>
    <w:basedOn w:val="Sinespaciado"/>
    <w:qFormat/>
    <w:rsid w:val="00FD1FCE"/>
    <w:pPr>
      <w:pBdr>
        <w:bottom w:val="single" w:sz="4" w:space="1" w:color="auto"/>
      </w:pBdr>
      <w:shd w:val="clear" w:color="auto" w:fill="F0F2FF"/>
      <w:spacing w:before="60" w:after="120"/>
      <w:contextualSpacing/>
      <w:jc w:val="both"/>
    </w:pPr>
    <w:rPr>
      <w:rFonts w:ascii="Arial Narrow" w:hAnsi="Arial Narrow" w:cs="Times New Roman (Cuerpo en alfa"/>
      <w:color w:val="000000" w:themeColor="text1"/>
      <w:sz w:val="18"/>
    </w:rPr>
  </w:style>
  <w:style w:type="paragraph" w:customStyle="1" w:styleId="TITULOTABLASYFIGURAS">
    <w:name w:val="TITULO TABLAS Y FIGURAS"/>
    <w:basedOn w:val="Normal"/>
    <w:qFormat/>
    <w:rsid w:val="00E70986"/>
    <w:pPr>
      <w:pBdr>
        <w:bottom w:val="single" w:sz="4" w:space="1" w:color="auto"/>
      </w:pBdr>
      <w:spacing w:line="240" w:lineRule="auto"/>
    </w:pPr>
    <w:rPr>
      <w:rFonts w:ascii="Arial Narrow" w:eastAsiaTheme="majorEastAsia" w:hAnsi="Arial Narrow" w:cstheme="majorBidi"/>
      <w:smallCaps/>
      <w:color w:val="4A4F96"/>
      <w:spacing w:val="5"/>
      <w:sz w:val="24"/>
      <w:szCs w:val="60"/>
      <w:lang w:val="es-ES_tradnl"/>
    </w:rPr>
  </w:style>
  <w:style w:type="paragraph" w:customStyle="1" w:styleId="LADILLO1">
    <w:name w:val="LADILLO 1"/>
    <w:link w:val="LADILLO1Car"/>
    <w:rsid w:val="0003508A"/>
    <w:pPr>
      <w:spacing w:before="240" w:after="120" w:line="360" w:lineRule="auto"/>
    </w:pPr>
    <w:rPr>
      <w:rFonts w:ascii="Arial Narrow" w:eastAsiaTheme="majorEastAsia" w:hAnsi="Arial Narrow" w:cstheme="majorBidi"/>
      <w:smallCaps/>
      <w:color w:val="4A4F96"/>
      <w:spacing w:val="5"/>
      <w:sz w:val="32"/>
      <w:szCs w:val="60"/>
      <w:lang w:val="es-ES_tradnl"/>
    </w:rPr>
  </w:style>
  <w:style w:type="paragraph" w:customStyle="1" w:styleId="LADILLO2">
    <w:name w:val="LADILLO 2"/>
    <w:basedOn w:val="LADILLO1"/>
    <w:link w:val="LADILLO2Car"/>
    <w:rsid w:val="0003508A"/>
    <w:rPr>
      <w:sz w:val="28"/>
    </w:rPr>
  </w:style>
  <w:style w:type="character" w:customStyle="1" w:styleId="LADILLO1Car">
    <w:name w:val="LADILLO 1 Car"/>
    <w:basedOn w:val="Fuentedeprrafopredeter"/>
    <w:link w:val="LADILLO1"/>
    <w:rsid w:val="0003508A"/>
    <w:rPr>
      <w:rFonts w:ascii="Arial Narrow" w:eastAsiaTheme="majorEastAsia" w:hAnsi="Arial Narrow" w:cstheme="majorBidi"/>
      <w:smallCaps/>
      <w:color w:val="4A4F96"/>
      <w:spacing w:val="5"/>
      <w:sz w:val="32"/>
      <w:szCs w:val="60"/>
      <w:lang w:val="es-ES_tradnl"/>
    </w:rPr>
  </w:style>
  <w:style w:type="paragraph" w:customStyle="1" w:styleId="LADILLO3">
    <w:name w:val="LADILLO 3"/>
    <w:basedOn w:val="LADILLO1"/>
    <w:link w:val="LADILLO3Car"/>
    <w:rsid w:val="0003508A"/>
    <w:rPr>
      <w:sz w:val="24"/>
    </w:rPr>
  </w:style>
  <w:style w:type="character" w:customStyle="1" w:styleId="LADILLO3Car">
    <w:name w:val="LADILLO 3 Car"/>
    <w:basedOn w:val="LADILLO1Car"/>
    <w:link w:val="LADILLO3"/>
    <w:rsid w:val="0003508A"/>
    <w:rPr>
      <w:rFonts w:ascii="Arial Narrow" w:eastAsiaTheme="majorEastAsia" w:hAnsi="Arial Narrow" w:cstheme="majorBidi"/>
      <w:smallCaps/>
      <w:color w:val="4A4F96"/>
      <w:spacing w:val="5"/>
      <w:sz w:val="24"/>
      <w:szCs w:val="60"/>
      <w:lang w:val="es-ES_tradnl"/>
    </w:rPr>
  </w:style>
  <w:style w:type="character" w:customStyle="1" w:styleId="LADILLO2Car">
    <w:name w:val="LADILLO 2 Car"/>
    <w:basedOn w:val="LADILLO1Car"/>
    <w:link w:val="LADILLO2"/>
    <w:rsid w:val="0003508A"/>
    <w:rPr>
      <w:rFonts w:ascii="Arial Narrow" w:eastAsiaTheme="majorEastAsia" w:hAnsi="Arial Narrow" w:cstheme="majorBidi"/>
      <w:smallCaps/>
      <w:color w:val="4A4F96"/>
      <w:spacing w:val="5"/>
      <w:sz w:val="28"/>
      <w:szCs w:val="60"/>
      <w:lang w:val="es-ES_tradnl"/>
    </w:rPr>
  </w:style>
  <w:style w:type="character" w:styleId="nfasissutil">
    <w:name w:val="Subtle Emphasis"/>
    <w:basedOn w:val="Fuentedeprrafopredeter"/>
    <w:uiPriority w:val="19"/>
    <w:qFormat/>
    <w:rsid w:val="00A53E5A"/>
    <w:rPr>
      <w:i/>
      <w:iCs/>
      <w:color w:val="404040" w:themeColor="text1" w:themeTint="BF"/>
    </w:rPr>
  </w:style>
  <w:style w:type="paragraph" w:styleId="TDC4">
    <w:name w:val="toc 4"/>
    <w:basedOn w:val="Normal"/>
    <w:next w:val="Normal"/>
    <w:autoRedefine/>
    <w:uiPriority w:val="39"/>
    <w:unhideWhenUsed/>
    <w:rsid w:val="00CF2B98"/>
    <w:pPr>
      <w:spacing w:before="0" w:after="0"/>
      <w:ind w:left="660"/>
      <w:jc w:val="left"/>
    </w:pPr>
    <w:rPr>
      <w:rFonts w:asciiTheme="minorHAnsi" w:hAnsiTheme="minorHAnsi" w:cstheme="minorHAnsi"/>
      <w:sz w:val="20"/>
      <w:szCs w:val="20"/>
    </w:rPr>
  </w:style>
  <w:style w:type="paragraph" w:styleId="TDC5">
    <w:name w:val="toc 5"/>
    <w:basedOn w:val="Normal"/>
    <w:next w:val="Normal"/>
    <w:autoRedefine/>
    <w:uiPriority w:val="39"/>
    <w:unhideWhenUsed/>
    <w:rsid w:val="00CF2B98"/>
    <w:pPr>
      <w:spacing w:before="0" w:after="0"/>
      <w:ind w:left="880"/>
      <w:jc w:val="left"/>
    </w:pPr>
    <w:rPr>
      <w:rFonts w:asciiTheme="minorHAnsi" w:hAnsiTheme="minorHAnsi" w:cstheme="minorHAnsi"/>
      <w:sz w:val="20"/>
      <w:szCs w:val="20"/>
    </w:rPr>
  </w:style>
  <w:style w:type="paragraph" w:styleId="TDC6">
    <w:name w:val="toc 6"/>
    <w:basedOn w:val="Normal"/>
    <w:next w:val="Normal"/>
    <w:autoRedefine/>
    <w:uiPriority w:val="39"/>
    <w:unhideWhenUsed/>
    <w:rsid w:val="00CF2B98"/>
    <w:pPr>
      <w:spacing w:before="0" w:after="0"/>
      <w:ind w:left="1100"/>
      <w:jc w:val="left"/>
    </w:pPr>
    <w:rPr>
      <w:rFonts w:asciiTheme="minorHAnsi" w:hAnsiTheme="minorHAnsi" w:cstheme="minorHAnsi"/>
      <w:sz w:val="20"/>
      <w:szCs w:val="20"/>
    </w:rPr>
  </w:style>
  <w:style w:type="paragraph" w:styleId="TDC7">
    <w:name w:val="toc 7"/>
    <w:basedOn w:val="Normal"/>
    <w:next w:val="Normal"/>
    <w:autoRedefine/>
    <w:uiPriority w:val="39"/>
    <w:unhideWhenUsed/>
    <w:rsid w:val="00CF2B98"/>
    <w:pPr>
      <w:spacing w:before="0" w:after="0"/>
      <w:ind w:left="1320"/>
      <w:jc w:val="left"/>
    </w:pPr>
    <w:rPr>
      <w:rFonts w:asciiTheme="minorHAnsi" w:hAnsiTheme="minorHAnsi" w:cstheme="minorHAnsi"/>
      <w:sz w:val="20"/>
      <w:szCs w:val="20"/>
    </w:rPr>
  </w:style>
  <w:style w:type="paragraph" w:styleId="TDC8">
    <w:name w:val="toc 8"/>
    <w:basedOn w:val="Normal"/>
    <w:next w:val="Normal"/>
    <w:autoRedefine/>
    <w:uiPriority w:val="39"/>
    <w:unhideWhenUsed/>
    <w:rsid w:val="00CF2B98"/>
    <w:pPr>
      <w:spacing w:before="0" w:after="0"/>
      <w:ind w:left="1540"/>
      <w:jc w:val="left"/>
    </w:pPr>
    <w:rPr>
      <w:rFonts w:asciiTheme="minorHAnsi" w:hAnsiTheme="minorHAnsi" w:cstheme="minorHAnsi"/>
      <w:sz w:val="20"/>
      <w:szCs w:val="20"/>
    </w:rPr>
  </w:style>
  <w:style w:type="paragraph" w:styleId="TDC9">
    <w:name w:val="toc 9"/>
    <w:basedOn w:val="Normal"/>
    <w:next w:val="Normal"/>
    <w:autoRedefine/>
    <w:uiPriority w:val="39"/>
    <w:unhideWhenUsed/>
    <w:rsid w:val="00CF2B98"/>
    <w:pPr>
      <w:spacing w:before="0" w:after="0"/>
      <w:ind w:left="1760"/>
      <w:jc w:val="left"/>
    </w:pPr>
    <w:rPr>
      <w:rFonts w:asciiTheme="minorHAnsi" w:hAnsiTheme="minorHAnsi" w:cstheme="minorHAnsi"/>
      <w:sz w:val="20"/>
      <w:szCs w:val="20"/>
    </w:rPr>
  </w:style>
  <w:style w:type="table" w:styleId="Tabladelista3-nfasis1">
    <w:name w:val="List Table 3 Accent 1"/>
    <w:basedOn w:val="Tablanormal"/>
    <w:uiPriority w:val="48"/>
    <w:rsid w:val="00F43B2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Tablafigurattulo">
    <w:name w:val="Tabla/figura: título"/>
    <w:basedOn w:val="Normal"/>
    <w:qFormat/>
    <w:rsid w:val="00C01DD5"/>
    <w:pPr>
      <w:ind w:left="284" w:right="28"/>
      <w:jc w:val="left"/>
    </w:pPr>
    <w:rPr>
      <w:rFonts w:asciiTheme="minorHAnsi" w:eastAsia="Times New Roman" w:hAnsiTheme="minorHAnsi" w:cs="Calibri"/>
      <w:b/>
      <w:color w:val="44546A"/>
      <w:sz w:val="18"/>
      <w:szCs w:val="20"/>
    </w:rPr>
  </w:style>
  <w:style w:type="table" w:styleId="Tablaconcuadrcula4-nfasis1">
    <w:name w:val="Grid Table 4 Accent 1"/>
    <w:basedOn w:val="Tablanormal"/>
    <w:uiPriority w:val="49"/>
    <w:rsid w:val="00C01DD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4-nfasis1">
    <w:name w:val="List Table 4 Accent 1"/>
    <w:basedOn w:val="Tablanormal"/>
    <w:uiPriority w:val="49"/>
    <w:rsid w:val="009C6E8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4-nfasis2">
    <w:name w:val="Grid Table 4 Accent 2"/>
    <w:basedOn w:val="Tablanormal"/>
    <w:uiPriority w:val="49"/>
    <w:rsid w:val="001D5140"/>
    <w:pPr>
      <w:spacing w:after="0" w:line="240" w:lineRule="auto"/>
    </w:pPr>
    <w:rPr>
      <w:rFonts w:eastAsia="Batang"/>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1clara-nfasis4">
    <w:name w:val="Grid Table 1 Light Accent 4"/>
    <w:basedOn w:val="Tablanormal"/>
    <w:uiPriority w:val="46"/>
    <w:rsid w:val="00FB418B"/>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styleId="Mencinsinresolver">
    <w:name w:val="Unresolved Mention"/>
    <w:basedOn w:val="Fuentedeprrafopredeter"/>
    <w:uiPriority w:val="99"/>
    <w:semiHidden/>
    <w:unhideWhenUsed/>
    <w:rsid w:val="00392EED"/>
    <w:rPr>
      <w:color w:val="605E5C"/>
      <w:shd w:val="clear" w:color="auto" w:fill="E1DFDD"/>
    </w:rPr>
  </w:style>
  <w:style w:type="paragraph" w:styleId="Tabladeilustraciones">
    <w:name w:val="table of figures"/>
    <w:basedOn w:val="Normal"/>
    <w:next w:val="Normal"/>
    <w:uiPriority w:val="99"/>
    <w:unhideWhenUsed/>
    <w:rsid w:val="004B5573"/>
    <w:pPr>
      <w:spacing w:before="60" w:after="60"/>
      <w:jc w:val="left"/>
    </w:pPr>
    <w:rPr>
      <w:rFonts w:ascii="Times New Roman" w:hAnsi="Times New Roman" w:cstheme="minorHAnsi"/>
      <w:b/>
      <w:i/>
      <w:iCs/>
      <w:szCs w:val="20"/>
    </w:rPr>
  </w:style>
  <w:style w:type="character" w:customStyle="1" w:styleId="Ttulo5Car">
    <w:name w:val="Título 5 Car"/>
    <w:basedOn w:val="Fuentedeprrafopredeter"/>
    <w:link w:val="Ttulo5"/>
    <w:uiPriority w:val="9"/>
    <w:rsid w:val="001E7667"/>
    <w:rPr>
      <w:rFonts w:asciiTheme="majorHAnsi" w:eastAsiaTheme="majorEastAsia" w:hAnsiTheme="majorHAnsi" w:cstheme="majorBidi"/>
      <w:color w:val="2F5496" w:themeColor="accent1" w:themeShade="BF"/>
    </w:rPr>
  </w:style>
  <w:style w:type="table" w:styleId="Tablaconcuadrcula4-nfasis6">
    <w:name w:val="Grid Table 4 Accent 6"/>
    <w:basedOn w:val="Tablanormal"/>
    <w:uiPriority w:val="49"/>
    <w:rsid w:val="00A12DB5"/>
    <w:pPr>
      <w:spacing w:after="0" w:line="240" w:lineRule="auto"/>
    </w:pPr>
    <w:rPr>
      <w:rFonts w:eastAsiaTheme="minorEastAsia"/>
      <w:sz w:val="21"/>
      <w:szCs w:val="21"/>
      <w:lang w:val="en-US" w:eastAsia="ja-JP"/>
    </w:rPr>
    <w:tblPr>
      <w:tblStyleRowBandSize w:val="1"/>
      <w:tblStyleCol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vAlign w:val="center"/>
    </w:tc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5">
    <w:name w:val="List Table 3 Accent 5"/>
    <w:basedOn w:val="Tablanormal"/>
    <w:uiPriority w:val="48"/>
    <w:rsid w:val="00770DCA"/>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styleId="Textodelmarcadordeposicin">
    <w:name w:val="Placeholder Text"/>
    <w:basedOn w:val="Fuentedeprrafopredeter"/>
    <w:uiPriority w:val="99"/>
    <w:semiHidden/>
    <w:rsid w:val="003830C3"/>
    <w:rPr>
      <w:color w:val="808080"/>
    </w:rPr>
  </w:style>
  <w:style w:type="paragraph" w:styleId="Textonotaalfinal">
    <w:name w:val="endnote text"/>
    <w:basedOn w:val="Normal"/>
    <w:link w:val="TextonotaalfinalCar"/>
    <w:uiPriority w:val="99"/>
    <w:semiHidden/>
    <w:unhideWhenUsed/>
    <w:rsid w:val="00115C50"/>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5C50"/>
    <w:rPr>
      <w:rFonts w:ascii="Arial" w:hAnsi="Arial" w:cs="Arial"/>
      <w:sz w:val="20"/>
      <w:szCs w:val="20"/>
    </w:rPr>
  </w:style>
  <w:style w:type="character" w:customStyle="1" w:styleId="DescripcinCar">
    <w:name w:val="Descripción Car"/>
    <w:aliases w:val="Fuente Car,Table caption Car,Caption Char Char Char Car,Caption Char Char Char Char Char Char Car,Caption 3 Car,c Car,appendix Car"/>
    <w:link w:val="Descripcin"/>
    <w:uiPriority w:val="68"/>
    <w:locked/>
    <w:rsid w:val="003D43D6"/>
    <w:rPr>
      <w:rFonts w:ascii="Arial" w:hAnsi="Arial" w:cs="Arial"/>
      <w:sz w:val="18"/>
      <w:szCs w:val="18"/>
      <w:shd w:val="clear" w:color="auto" w:fill="F0F2FF"/>
    </w:rPr>
  </w:style>
  <w:style w:type="table" w:styleId="Tabladelista3">
    <w:name w:val="List Table 3"/>
    <w:basedOn w:val="Tablanormal"/>
    <w:uiPriority w:val="48"/>
    <w:rsid w:val="008846A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6090">
      <w:bodyDiv w:val="1"/>
      <w:marLeft w:val="0"/>
      <w:marRight w:val="0"/>
      <w:marTop w:val="0"/>
      <w:marBottom w:val="0"/>
      <w:divBdr>
        <w:top w:val="none" w:sz="0" w:space="0" w:color="auto"/>
        <w:left w:val="none" w:sz="0" w:space="0" w:color="auto"/>
        <w:bottom w:val="none" w:sz="0" w:space="0" w:color="auto"/>
        <w:right w:val="none" w:sz="0" w:space="0" w:color="auto"/>
      </w:divBdr>
      <w:divsChild>
        <w:div w:id="479348771">
          <w:marLeft w:val="547"/>
          <w:marRight w:val="0"/>
          <w:marTop w:val="0"/>
          <w:marBottom w:val="0"/>
          <w:divBdr>
            <w:top w:val="none" w:sz="0" w:space="0" w:color="auto"/>
            <w:left w:val="none" w:sz="0" w:space="0" w:color="auto"/>
            <w:bottom w:val="none" w:sz="0" w:space="0" w:color="auto"/>
            <w:right w:val="none" w:sz="0" w:space="0" w:color="auto"/>
          </w:divBdr>
        </w:div>
      </w:divsChild>
    </w:div>
    <w:div w:id="34162212">
      <w:bodyDiv w:val="1"/>
      <w:marLeft w:val="0"/>
      <w:marRight w:val="0"/>
      <w:marTop w:val="0"/>
      <w:marBottom w:val="0"/>
      <w:divBdr>
        <w:top w:val="none" w:sz="0" w:space="0" w:color="auto"/>
        <w:left w:val="none" w:sz="0" w:space="0" w:color="auto"/>
        <w:bottom w:val="none" w:sz="0" w:space="0" w:color="auto"/>
        <w:right w:val="none" w:sz="0" w:space="0" w:color="auto"/>
      </w:divBdr>
      <w:divsChild>
        <w:div w:id="1552573614">
          <w:marLeft w:val="1440"/>
          <w:marRight w:val="0"/>
          <w:marTop w:val="0"/>
          <w:marBottom w:val="0"/>
          <w:divBdr>
            <w:top w:val="none" w:sz="0" w:space="0" w:color="auto"/>
            <w:left w:val="none" w:sz="0" w:space="0" w:color="auto"/>
            <w:bottom w:val="none" w:sz="0" w:space="0" w:color="auto"/>
            <w:right w:val="none" w:sz="0" w:space="0" w:color="auto"/>
          </w:divBdr>
        </w:div>
      </w:divsChild>
    </w:div>
    <w:div w:id="39717163">
      <w:bodyDiv w:val="1"/>
      <w:marLeft w:val="0"/>
      <w:marRight w:val="0"/>
      <w:marTop w:val="0"/>
      <w:marBottom w:val="0"/>
      <w:divBdr>
        <w:top w:val="none" w:sz="0" w:space="0" w:color="auto"/>
        <w:left w:val="none" w:sz="0" w:space="0" w:color="auto"/>
        <w:bottom w:val="none" w:sz="0" w:space="0" w:color="auto"/>
        <w:right w:val="none" w:sz="0" w:space="0" w:color="auto"/>
      </w:divBdr>
      <w:divsChild>
        <w:div w:id="143352010">
          <w:marLeft w:val="547"/>
          <w:marRight w:val="0"/>
          <w:marTop w:val="0"/>
          <w:marBottom w:val="0"/>
          <w:divBdr>
            <w:top w:val="none" w:sz="0" w:space="0" w:color="auto"/>
            <w:left w:val="none" w:sz="0" w:space="0" w:color="auto"/>
            <w:bottom w:val="none" w:sz="0" w:space="0" w:color="auto"/>
            <w:right w:val="none" w:sz="0" w:space="0" w:color="auto"/>
          </w:divBdr>
        </w:div>
        <w:div w:id="1395007965">
          <w:marLeft w:val="547"/>
          <w:marRight w:val="0"/>
          <w:marTop w:val="0"/>
          <w:marBottom w:val="0"/>
          <w:divBdr>
            <w:top w:val="none" w:sz="0" w:space="0" w:color="auto"/>
            <w:left w:val="none" w:sz="0" w:space="0" w:color="auto"/>
            <w:bottom w:val="none" w:sz="0" w:space="0" w:color="auto"/>
            <w:right w:val="none" w:sz="0" w:space="0" w:color="auto"/>
          </w:divBdr>
        </w:div>
        <w:div w:id="1404764525">
          <w:marLeft w:val="1440"/>
          <w:marRight w:val="0"/>
          <w:marTop w:val="0"/>
          <w:marBottom w:val="0"/>
          <w:divBdr>
            <w:top w:val="none" w:sz="0" w:space="0" w:color="auto"/>
            <w:left w:val="none" w:sz="0" w:space="0" w:color="auto"/>
            <w:bottom w:val="none" w:sz="0" w:space="0" w:color="auto"/>
            <w:right w:val="none" w:sz="0" w:space="0" w:color="auto"/>
          </w:divBdr>
        </w:div>
        <w:div w:id="1580099039">
          <w:marLeft w:val="547"/>
          <w:marRight w:val="0"/>
          <w:marTop w:val="0"/>
          <w:marBottom w:val="0"/>
          <w:divBdr>
            <w:top w:val="none" w:sz="0" w:space="0" w:color="auto"/>
            <w:left w:val="none" w:sz="0" w:space="0" w:color="auto"/>
            <w:bottom w:val="none" w:sz="0" w:space="0" w:color="auto"/>
            <w:right w:val="none" w:sz="0" w:space="0" w:color="auto"/>
          </w:divBdr>
        </w:div>
        <w:div w:id="1651522594">
          <w:marLeft w:val="1440"/>
          <w:marRight w:val="0"/>
          <w:marTop w:val="0"/>
          <w:marBottom w:val="0"/>
          <w:divBdr>
            <w:top w:val="none" w:sz="0" w:space="0" w:color="auto"/>
            <w:left w:val="none" w:sz="0" w:space="0" w:color="auto"/>
            <w:bottom w:val="none" w:sz="0" w:space="0" w:color="auto"/>
            <w:right w:val="none" w:sz="0" w:space="0" w:color="auto"/>
          </w:divBdr>
        </w:div>
      </w:divsChild>
    </w:div>
    <w:div w:id="64424477">
      <w:bodyDiv w:val="1"/>
      <w:marLeft w:val="0"/>
      <w:marRight w:val="0"/>
      <w:marTop w:val="0"/>
      <w:marBottom w:val="0"/>
      <w:divBdr>
        <w:top w:val="none" w:sz="0" w:space="0" w:color="auto"/>
        <w:left w:val="none" w:sz="0" w:space="0" w:color="auto"/>
        <w:bottom w:val="none" w:sz="0" w:space="0" w:color="auto"/>
        <w:right w:val="none" w:sz="0" w:space="0" w:color="auto"/>
      </w:divBdr>
    </w:div>
    <w:div w:id="72239093">
      <w:bodyDiv w:val="1"/>
      <w:marLeft w:val="0"/>
      <w:marRight w:val="0"/>
      <w:marTop w:val="0"/>
      <w:marBottom w:val="0"/>
      <w:divBdr>
        <w:top w:val="none" w:sz="0" w:space="0" w:color="auto"/>
        <w:left w:val="none" w:sz="0" w:space="0" w:color="auto"/>
        <w:bottom w:val="none" w:sz="0" w:space="0" w:color="auto"/>
        <w:right w:val="none" w:sz="0" w:space="0" w:color="auto"/>
      </w:divBdr>
    </w:div>
    <w:div w:id="75445573">
      <w:bodyDiv w:val="1"/>
      <w:marLeft w:val="0"/>
      <w:marRight w:val="0"/>
      <w:marTop w:val="0"/>
      <w:marBottom w:val="0"/>
      <w:divBdr>
        <w:top w:val="none" w:sz="0" w:space="0" w:color="auto"/>
        <w:left w:val="none" w:sz="0" w:space="0" w:color="auto"/>
        <w:bottom w:val="none" w:sz="0" w:space="0" w:color="auto"/>
        <w:right w:val="none" w:sz="0" w:space="0" w:color="auto"/>
      </w:divBdr>
      <w:divsChild>
        <w:div w:id="1384980385">
          <w:marLeft w:val="446"/>
          <w:marRight w:val="0"/>
          <w:marTop w:val="0"/>
          <w:marBottom w:val="0"/>
          <w:divBdr>
            <w:top w:val="none" w:sz="0" w:space="0" w:color="auto"/>
            <w:left w:val="none" w:sz="0" w:space="0" w:color="auto"/>
            <w:bottom w:val="none" w:sz="0" w:space="0" w:color="auto"/>
            <w:right w:val="none" w:sz="0" w:space="0" w:color="auto"/>
          </w:divBdr>
        </w:div>
      </w:divsChild>
    </w:div>
    <w:div w:id="91510374">
      <w:bodyDiv w:val="1"/>
      <w:marLeft w:val="0"/>
      <w:marRight w:val="0"/>
      <w:marTop w:val="0"/>
      <w:marBottom w:val="0"/>
      <w:divBdr>
        <w:top w:val="none" w:sz="0" w:space="0" w:color="auto"/>
        <w:left w:val="none" w:sz="0" w:space="0" w:color="auto"/>
        <w:bottom w:val="none" w:sz="0" w:space="0" w:color="auto"/>
        <w:right w:val="none" w:sz="0" w:space="0" w:color="auto"/>
      </w:divBdr>
    </w:div>
    <w:div w:id="106196523">
      <w:bodyDiv w:val="1"/>
      <w:marLeft w:val="0"/>
      <w:marRight w:val="0"/>
      <w:marTop w:val="0"/>
      <w:marBottom w:val="0"/>
      <w:divBdr>
        <w:top w:val="none" w:sz="0" w:space="0" w:color="auto"/>
        <w:left w:val="none" w:sz="0" w:space="0" w:color="auto"/>
        <w:bottom w:val="none" w:sz="0" w:space="0" w:color="auto"/>
        <w:right w:val="none" w:sz="0" w:space="0" w:color="auto"/>
      </w:divBdr>
    </w:div>
    <w:div w:id="106823718">
      <w:bodyDiv w:val="1"/>
      <w:marLeft w:val="0"/>
      <w:marRight w:val="0"/>
      <w:marTop w:val="0"/>
      <w:marBottom w:val="0"/>
      <w:divBdr>
        <w:top w:val="none" w:sz="0" w:space="0" w:color="auto"/>
        <w:left w:val="none" w:sz="0" w:space="0" w:color="auto"/>
        <w:bottom w:val="none" w:sz="0" w:space="0" w:color="auto"/>
        <w:right w:val="none" w:sz="0" w:space="0" w:color="auto"/>
      </w:divBdr>
      <w:divsChild>
        <w:div w:id="127550462">
          <w:marLeft w:val="1440"/>
          <w:marRight w:val="0"/>
          <w:marTop w:val="0"/>
          <w:marBottom w:val="0"/>
          <w:divBdr>
            <w:top w:val="none" w:sz="0" w:space="0" w:color="auto"/>
            <w:left w:val="none" w:sz="0" w:space="0" w:color="auto"/>
            <w:bottom w:val="none" w:sz="0" w:space="0" w:color="auto"/>
            <w:right w:val="none" w:sz="0" w:space="0" w:color="auto"/>
          </w:divBdr>
        </w:div>
        <w:div w:id="262610311">
          <w:marLeft w:val="1440"/>
          <w:marRight w:val="0"/>
          <w:marTop w:val="0"/>
          <w:marBottom w:val="0"/>
          <w:divBdr>
            <w:top w:val="none" w:sz="0" w:space="0" w:color="auto"/>
            <w:left w:val="none" w:sz="0" w:space="0" w:color="auto"/>
            <w:bottom w:val="none" w:sz="0" w:space="0" w:color="auto"/>
            <w:right w:val="none" w:sz="0" w:space="0" w:color="auto"/>
          </w:divBdr>
        </w:div>
        <w:div w:id="635989244">
          <w:marLeft w:val="1440"/>
          <w:marRight w:val="0"/>
          <w:marTop w:val="0"/>
          <w:marBottom w:val="0"/>
          <w:divBdr>
            <w:top w:val="none" w:sz="0" w:space="0" w:color="auto"/>
            <w:left w:val="none" w:sz="0" w:space="0" w:color="auto"/>
            <w:bottom w:val="none" w:sz="0" w:space="0" w:color="auto"/>
            <w:right w:val="none" w:sz="0" w:space="0" w:color="auto"/>
          </w:divBdr>
        </w:div>
        <w:div w:id="1592352781">
          <w:marLeft w:val="547"/>
          <w:marRight w:val="0"/>
          <w:marTop w:val="0"/>
          <w:marBottom w:val="0"/>
          <w:divBdr>
            <w:top w:val="none" w:sz="0" w:space="0" w:color="auto"/>
            <w:left w:val="none" w:sz="0" w:space="0" w:color="auto"/>
            <w:bottom w:val="none" w:sz="0" w:space="0" w:color="auto"/>
            <w:right w:val="none" w:sz="0" w:space="0" w:color="auto"/>
          </w:divBdr>
        </w:div>
        <w:div w:id="2036105109">
          <w:marLeft w:val="547"/>
          <w:marRight w:val="0"/>
          <w:marTop w:val="0"/>
          <w:marBottom w:val="0"/>
          <w:divBdr>
            <w:top w:val="none" w:sz="0" w:space="0" w:color="auto"/>
            <w:left w:val="none" w:sz="0" w:space="0" w:color="auto"/>
            <w:bottom w:val="none" w:sz="0" w:space="0" w:color="auto"/>
            <w:right w:val="none" w:sz="0" w:space="0" w:color="auto"/>
          </w:divBdr>
        </w:div>
      </w:divsChild>
    </w:div>
    <w:div w:id="117382286">
      <w:bodyDiv w:val="1"/>
      <w:marLeft w:val="0"/>
      <w:marRight w:val="0"/>
      <w:marTop w:val="0"/>
      <w:marBottom w:val="0"/>
      <w:divBdr>
        <w:top w:val="none" w:sz="0" w:space="0" w:color="auto"/>
        <w:left w:val="none" w:sz="0" w:space="0" w:color="auto"/>
        <w:bottom w:val="none" w:sz="0" w:space="0" w:color="auto"/>
        <w:right w:val="none" w:sz="0" w:space="0" w:color="auto"/>
      </w:divBdr>
      <w:divsChild>
        <w:div w:id="171802503">
          <w:marLeft w:val="547"/>
          <w:marRight w:val="0"/>
          <w:marTop w:val="0"/>
          <w:marBottom w:val="0"/>
          <w:divBdr>
            <w:top w:val="none" w:sz="0" w:space="0" w:color="auto"/>
            <w:left w:val="none" w:sz="0" w:space="0" w:color="auto"/>
            <w:bottom w:val="none" w:sz="0" w:space="0" w:color="auto"/>
            <w:right w:val="none" w:sz="0" w:space="0" w:color="auto"/>
          </w:divBdr>
        </w:div>
      </w:divsChild>
    </w:div>
    <w:div w:id="127169623">
      <w:bodyDiv w:val="1"/>
      <w:marLeft w:val="0"/>
      <w:marRight w:val="0"/>
      <w:marTop w:val="0"/>
      <w:marBottom w:val="0"/>
      <w:divBdr>
        <w:top w:val="none" w:sz="0" w:space="0" w:color="auto"/>
        <w:left w:val="none" w:sz="0" w:space="0" w:color="auto"/>
        <w:bottom w:val="none" w:sz="0" w:space="0" w:color="auto"/>
        <w:right w:val="none" w:sz="0" w:space="0" w:color="auto"/>
      </w:divBdr>
    </w:div>
    <w:div w:id="129592951">
      <w:bodyDiv w:val="1"/>
      <w:marLeft w:val="0"/>
      <w:marRight w:val="0"/>
      <w:marTop w:val="0"/>
      <w:marBottom w:val="0"/>
      <w:divBdr>
        <w:top w:val="none" w:sz="0" w:space="0" w:color="auto"/>
        <w:left w:val="none" w:sz="0" w:space="0" w:color="auto"/>
        <w:bottom w:val="none" w:sz="0" w:space="0" w:color="auto"/>
        <w:right w:val="none" w:sz="0" w:space="0" w:color="auto"/>
      </w:divBdr>
    </w:div>
    <w:div w:id="132797555">
      <w:bodyDiv w:val="1"/>
      <w:marLeft w:val="0"/>
      <w:marRight w:val="0"/>
      <w:marTop w:val="0"/>
      <w:marBottom w:val="0"/>
      <w:divBdr>
        <w:top w:val="none" w:sz="0" w:space="0" w:color="auto"/>
        <w:left w:val="none" w:sz="0" w:space="0" w:color="auto"/>
        <w:bottom w:val="none" w:sz="0" w:space="0" w:color="auto"/>
        <w:right w:val="none" w:sz="0" w:space="0" w:color="auto"/>
      </w:divBdr>
    </w:div>
    <w:div w:id="145588107">
      <w:bodyDiv w:val="1"/>
      <w:marLeft w:val="0"/>
      <w:marRight w:val="0"/>
      <w:marTop w:val="0"/>
      <w:marBottom w:val="0"/>
      <w:divBdr>
        <w:top w:val="none" w:sz="0" w:space="0" w:color="auto"/>
        <w:left w:val="none" w:sz="0" w:space="0" w:color="auto"/>
        <w:bottom w:val="none" w:sz="0" w:space="0" w:color="auto"/>
        <w:right w:val="none" w:sz="0" w:space="0" w:color="auto"/>
      </w:divBdr>
    </w:div>
    <w:div w:id="148786186">
      <w:bodyDiv w:val="1"/>
      <w:marLeft w:val="0"/>
      <w:marRight w:val="0"/>
      <w:marTop w:val="0"/>
      <w:marBottom w:val="0"/>
      <w:divBdr>
        <w:top w:val="none" w:sz="0" w:space="0" w:color="auto"/>
        <w:left w:val="none" w:sz="0" w:space="0" w:color="auto"/>
        <w:bottom w:val="none" w:sz="0" w:space="0" w:color="auto"/>
        <w:right w:val="none" w:sz="0" w:space="0" w:color="auto"/>
      </w:divBdr>
      <w:divsChild>
        <w:div w:id="358971811">
          <w:marLeft w:val="418"/>
          <w:marRight w:val="0"/>
          <w:marTop w:val="120"/>
          <w:marBottom w:val="0"/>
          <w:divBdr>
            <w:top w:val="none" w:sz="0" w:space="0" w:color="auto"/>
            <w:left w:val="none" w:sz="0" w:space="0" w:color="auto"/>
            <w:bottom w:val="none" w:sz="0" w:space="0" w:color="auto"/>
            <w:right w:val="none" w:sz="0" w:space="0" w:color="auto"/>
          </w:divBdr>
        </w:div>
        <w:div w:id="1365985890">
          <w:marLeft w:val="418"/>
          <w:marRight w:val="0"/>
          <w:marTop w:val="0"/>
          <w:marBottom w:val="0"/>
          <w:divBdr>
            <w:top w:val="none" w:sz="0" w:space="0" w:color="auto"/>
            <w:left w:val="none" w:sz="0" w:space="0" w:color="auto"/>
            <w:bottom w:val="none" w:sz="0" w:space="0" w:color="auto"/>
            <w:right w:val="none" w:sz="0" w:space="0" w:color="auto"/>
          </w:divBdr>
        </w:div>
        <w:div w:id="1863084639">
          <w:marLeft w:val="418"/>
          <w:marRight w:val="0"/>
          <w:marTop w:val="120"/>
          <w:marBottom w:val="0"/>
          <w:divBdr>
            <w:top w:val="none" w:sz="0" w:space="0" w:color="auto"/>
            <w:left w:val="none" w:sz="0" w:space="0" w:color="auto"/>
            <w:bottom w:val="none" w:sz="0" w:space="0" w:color="auto"/>
            <w:right w:val="none" w:sz="0" w:space="0" w:color="auto"/>
          </w:divBdr>
        </w:div>
      </w:divsChild>
    </w:div>
    <w:div w:id="153882858">
      <w:bodyDiv w:val="1"/>
      <w:marLeft w:val="0"/>
      <w:marRight w:val="0"/>
      <w:marTop w:val="0"/>
      <w:marBottom w:val="0"/>
      <w:divBdr>
        <w:top w:val="none" w:sz="0" w:space="0" w:color="auto"/>
        <w:left w:val="none" w:sz="0" w:space="0" w:color="auto"/>
        <w:bottom w:val="none" w:sz="0" w:space="0" w:color="auto"/>
        <w:right w:val="none" w:sz="0" w:space="0" w:color="auto"/>
      </w:divBdr>
    </w:div>
    <w:div w:id="160900098">
      <w:bodyDiv w:val="1"/>
      <w:marLeft w:val="0"/>
      <w:marRight w:val="0"/>
      <w:marTop w:val="0"/>
      <w:marBottom w:val="0"/>
      <w:divBdr>
        <w:top w:val="none" w:sz="0" w:space="0" w:color="auto"/>
        <w:left w:val="none" w:sz="0" w:space="0" w:color="auto"/>
        <w:bottom w:val="none" w:sz="0" w:space="0" w:color="auto"/>
        <w:right w:val="none" w:sz="0" w:space="0" w:color="auto"/>
      </w:divBdr>
    </w:div>
    <w:div w:id="163595137">
      <w:bodyDiv w:val="1"/>
      <w:marLeft w:val="0"/>
      <w:marRight w:val="0"/>
      <w:marTop w:val="0"/>
      <w:marBottom w:val="0"/>
      <w:divBdr>
        <w:top w:val="none" w:sz="0" w:space="0" w:color="auto"/>
        <w:left w:val="none" w:sz="0" w:space="0" w:color="auto"/>
        <w:bottom w:val="none" w:sz="0" w:space="0" w:color="auto"/>
        <w:right w:val="none" w:sz="0" w:space="0" w:color="auto"/>
      </w:divBdr>
      <w:divsChild>
        <w:div w:id="135728196">
          <w:marLeft w:val="446"/>
          <w:marRight w:val="0"/>
          <w:marTop w:val="0"/>
          <w:marBottom w:val="0"/>
          <w:divBdr>
            <w:top w:val="none" w:sz="0" w:space="0" w:color="auto"/>
            <w:left w:val="none" w:sz="0" w:space="0" w:color="auto"/>
            <w:bottom w:val="none" w:sz="0" w:space="0" w:color="auto"/>
            <w:right w:val="none" w:sz="0" w:space="0" w:color="auto"/>
          </w:divBdr>
        </w:div>
        <w:div w:id="378939404">
          <w:marLeft w:val="446"/>
          <w:marRight w:val="0"/>
          <w:marTop w:val="0"/>
          <w:marBottom w:val="0"/>
          <w:divBdr>
            <w:top w:val="none" w:sz="0" w:space="0" w:color="auto"/>
            <w:left w:val="none" w:sz="0" w:space="0" w:color="auto"/>
            <w:bottom w:val="none" w:sz="0" w:space="0" w:color="auto"/>
            <w:right w:val="none" w:sz="0" w:space="0" w:color="auto"/>
          </w:divBdr>
        </w:div>
        <w:div w:id="523248820">
          <w:marLeft w:val="446"/>
          <w:marRight w:val="0"/>
          <w:marTop w:val="0"/>
          <w:marBottom w:val="0"/>
          <w:divBdr>
            <w:top w:val="none" w:sz="0" w:space="0" w:color="auto"/>
            <w:left w:val="none" w:sz="0" w:space="0" w:color="auto"/>
            <w:bottom w:val="none" w:sz="0" w:space="0" w:color="auto"/>
            <w:right w:val="none" w:sz="0" w:space="0" w:color="auto"/>
          </w:divBdr>
        </w:div>
        <w:div w:id="734741198">
          <w:marLeft w:val="446"/>
          <w:marRight w:val="0"/>
          <w:marTop w:val="0"/>
          <w:marBottom w:val="0"/>
          <w:divBdr>
            <w:top w:val="none" w:sz="0" w:space="0" w:color="auto"/>
            <w:left w:val="none" w:sz="0" w:space="0" w:color="auto"/>
            <w:bottom w:val="none" w:sz="0" w:space="0" w:color="auto"/>
            <w:right w:val="none" w:sz="0" w:space="0" w:color="auto"/>
          </w:divBdr>
        </w:div>
        <w:div w:id="760415459">
          <w:marLeft w:val="446"/>
          <w:marRight w:val="0"/>
          <w:marTop w:val="0"/>
          <w:marBottom w:val="0"/>
          <w:divBdr>
            <w:top w:val="none" w:sz="0" w:space="0" w:color="auto"/>
            <w:left w:val="none" w:sz="0" w:space="0" w:color="auto"/>
            <w:bottom w:val="none" w:sz="0" w:space="0" w:color="auto"/>
            <w:right w:val="none" w:sz="0" w:space="0" w:color="auto"/>
          </w:divBdr>
        </w:div>
        <w:div w:id="954872166">
          <w:marLeft w:val="446"/>
          <w:marRight w:val="0"/>
          <w:marTop w:val="0"/>
          <w:marBottom w:val="0"/>
          <w:divBdr>
            <w:top w:val="none" w:sz="0" w:space="0" w:color="auto"/>
            <w:left w:val="none" w:sz="0" w:space="0" w:color="auto"/>
            <w:bottom w:val="none" w:sz="0" w:space="0" w:color="auto"/>
            <w:right w:val="none" w:sz="0" w:space="0" w:color="auto"/>
          </w:divBdr>
        </w:div>
        <w:div w:id="1454137133">
          <w:marLeft w:val="446"/>
          <w:marRight w:val="0"/>
          <w:marTop w:val="0"/>
          <w:marBottom w:val="0"/>
          <w:divBdr>
            <w:top w:val="none" w:sz="0" w:space="0" w:color="auto"/>
            <w:left w:val="none" w:sz="0" w:space="0" w:color="auto"/>
            <w:bottom w:val="none" w:sz="0" w:space="0" w:color="auto"/>
            <w:right w:val="none" w:sz="0" w:space="0" w:color="auto"/>
          </w:divBdr>
        </w:div>
        <w:div w:id="1559512626">
          <w:marLeft w:val="446"/>
          <w:marRight w:val="0"/>
          <w:marTop w:val="0"/>
          <w:marBottom w:val="0"/>
          <w:divBdr>
            <w:top w:val="none" w:sz="0" w:space="0" w:color="auto"/>
            <w:left w:val="none" w:sz="0" w:space="0" w:color="auto"/>
            <w:bottom w:val="none" w:sz="0" w:space="0" w:color="auto"/>
            <w:right w:val="none" w:sz="0" w:space="0" w:color="auto"/>
          </w:divBdr>
        </w:div>
        <w:div w:id="1756854365">
          <w:marLeft w:val="446"/>
          <w:marRight w:val="0"/>
          <w:marTop w:val="0"/>
          <w:marBottom w:val="0"/>
          <w:divBdr>
            <w:top w:val="none" w:sz="0" w:space="0" w:color="auto"/>
            <w:left w:val="none" w:sz="0" w:space="0" w:color="auto"/>
            <w:bottom w:val="none" w:sz="0" w:space="0" w:color="auto"/>
            <w:right w:val="none" w:sz="0" w:space="0" w:color="auto"/>
          </w:divBdr>
        </w:div>
      </w:divsChild>
    </w:div>
    <w:div w:id="181095373">
      <w:bodyDiv w:val="1"/>
      <w:marLeft w:val="0"/>
      <w:marRight w:val="0"/>
      <w:marTop w:val="0"/>
      <w:marBottom w:val="0"/>
      <w:divBdr>
        <w:top w:val="none" w:sz="0" w:space="0" w:color="auto"/>
        <w:left w:val="none" w:sz="0" w:space="0" w:color="auto"/>
        <w:bottom w:val="none" w:sz="0" w:space="0" w:color="auto"/>
        <w:right w:val="none" w:sz="0" w:space="0" w:color="auto"/>
      </w:divBdr>
    </w:div>
    <w:div w:id="223294153">
      <w:bodyDiv w:val="1"/>
      <w:marLeft w:val="0"/>
      <w:marRight w:val="0"/>
      <w:marTop w:val="0"/>
      <w:marBottom w:val="0"/>
      <w:divBdr>
        <w:top w:val="none" w:sz="0" w:space="0" w:color="auto"/>
        <w:left w:val="none" w:sz="0" w:space="0" w:color="auto"/>
        <w:bottom w:val="none" w:sz="0" w:space="0" w:color="auto"/>
        <w:right w:val="none" w:sz="0" w:space="0" w:color="auto"/>
      </w:divBdr>
      <w:divsChild>
        <w:div w:id="480973939">
          <w:marLeft w:val="547"/>
          <w:marRight w:val="0"/>
          <w:marTop w:val="0"/>
          <w:marBottom w:val="0"/>
          <w:divBdr>
            <w:top w:val="none" w:sz="0" w:space="0" w:color="auto"/>
            <w:left w:val="none" w:sz="0" w:space="0" w:color="auto"/>
            <w:bottom w:val="none" w:sz="0" w:space="0" w:color="auto"/>
            <w:right w:val="none" w:sz="0" w:space="0" w:color="auto"/>
          </w:divBdr>
        </w:div>
      </w:divsChild>
    </w:div>
    <w:div w:id="225721113">
      <w:bodyDiv w:val="1"/>
      <w:marLeft w:val="0"/>
      <w:marRight w:val="0"/>
      <w:marTop w:val="0"/>
      <w:marBottom w:val="0"/>
      <w:divBdr>
        <w:top w:val="none" w:sz="0" w:space="0" w:color="auto"/>
        <w:left w:val="none" w:sz="0" w:space="0" w:color="auto"/>
        <w:bottom w:val="none" w:sz="0" w:space="0" w:color="auto"/>
        <w:right w:val="none" w:sz="0" w:space="0" w:color="auto"/>
      </w:divBdr>
    </w:div>
    <w:div w:id="265970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6283">
          <w:marLeft w:val="446"/>
          <w:marRight w:val="0"/>
          <w:marTop w:val="0"/>
          <w:marBottom w:val="0"/>
          <w:divBdr>
            <w:top w:val="none" w:sz="0" w:space="0" w:color="auto"/>
            <w:left w:val="none" w:sz="0" w:space="0" w:color="auto"/>
            <w:bottom w:val="none" w:sz="0" w:space="0" w:color="auto"/>
            <w:right w:val="none" w:sz="0" w:space="0" w:color="auto"/>
          </w:divBdr>
        </w:div>
      </w:divsChild>
    </w:div>
    <w:div w:id="299111668">
      <w:bodyDiv w:val="1"/>
      <w:marLeft w:val="0"/>
      <w:marRight w:val="0"/>
      <w:marTop w:val="0"/>
      <w:marBottom w:val="0"/>
      <w:divBdr>
        <w:top w:val="none" w:sz="0" w:space="0" w:color="auto"/>
        <w:left w:val="none" w:sz="0" w:space="0" w:color="auto"/>
        <w:bottom w:val="none" w:sz="0" w:space="0" w:color="auto"/>
        <w:right w:val="none" w:sz="0" w:space="0" w:color="auto"/>
      </w:divBdr>
    </w:div>
    <w:div w:id="332539050">
      <w:bodyDiv w:val="1"/>
      <w:marLeft w:val="0"/>
      <w:marRight w:val="0"/>
      <w:marTop w:val="0"/>
      <w:marBottom w:val="0"/>
      <w:divBdr>
        <w:top w:val="none" w:sz="0" w:space="0" w:color="auto"/>
        <w:left w:val="none" w:sz="0" w:space="0" w:color="auto"/>
        <w:bottom w:val="none" w:sz="0" w:space="0" w:color="auto"/>
        <w:right w:val="none" w:sz="0" w:space="0" w:color="auto"/>
      </w:divBdr>
    </w:div>
    <w:div w:id="368645858">
      <w:bodyDiv w:val="1"/>
      <w:marLeft w:val="0"/>
      <w:marRight w:val="0"/>
      <w:marTop w:val="0"/>
      <w:marBottom w:val="0"/>
      <w:divBdr>
        <w:top w:val="none" w:sz="0" w:space="0" w:color="auto"/>
        <w:left w:val="none" w:sz="0" w:space="0" w:color="auto"/>
        <w:bottom w:val="none" w:sz="0" w:space="0" w:color="auto"/>
        <w:right w:val="none" w:sz="0" w:space="0" w:color="auto"/>
      </w:divBdr>
    </w:div>
    <w:div w:id="372967800">
      <w:bodyDiv w:val="1"/>
      <w:marLeft w:val="0"/>
      <w:marRight w:val="0"/>
      <w:marTop w:val="0"/>
      <w:marBottom w:val="0"/>
      <w:divBdr>
        <w:top w:val="none" w:sz="0" w:space="0" w:color="auto"/>
        <w:left w:val="none" w:sz="0" w:space="0" w:color="auto"/>
        <w:bottom w:val="none" w:sz="0" w:space="0" w:color="auto"/>
        <w:right w:val="none" w:sz="0" w:space="0" w:color="auto"/>
      </w:divBdr>
    </w:div>
    <w:div w:id="385641653">
      <w:bodyDiv w:val="1"/>
      <w:marLeft w:val="0"/>
      <w:marRight w:val="0"/>
      <w:marTop w:val="0"/>
      <w:marBottom w:val="0"/>
      <w:divBdr>
        <w:top w:val="none" w:sz="0" w:space="0" w:color="auto"/>
        <w:left w:val="none" w:sz="0" w:space="0" w:color="auto"/>
        <w:bottom w:val="none" w:sz="0" w:space="0" w:color="auto"/>
        <w:right w:val="none" w:sz="0" w:space="0" w:color="auto"/>
      </w:divBdr>
    </w:div>
    <w:div w:id="423233492">
      <w:bodyDiv w:val="1"/>
      <w:marLeft w:val="0"/>
      <w:marRight w:val="0"/>
      <w:marTop w:val="0"/>
      <w:marBottom w:val="0"/>
      <w:divBdr>
        <w:top w:val="none" w:sz="0" w:space="0" w:color="auto"/>
        <w:left w:val="none" w:sz="0" w:space="0" w:color="auto"/>
        <w:bottom w:val="none" w:sz="0" w:space="0" w:color="auto"/>
        <w:right w:val="none" w:sz="0" w:space="0" w:color="auto"/>
      </w:divBdr>
      <w:divsChild>
        <w:div w:id="899243729">
          <w:marLeft w:val="547"/>
          <w:marRight w:val="0"/>
          <w:marTop w:val="0"/>
          <w:marBottom w:val="0"/>
          <w:divBdr>
            <w:top w:val="none" w:sz="0" w:space="0" w:color="auto"/>
            <w:left w:val="none" w:sz="0" w:space="0" w:color="auto"/>
            <w:bottom w:val="none" w:sz="0" w:space="0" w:color="auto"/>
            <w:right w:val="none" w:sz="0" w:space="0" w:color="auto"/>
          </w:divBdr>
        </w:div>
      </w:divsChild>
    </w:div>
    <w:div w:id="431169443">
      <w:bodyDiv w:val="1"/>
      <w:marLeft w:val="0"/>
      <w:marRight w:val="0"/>
      <w:marTop w:val="0"/>
      <w:marBottom w:val="0"/>
      <w:divBdr>
        <w:top w:val="none" w:sz="0" w:space="0" w:color="auto"/>
        <w:left w:val="none" w:sz="0" w:space="0" w:color="auto"/>
        <w:bottom w:val="none" w:sz="0" w:space="0" w:color="auto"/>
        <w:right w:val="none" w:sz="0" w:space="0" w:color="auto"/>
      </w:divBdr>
      <w:divsChild>
        <w:div w:id="1965455419">
          <w:marLeft w:val="446"/>
          <w:marRight w:val="0"/>
          <w:marTop w:val="0"/>
          <w:marBottom w:val="0"/>
          <w:divBdr>
            <w:top w:val="none" w:sz="0" w:space="0" w:color="auto"/>
            <w:left w:val="none" w:sz="0" w:space="0" w:color="auto"/>
            <w:bottom w:val="none" w:sz="0" w:space="0" w:color="auto"/>
            <w:right w:val="none" w:sz="0" w:space="0" w:color="auto"/>
          </w:divBdr>
        </w:div>
        <w:div w:id="1130368238">
          <w:marLeft w:val="446"/>
          <w:marRight w:val="0"/>
          <w:marTop w:val="0"/>
          <w:marBottom w:val="0"/>
          <w:divBdr>
            <w:top w:val="none" w:sz="0" w:space="0" w:color="auto"/>
            <w:left w:val="none" w:sz="0" w:space="0" w:color="auto"/>
            <w:bottom w:val="none" w:sz="0" w:space="0" w:color="auto"/>
            <w:right w:val="none" w:sz="0" w:space="0" w:color="auto"/>
          </w:divBdr>
        </w:div>
      </w:divsChild>
    </w:div>
    <w:div w:id="432668768">
      <w:bodyDiv w:val="1"/>
      <w:marLeft w:val="0"/>
      <w:marRight w:val="0"/>
      <w:marTop w:val="0"/>
      <w:marBottom w:val="0"/>
      <w:divBdr>
        <w:top w:val="none" w:sz="0" w:space="0" w:color="auto"/>
        <w:left w:val="none" w:sz="0" w:space="0" w:color="auto"/>
        <w:bottom w:val="none" w:sz="0" w:space="0" w:color="auto"/>
        <w:right w:val="none" w:sz="0" w:space="0" w:color="auto"/>
      </w:divBdr>
    </w:div>
    <w:div w:id="443305617">
      <w:bodyDiv w:val="1"/>
      <w:marLeft w:val="0"/>
      <w:marRight w:val="0"/>
      <w:marTop w:val="0"/>
      <w:marBottom w:val="0"/>
      <w:divBdr>
        <w:top w:val="none" w:sz="0" w:space="0" w:color="auto"/>
        <w:left w:val="none" w:sz="0" w:space="0" w:color="auto"/>
        <w:bottom w:val="none" w:sz="0" w:space="0" w:color="auto"/>
        <w:right w:val="none" w:sz="0" w:space="0" w:color="auto"/>
      </w:divBdr>
    </w:div>
    <w:div w:id="455758215">
      <w:bodyDiv w:val="1"/>
      <w:marLeft w:val="0"/>
      <w:marRight w:val="0"/>
      <w:marTop w:val="0"/>
      <w:marBottom w:val="0"/>
      <w:divBdr>
        <w:top w:val="none" w:sz="0" w:space="0" w:color="auto"/>
        <w:left w:val="none" w:sz="0" w:space="0" w:color="auto"/>
        <w:bottom w:val="none" w:sz="0" w:space="0" w:color="auto"/>
        <w:right w:val="none" w:sz="0" w:space="0" w:color="auto"/>
      </w:divBdr>
    </w:div>
    <w:div w:id="465048841">
      <w:bodyDiv w:val="1"/>
      <w:marLeft w:val="0"/>
      <w:marRight w:val="0"/>
      <w:marTop w:val="0"/>
      <w:marBottom w:val="0"/>
      <w:divBdr>
        <w:top w:val="none" w:sz="0" w:space="0" w:color="auto"/>
        <w:left w:val="none" w:sz="0" w:space="0" w:color="auto"/>
        <w:bottom w:val="none" w:sz="0" w:space="0" w:color="auto"/>
        <w:right w:val="none" w:sz="0" w:space="0" w:color="auto"/>
      </w:divBdr>
    </w:div>
    <w:div w:id="467212039">
      <w:bodyDiv w:val="1"/>
      <w:marLeft w:val="0"/>
      <w:marRight w:val="0"/>
      <w:marTop w:val="0"/>
      <w:marBottom w:val="0"/>
      <w:divBdr>
        <w:top w:val="none" w:sz="0" w:space="0" w:color="auto"/>
        <w:left w:val="none" w:sz="0" w:space="0" w:color="auto"/>
        <w:bottom w:val="none" w:sz="0" w:space="0" w:color="auto"/>
        <w:right w:val="none" w:sz="0" w:space="0" w:color="auto"/>
      </w:divBdr>
    </w:div>
    <w:div w:id="479079940">
      <w:bodyDiv w:val="1"/>
      <w:marLeft w:val="0"/>
      <w:marRight w:val="0"/>
      <w:marTop w:val="0"/>
      <w:marBottom w:val="0"/>
      <w:divBdr>
        <w:top w:val="none" w:sz="0" w:space="0" w:color="auto"/>
        <w:left w:val="none" w:sz="0" w:space="0" w:color="auto"/>
        <w:bottom w:val="none" w:sz="0" w:space="0" w:color="auto"/>
        <w:right w:val="none" w:sz="0" w:space="0" w:color="auto"/>
      </w:divBdr>
    </w:div>
    <w:div w:id="500854642">
      <w:bodyDiv w:val="1"/>
      <w:marLeft w:val="0"/>
      <w:marRight w:val="0"/>
      <w:marTop w:val="0"/>
      <w:marBottom w:val="0"/>
      <w:divBdr>
        <w:top w:val="none" w:sz="0" w:space="0" w:color="auto"/>
        <w:left w:val="none" w:sz="0" w:space="0" w:color="auto"/>
        <w:bottom w:val="none" w:sz="0" w:space="0" w:color="auto"/>
        <w:right w:val="none" w:sz="0" w:space="0" w:color="auto"/>
      </w:divBdr>
      <w:divsChild>
        <w:div w:id="641275669">
          <w:marLeft w:val="274"/>
          <w:marRight w:val="0"/>
          <w:marTop w:val="0"/>
          <w:marBottom w:val="0"/>
          <w:divBdr>
            <w:top w:val="none" w:sz="0" w:space="0" w:color="auto"/>
            <w:left w:val="none" w:sz="0" w:space="0" w:color="auto"/>
            <w:bottom w:val="none" w:sz="0" w:space="0" w:color="auto"/>
            <w:right w:val="none" w:sz="0" w:space="0" w:color="auto"/>
          </w:divBdr>
        </w:div>
      </w:divsChild>
    </w:div>
    <w:div w:id="512499922">
      <w:bodyDiv w:val="1"/>
      <w:marLeft w:val="0"/>
      <w:marRight w:val="0"/>
      <w:marTop w:val="0"/>
      <w:marBottom w:val="0"/>
      <w:divBdr>
        <w:top w:val="none" w:sz="0" w:space="0" w:color="auto"/>
        <w:left w:val="none" w:sz="0" w:space="0" w:color="auto"/>
        <w:bottom w:val="none" w:sz="0" w:space="0" w:color="auto"/>
        <w:right w:val="none" w:sz="0" w:space="0" w:color="auto"/>
      </w:divBdr>
      <w:divsChild>
        <w:div w:id="242221359">
          <w:marLeft w:val="1166"/>
          <w:marRight w:val="0"/>
          <w:marTop w:val="0"/>
          <w:marBottom w:val="0"/>
          <w:divBdr>
            <w:top w:val="none" w:sz="0" w:space="0" w:color="auto"/>
            <w:left w:val="none" w:sz="0" w:space="0" w:color="auto"/>
            <w:bottom w:val="none" w:sz="0" w:space="0" w:color="auto"/>
            <w:right w:val="none" w:sz="0" w:space="0" w:color="auto"/>
          </w:divBdr>
        </w:div>
        <w:div w:id="506403803">
          <w:marLeft w:val="1166"/>
          <w:marRight w:val="0"/>
          <w:marTop w:val="0"/>
          <w:marBottom w:val="0"/>
          <w:divBdr>
            <w:top w:val="none" w:sz="0" w:space="0" w:color="auto"/>
            <w:left w:val="none" w:sz="0" w:space="0" w:color="auto"/>
            <w:bottom w:val="none" w:sz="0" w:space="0" w:color="auto"/>
            <w:right w:val="none" w:sz="0" w:space="0" w:color="auto"/>
          </w:divBdr>
        </w:div>
      </w:divsChild>
    </w:div>
    <w:div w:id="521431980">
      <w:bodyDiv w:val="1"/>
      <w:marLeft w:val="0"/>
      <w:marRight w:val="0"/>
      <w:marTop w:val="0"/>
      <w:marBottom w:val="0"/>
      <w:divBdr>
        <w:top w:val="none" w:sz="0" w:space="0" w:color="auto"/>
        <w:left w:val="none" w:sz="0" w:space="0" w:color="auto"/>
        <w:bottom w:val="none" w:sz="0" w:space="0" w:color="auto"/>
        <w:right w:val="none" w:sz="0" w:space="0" w:color="auto"/>
      </w:divBdr>
      <w:divsChild>
        <w:div w:id="1640183702">
          <w:marLeft w:val="360"/>
          <w:marRight w:val="0"/>
          <w:marTop w:val="0"/>
          <w:marBottom w:val="72"/>
          <w:divBdr>
            <w:top w:val="none" w:sz="0" w:space="0" w:color="auto"/>
            <w:left w:val="none" w:sz="0" w:space="0" w:color="auto"/>
            <w:bottom w:val="none" w:sz="0" w:space="0" w:color="auto"/>
            <w:right w:val="none" w:sz="0" w:space="0" w:color="auto"/>
          </w:divBdr>
        </w:div>
      </w:divsChild>
    </w:div>
    <w:div w:id="568004472">
      <w:bodyDiv w:val="1"/>
      <w:marLeft w:val="0"/>
      <w:marRight w:val="0"/>
      <w:marTop w:val="0"/>
      <w:marBottom w:val="0"/>
      <w:divBdr>
        <w:top w:val="none" w:sz="0" w:space="0" w:color="auto"/>
        <w:left w:val="none" w:sz="0" w:space="0" w:color="auto"/>
        <w:bottom w:val="none" w:sz="0" w:space="0" w:color="auto"/>
        <w:right w:val="none" w:sz="0" w:space="0" w:color="auto"/>
      </w:divBdr>
      <w:divsChild>
        <w:div w:id="1413162191">
          <w:marLeft w:val="547"/>
          <w:marRight w:val="0"/>
          <w:marTop w:val="0"/>
          <w:marBottom w:val="0"/>
          <w:divBdr>
            <w:top w:val="none" w:sz="0" w:space="0" w:color="auto"/>
            <w:left w:val="none" w:sz="0" w:space="0" w:color="auto"/>
            <w:bottom w:val="none" w:sz="0" w:space="0" w:color="auto"/>
            <w:right w:val="none" w:sz="0" w:space="0" w:color="auto"/>
          </w:divBdr>
        </w:div>
      </w:divsChild>
    </w:div>
    <w:div w:id="588347413">
      <w:bodyDiv w:val="1"/>
      <w:marLeft w:val="0"/>
      <w:marRight w:val="0"/>
      <w:marTop w:val="0"/>
      <w:marBottom w:val="0"/>
      <w:divBdr>
        <w:top w:val="none" w:sz="0" w:space="0" w:color="auto"/>
        <w:left w:val="none" w:sz="0" w:space="0" w:color="auto"/>
        <w:bottom w:val="none" w:sz="0" w:space="0" w:color="auto"/>
        <w:right w:val="none" w:sz="0" w:space="0" w:color="auto"/>
      </w:divBdr>
    </w:div>
    <w:div w:id="604187930">
      <w:bodyDiv w:val="1"/>
      <w:marLeft w:val="0"/>
      <w:marRight w:val="0"/>
      <w:marTop w:val="0"/>
      <w:marBottom w:val="0"/>
      <w:divBdr>
        <w:top w:val="none" w:sz="0" w:space="0" w:color="auto"/>
        <w:left w:val="none" w:sz="0" w:space="0" w:color="auto"/>
        <w:bottom w:val="none" w:sz="0" w:space="0" w:color="auto"/>
        <w:right w:val="none" w:sz="0" w:space="0" w:color="auto"/>
      </w:divBdr>
    </w:div>
    <w:div w:id="613171404">
      <w:bodyDiv w:val="1"/>
      <w:marLeft w:val="0"/>
      <w:marRight w:val="0"/>
      <w:marTop w:val="0"/>
      <w:marBottom w:val="0"/>
      <w:divBdr>
        <w:top w:val="none" w:sz="0" w:space="0" w:color="auto"/>
        <w:left w:val="none" w:sz="0" w:space="0" w:color="auto"/>
        <w:bottom w:val="none" w:sz="0" w:space="0" w:color="auto"/>
        <w:right w:val="none" w:sz="0" w:space="0" w:color="auto"/>
      </w:divBdr>
    </w:div>
    <w:div w:id="616449390">
      <w:bodyDiv w:val="1"/>
      <w:marLeft w:val="0"/>
      <w:marRight w:val="0"/>
      <w:marTop w:val="0"/>
      <w:marBottom w:val="0"/>
      <w:divBdr>
        <w:top w:val="none" w:sz="0" w:space="0" w:color="auto"/>
        <w:left w:val="none" w:sz="0" w:space="0" w:color="auto"/>
        <w:bottom w:val="none" w:sz="0" w:space="0" w:color="auto"/>
        <w:right w:val="none" w:sz="0" w:space="0" w:color="auto"/>
      </w:divBdr>
    </w:div>
    <w:div w:id="643513426">
      <w:bodyDiv w:val="1"/>
      <w:marLeft w:val="0"/>
      <w:marRight w:val="0"/>
      <w:marTop w:val="0"/>
      <w:marBottom w:val="0"/>
      <w:divBdr>
        <w:top w:val="none" w:sz="0" w:space="0" w:color="auto"/>
        <w:left w:val="none" w:sz="0" w:space="0" w:color="auto"/>
        <w:bottom w:val="none" w:sz="0" w:space="0" w:color="auto"/>
        <w:right w:val="none" w:sz="0" w:space="0" w:color="auto"/>
      </w:divBdr>
    </w:div>
    <w:div w:id="694235087">
      <w:bodyDiv w:val="1"/>
      <w:marLeft w:val="0"/>
      <w:marRight w:val="0"/>
      <w:marTop w:val="0"/>
      <w:marBottom w:val="0"/>
      <w:divBdr>
        <w:top w:val="none" w:sz="0" w:space="0" w:color="auto"/>
        <w:left w:val="none" w:sz="0" w:space="0" w:color="auto"/>
        <w:bottom w:val="none" w:sz="0" w:space="0" w:color="auto"/>
        <w:right w:val="none" w:sz="0" w:space="0" w:color="auto"/>
      </w:divBdr>
    </w:div>
    <w:div w:id="706686604">
      <w:bodyDiv w:val="1"/>
      <w:marLeft w:val="0"/>
      <w:marRight w:val="0"/>
      <w:marTop w:val="0"/>
      <w:marBottom w:val="0"/>
      <w:divBdr>
        <w:top w:val="none" w:sz="0" w:space="0" w:color="auto"/>
        <w:left w:val="none" w:sz="0" w:space="0" w:color="auto"/>
        <w:bottom w:val="none" w:sz="0" w:space="0" w:color="auto"/>
        <w:right w:val="none" w:sz="0" w:space="0" w:color="auto"/>
      </w:divBdr>
    </w:div>
    <w:div w:id="715593396">
      <w:bodyDiv w:val="1"/>
      <w:marLeft w:val="0"/>
      <w:marRight w:val="0"/>
      <w:marTop w:val="0"/>
      <w:marBottom w:val="0"/>
      <w:divBdr>
        <w:top w:val="none" w:sz="0" w:space="0" w:color="auto"/>
        <w:left w:val="none" w:sz="0" w:space="0" w:color="auto"/>
        <w:bottom w:val="none" w:sz="0" w:space="0" w:color="auto"/>
        <w:right w:val="none" w:sz="0" w:space="0" w:color="auto"/>
      </w:divBdr>
      <w:divsChild>
        <w:div w:id="535654112">
          <w:marLeft w:val="1166"/>
          <w:marRight w:val="0"/>
          <w:marTop w:val="0"/>
          <w:marBottom w:val="0"/>
          <w:divBdr>
            <w:top w:val="none" w:sz="0" w:space="0" w:color="auto"/>
            <w:left w:val="none" w:sz="0" w:space="0" w:color="auto"/>
            <w:bottom w:val="none" w:sz="0" w:space="0" w:color="auto"/>
            <w:right w:val="none" w:sz="0" w:space="0" w:color="auto"/>
          </w:divBdr>
        </w:div>
        <w:div w:id="689330914">
          <w:marLeft w:val="1166"/>
          <w:marRight w:val="0"/>
          <w:marTop w:val="0"/>
          <w:marBottom w:val="0"/>
          <w:divBdr>
            <w:top w:val="none" w:sz="0" w:space="0" w:color="auto"/>
            <w:left w:val="none" w:sz="0" w:space="0" w:color="auto"/>
            <w:bottom w:val="none" w:sz="0" w:space="0" w:color="auto"/>
            <w:right w:val="none" w:sz="0" w:space="0" w:color="auto"/>
          </w:divBdr>
        </w:div>
        <w:div w:id="1285503298">
          <w:marLeft w:val="1166"/>
          <w:marRight w:val="0"/>
          <w:marTop w:val="0"/>
          <w:marBottom w:val="0"/>
          <w:divBdr>
            <w:top w:val="none" w:sz="0" w:space="0" w:color="auto"/>
            <w:left w:val="none" w:sz="0" w:space="0" w:color="auto"/>
            <w:bottom w:val="none" w:sz="0" w:space="0" w:color="auto"/>
            <w:right w:val="none" w:sz="0" w:space="0" w:color="auto"/>
          </w:divBdr>
        </w:div>
      </w:divsChild>
    </w:div>
    <w:div w:id="735471851">
      <w:bodyDiv w:val="1"/>
      <w:marLeft w:val="0"/>
      <w:marRight w:val="0"/>
      <w:marTop w:val="0"/>
      <w:marBottom w:val="0"/>
      <w:divBdr>
        <w:top w:val="none" w:sz="0" w:space="0" w:color="auto"/>
        <w:left w:val="none" w:sz="0" w:space="0" w:color="auto"/>
        <w:bottom w:val="none" w:sz="0" w:space="0" w:color="auto"/>
        <w:right w:val="none" w:sz="0" w:space="0" w:color="auto"/>
      </w:divBdr>
      <w:divsChild>
        <w:div w:id="87388970">
          <w:marLeft w:val="547"/>
          <w:marRight w:val="0"/>
          <w:marTop w:val="0"/>
          <w:marBottom w:val="0"/>
          <w:divBdr>
            <w:top w:val="none" w:sz="0" w:space="0" w:color="auto"/>
            <w:left w:val="none" w:sz="0" w:space="0" w:color="auto"/>
            <w:bottom w:val="none" w:sz="0" w:space="0" w:color="auto"/>
            <w:right w:val="none" w:sz="0" w:space="0" w:color="auto"/>
          </w:divBdr>
        </w:div>
      </w:divsChild>
    </w:div>
    <w:div w:id="774251772">
      <w:bodyDiv w:val="1"/>
      <w:marLeft w:val="0"/>
      <w:marRight w:val="0"/>
      <w:marTop w:val="0"/>
      <w:marBottom w:val="0"/>
      <w:divBdr>
        <w:top w:val="none" w:sz="0" w:space="0" w:color="auto"/>
        <w:left w:val="none" w:sz="0" w:space="0" w:color="auto"/>
        <w:bottom w:val="none" w:sz="0" w:space="0" w:color="auto"/>
        <w:right w:val="none" w:sz="0" w:space="0" w:color="auto"/>
      </w:divBdr>
    </w:div>
    <w:div w:id="795375606">
      <w:bodyDiv w:val="1"/>
      <w:marLeft w:val="0"/>
      <w:marRight w:val="0"/>
      <w:marTop w:val="0"/>
      <w:marBottom w:val="0"/>
      <w:divBdr>
        <w:top w:val="none" w:sz="0" w:space="0" w:color="auto"/>
        <w:left w:val="none" w:sz="0" w:space="0" w:color="auto"/>
        <w:bottom w:val="none" w:sz="0" w:space="0" w:color="auto"/>
        <w:right w:val="none" w:sz="0" w:space="0" w:color="auto"/>
      </w:divBdr>
      <w:divsChild>
        <w:div w:id="2142575799">
          <w:marLeft w:val="446"/>
          <w:marRight w:val="0"/>
          <w:marTop w:val="0"/>
          <w:marBottom w:val="0"/>
          <w:divBdr>
            <w:top w:val="none" w:sz="0" w:space="0" w:color="auto"/>
            <w:left w:val="none" w:sz="0" w:space="0" w:color="auto"/>
            <w:bottom w:val="none" w:sz="0" w:space="0" w:color="auto"/>
            <w:right w:val="none" w:sz="0" w:space="0" w:color="auto"/>
          </w:divBdr>
        </w:div>
      </w:divsChild>
    </w:div>
    <w:div w:id="797914896">
      <w:bodyDiv w:val="1"/>
      <w:marLeft w:val="0"/>
      <w:marRight w:val="0"/>
      <w:marTop w:val="0"/>
      <w:marBottom w:val="0"/>
      <w:divBdr>
        <w:top w:val="none" w:sz="0" w:space="0" w:color="auto"/>
        <w:left w:val="none" w:sz="0" w:space="0" w:color="auto"/>
        <w:bottom w:val="none" w:sz="0" w:space="0" w:color="auto"/>
        <w:right w:val="none" w:sz="0" w:space="0" w:color="auto"/>
      </w:divBdr>
    </w:div>
    <w:div w:id="810050650">
      <w:bodyDiv w:val="1"/>
      <w:marLeft w:val="0"/>
      <w:marRight w:val="0"/>
      <w:marTop w:val="0"/>
      <w:marBottom w:val="0"/>
      <w:divBdr>
        <w:top w:val="none" w:sz="0" w:space="0" w:color="auto"/>
        <w:left w:val="none" w:sz="0" w:space="0" w:color="auto"/>
        <w:bottom w:val="none" w:sz="0" w:space="0" w:color="auto"/>
        <w:right w:val="none" w:sz="0" w:space="0" w:color="auto"/>
      </w:divBdr>
    </w:div>
    <w:div w:id="811797725">
      <w:bodyDiv w:val="1"/>
      <w:marLeft w:val="0"/>
      <w:marRight w:val="0"/>
      <w:marTop w:val="0"/>
      <w:marBottom w:val="0"/>
      <w:divBdr>
        <w:top w:val="none" w:sz="0" w:space="0" w:color="auto"/>
        <w:left w:val="none" w:sz="0" w:space="0" w:color="auto"/>
        <w:bottom w:val="none" w:sz="0" w:space="0" w:color="auto"/>
        <w:right w:val="none" w:sz="0" w:space="0" w:color="auto"/>
      </w:divBdr>
      <w:divsChild>
        <w:div w:id="77794856">
          <w:marLeft w:val="547"/>
          <w:marRight w:val="0"/>
          <w:marTop w:val="0"/>
          <w:marBottom w:val="0"/>
          <w:divBdr>
            <w:top w:val="none" w:sz="0" w:space="0" w:color="auto"/>
            <w:left w:val="none" w:sz="0" w:space="0" w:color="auto"/>
            <w:bottom w:val="none" w:sz="0" w:space="0" w:color="auto"/>
            <w:right w:val="none" w:sz="0" w:space="0" w:color="auto"/>
          </w:divBdr>
        </w:div>
      </w:divsChild>
    </w:div>
    <w:div w:id="831524176">
      <w:bodyDiv w:val="1"/>
      <w:marLeft w:val="0"/>
      <w:marRight w:val="0"/>
      <w:marTop w:val="0"/>
      <w:marBottom w:val="0"/>
      <w:divBdr>
        <w:top w:val="none" w:sz="0" w:space="0" w:color="auto"/>
        <w:left w:val="none" w:sz="0" w:space="0" w:color="auto"/>
        <w:bottom w:val="none" w:sz="0" w:space="0" w:color="auto"/>
        <w:right w:val="none" w:sz="0" w:space="0" w:color="auto"/>
      </w:divBdr>
    </w:div>
    <w:div w:id="832768104">
      <w:bodyDiv w:val="1"/>
      <w:marLeft w:val="0"/>
      <w:marRight w:val="0"/>
      <w:marTop w:val="0"/>
      <w:marBottom w:val="0"/>
      <w:divBdr>
        <w:top w:val="none" w:sz="0" w:space="0" w:color="auto"/>
        <w:left w:val="none" w:sz="0" w:space="0" w:color="auto"/>
        <w:bottom w:val="none" w:sz="0" w:space="0" w:color="auto"/>
        <w:right w:val="none" w:sz="0" w:space="0" w:color="auto"/>
      </w:divBdr>
      <w:divsChild>
        <w:div w:id="1047417850">
          <w:marLeft w:val="547"/>
          <w:marRight w:val="0"/>
          <w:marTop w:val="0"/>
          <w:marBottom w:val="0"/>
          <w:divBdr>
            <w:top w:val="none" w:sz="0" w:space="0" w:color="auto"/>
            <w:left w:val="none" w:sz="0" w:space="0" w:color="auto"/>
            <w:bottom w:val="none" w:sz="0" w:space="0" w:color="auto"/>
            <w:right w:val="none" w:sz="0" w:space="0" w:color="auto"/>
          </w:divBdr>
        </w:div>
      </w:divsChild>
    </w:div>
    <w:div w:id="841776777">
      <w:bodyDiv w:val="1"/>
      <w:marLeft w:val="0"/>
      <w:marRight w:val="0"/>
      <w:marTop w:val="0"/>
      <w:marBottom w:val="0"/>
      <w:divBdr>
        <w:top w:val="none" w:sz="0" w:space="0" w:color="auto"/>
        <w:left w:val="none" w:sz="0" w:space="0" w:color="auto"/>
        <w:bottom w:val="none" w:sz="0" w:space="0" w:color="auto"/>
        <w:right w:val="none" w:sz="0" w:space="0" w:color="auto"/>
      </w:divBdr>
    </w:div>
    <w:div w:id="849412703">
      <w:bodyDiv w:val="1"/>
      <w:marLeft w:val="0"/>
      <w:marRight w:val="0"/>
      <w:marTop w:val="0"/>
      <w:marBottom w:val="0"/>
      <w:divBdr>
        <w:top w:val="none" w:sz="0" w:space="0" w:color="auto"/>
        <w:left w:val="none" w:sz="0" w:space="0" w:color="auto"/>
        <w:bottom w:val="none" w:sz="0" w:space="0" w:color="auto"/>
        <w:right w:val="none" w:sz="0" w:space="0" w:color="auto"/>
      </w:divBdr>
    </w:div>
    <w:div w:id="862936340">
      <w:bodyDiv w:val="1"/>
      <w:marLeft w:val="0"/>
      <w:marRight w:val="0"/>
      <w:marTop w:val="0"/>
      <w:marBottom w:val="0"/>
      <w:divBdr>
        <w:top w:val="none" w:sz="0" w:space="0" w:color="auto"/>
        <w:left w:val="none" w:sz="0" w:space="0" w:color="auto"/>
        <w:bottom w:val="none" w:sz="0" w:space="0" w:color="auto"/>
        <w:right w:val="none" w:sz="0" w:space="0" w:color="auto"/>
      </w:divBdr>
    </w:div>
    <w:div w:id="864102564">
      <w:bodyDiv w:val="1"/>
      <w:marLeft w:val="0"/>
      <w:marRight w:val="0"/>
      <w:marTop w:val="0"/>
      <w:marBottom w:val="0"/>
      <w:divBdr>
        <w:top w:val="none" w:sz="0" w:space="0" w:color="auto"/>
        <w:left w:val="none" w:sz="0" w:space="0" w:color="auto"/>
        <w:bottom w:val="none" w:sz="0" w:space="0" w:color="auto"/>
        <w:right w:val="none" w:sz="0" w:space="0" w:color="auto"/>
      </w:divBdr>
    </w:div>
    <w:div w:id="875888663">
      <w:bodyDiv w:val="1"/>
      <w:marLeft w:val="0"/>
      <w:marRight w:val="0"/>
      <w:marTop w:val="0"/>
      <w:marBottom w:val="0"/>
      <w:divBdr>
        <w:top w:val="none" w:sz="0" w:space="0" w:color="auto"/>
        <w:left w:val="none" w:sz="0" w:space="0" w:color="auto"/>
        <w:bottom w:val="none" w:sz="0" w:space="0" w:color="auto"/>
        <w:right w:val="none" w:sz="0" w:space="0" w:color="auto"/>
      </w:divBdr>
    </w:div>
    <w:div w:id="879558775">
      <w:bodyDiv w:val="1"/>
      <w:marLeft w:val="0"/>
      <w:marRight w:val="0"/>
      <w:marTop w:val="0"/>
      <w:marBottom w:val="0"/>
      <w:divBdr>
        <w:top w:val="none" w:sz="0" w:space="0" w:color="auto"/>
        <w:left w:val="none" w:sz="0" w:space="0" w:color="auto"/>
        <w:bottom w:val="none" w:sz="0" w:space="0" w:color="auto"/>
        <w:right w:val="none" w:sz="0" w:space="0" w:color="auto"/>
      </w:divBdr>
      <w:divsChild>
        <w:div w:id="648362223">
          <w:marLeft w:val="360"/>
          <w:marRight w:val="0"/>
          <w:marTop w:val="0"/>
          <w:marBottom w:val="72"/>
          <w:divBdr>
            <w:top w:val="none" w:sz="0" w:space="0" w:color="auto"/>
            <w:left w:val="none" w:sz="0" w:space="0" w:color="auto"/>
            <w:bottom w:val="none" w:sz="0" w:space="0" w:color="auto"/>
            <w:right w:val="none" w:sz="0" w:space="0" w:color="auto"/>
          </w:divBdr>
        </w:div>
      </w:divsChild>
    </w:div>
    <w:div w:id="883832572">
      <w:bodyDiv w:val="1"/>
      <w:marLeft w:val="0"/>
      <w:marRight w:val="0"/>
      <w:marTop w:val="0"/>
      <w:marBottom w:val="0"/>
      <w:divBdr>
        <w:top w:val="none" w:sz="0" w:space="0" w:color="auto"/>
        <w:left w:val="none" w:sz="0" w:space="0" w:color="auto"/>
        <w:bottom w:val="none" w:sz="0" w:space="0" w:color="auto"/>
        <w:right w:val="none" w:sz="0" w:space="0" w:color="auto"/>
      </w:divBdr>
    </w:div>
    <w:div w:id="892083806">
      <w:bodyDiv w:val="1"/>
      <w:marLeft w:val="0"/>
      <w:marRight w:val="0"/>
      <w:marTop w:val="0"/>
      <w:marBottom w:val="0"/>
      <w:divBdr>
        <w:top w:val="none" w:sz="0" w:space="0" w:color="auto"/>
        <w:left w:val="none" w:sz="0" w:space="0" w:color="auto"/>
        <w:bottom w:val="none" w:sz="0" w:space="0" w:color="auto"/>
        <w:right w:val="none" w:sz="0" w:space="0" w:color="auto"/>
      </w:divBdr>
      <w:divsChild>
        <w:div w:id="1231621176">
          <w:marLeft w:val="547"/>
          <w:marRight w:val="475"/>
          <w:marTop w:val="120"/>
          <w:marBottom w:val="0"/>
          <w:divBdr>
            <w:top w:val="none" w:sz="0" w:space="0" w:color="auto"/>
            <w:left w:val="none" w:sz="0" w:space="0" w:color="auto"/>
            <w:bottom w:val="none" w:sz="0" w:space="0" w:color="auto"/>
            <w:right w:val="none" w:sz="0" w:space="0" w:color="auto"/>
          </w:divBdr>
        </w:div>
        <w:div w:id="1970745972">
          <w:marLeft w:val="547"/>
          <w:marRight w:val="475"/>
          <w:marTop w:val="120"/>
          <w:marBottom w:val="0"/>
          <w:divBdr>
            <w:top w:val="none" w:sz="0" w:space="0" w:color="auto"/>
            <w:left w:val="none" w:sz="0" w:space="0" w:color="auto"/>
            <w:bottom w:val="none" w:sz="0" w:space="0" w:color="auto"/>
            <w:right w:val="none" w:sz="0" w:space="0" w:color="auto"/>
          </w:divBdr>
        </w:div>
      </w:divsChild>
    </w:div>
    <w:div w:id="896479318">
      <w:bodyDiv w:val="1"/>
      <w:marLeft w:val="0"/>
      <w:marRight w:val="0"/>
      <w:marTop w:val="0"/>
      <w:marBottom w:val="0"/>
      <w:divBdr>
        <w:top w:val="none" w:sz="0" w:space="0" w:color="auto"/>
        <w:left w:val="none" w:sz="0" w:space="0" w:color="auto"/>
        <w:bottom w:val="none" w:sz="0" w:space="0" w:color="auto"/>
        <w:right w:val="none" w:sz="0" w:space="0" w:color="auto"/>
      </w:divBdr>
      <w:divsChild>
        <w:div w:id="407462273">
          <w:marLeft w:val="547"/>
          <w:marRight w:val="0"/>
          <w:marTop w:val="0"/>
          <w:marBottom w:val="0"/>
          <w:divBdr>
            <w:top w:val="none" w:sz="0" w:space="0" w:color="auto"/>
            <w:left w:val="none" w:sz="0" w:space="0" w:color="auto"/>
            <w:bottom w:val="none" w:sz="0" w:space="0" w:color="auto"/>
            <w:right w:val="none" w:sz="0" w:space="0" w:color="auto"/>
          </w:divBdr>
        </w:div>
      </w:divsChild>
    </w:div>
    <w:div w:id="901453765">
      <w:bodyDiv w:val="1"/>
      <w:marLeft w:val="0"/>
      <w:marRight w:val="0"/>
      <w:marTop w:val="0"/>
      <w:marBottom w:val="0"/>
      <w:divBdr>
        <w:top w:val="none" w:sz="0" w:space="0" w:color="auto"/>
        <w:left w:val="none" w:sz="0" w:space="0" w:color="auto"/>
        <w:bottom w:val="none" w:sz="0" w:space="0" w:color="auto"/>
        <w:right w:val="none" w:sz="0" w:space="0" w:color="auto"/>
      </w:divBdr>
    </w:div>
    <w:div w:id="902527730">
      <w:bodyDiv w:val="1"/>
      <w:marLeft w:val="0"/>
      <w:marRight w:val="0"/>
      <w:marTop w:val="0"/>
      <w:marBottom w:val="0"/>
      <w:divBdr>
        <w:top w:val="none" w:sz="0" w:space="0" w:color="auto"/>
        <w:left w:val="none" w:sz="0" w:space="0" w:color="auto"/>
        <w:bottom w:val="none" w:sz="0" w:space="0" w:color="auto"/>
        <w:right w:val="none" w:sz="0" w:space="0" w:color="auto"/>
      </w:divBdr>
    </w:div>
    <w:div w:id="907111413">
      <w:bodyDiv w:val="1"/>
      <w:marLeft w:val="0"/>
      <w:marRight w:val="0"/>
      <w:marTop w:val="0"/>
      <w:marBottom w:val="0"/>
      <w:divBdr>
        <w:top w:val="none" w:sz="0" w:space="0" w:color="auto"/>
        <w:left w:val="none" w:sz="0" w:space="0" w:color="auto"/>
        <w:bottom w:val="none" w:sz="0" w:space="0" w:color="auto"/>
        <w:right w:val="none" w:sz="0" w:space="0" w:color="auto"/>
      </w:divBdr>
    </w:div>
    <w:div w:id="917590234">
      <w:bodyDiv w:val="1"/>
      <w:marLeft w:val="0"/>
      <w:marRight w:val="0"/>
      <w:marTop w:val="0"/>
      <w:marBottom w:val="0"/>
      <w:divBdr>
        <w:top w:val="none" w:sz="0" w:space="0" w:color="auto"/>
        <w:left w:val="none" w:sz="0" w:space="0" w:color="auto"/>
        <w:bottom w:val="none" w:sz="0" w:space="0" w:color="auto"/>
        <w:right w:val="none" w:sz="0" w:space="0" w:color="auto"/>
      </w:divBdr>
    </w:div>
    <w:div w:id="918756092">
      <w:bodyDiv w:val="1"/>
      <w:marLeft w:val="0"/>
      <w:marRight w:val="0"/>
      <w:marTop w:val="0"/>
      <w:marBottom w:val="0"/>
      <w:divBdr>
        <w:top w:val="none" w:sz="0" w:space="0" w:color="auto"/>
        <w:left w:val="none" w:sz="0" w:space="0" w:color="auto"/>
        <w:bottom w:val="none" w:sz="0" w:space="0" w:color="auto"/>
        <w:right w:val="none" w:sz="0" w:space="0" w:color="auto"/>
      </w:divBdr>
      <w:divsChild>
        <w:div w:id="1704357851">
          <w:marLeft w:val="446"/>
          <w:marRight w:val="0"/>
          <w:marTop w:val="0"/>
          <w:marBottom w:val="0"/>
          <w:divBdr>
            <w:top w:val="none" w:sz="0" w:space="0" w:color="auto"/>
            <w:left w:val="none" w:sz="0" w:space="0" w:color="auto"/>
            <w:bottom w:val="none" w:sz="0" w:space="0" w:color="auto"/>
            <w:right w:val="none" w:sz="0" w:space="0" w:color="auto"/>
          </w:divBdr>
        </w:div>
        <w:div w:id="1998683233">
          <w:marLeft w:val="446"/>
          <w:marRight w:val="0"/>
          <w:marTop w:val="0"/>
          <w:marBottom w:val="0"/>
          <w:divBdr>
            <w:top w:val="none" w:sz="0" w:space="0" w:color="auto"/>
            <w:left w:val="none" w:sz="0" w:space="0" w:color="auto"/>
            <w:bottom w:val="none" w:sz="0" w:space="0" w:color="auto"/>
            <w:right w:val="none" w:sz="0" w:space="0" w:color="auto"/>
          </w:divBdr>
        </w:div>
        <w:div w:id="1138304784">
          <w:marLeft w:val="446"/>
          <w:marRight w:val="0"/>
          <w:marTop w:val="0"/>
          <w:marBottom w:val="0"/>
          <w:divBdr>
            <w:top w:val="none" w:sz="0" w:space="0" w:color="auto"/>
            <w:left w:val="none" w:sz="0" w:space="0" w:color="auto"/>
            <w:bottom w:val="none" w:sz="0" w:space="0" w:color="auto"/>
            <w:right w:val="none" w:sz="0" w:space="0" w:color="auto"/>
          </w:divBdr>
        </w:div>
      </w:divsChild>
    </w:div>
    <w:div w:id="930432554">
      <w:bodyDiv w:val="1"/>
      <w:marLeft w:val="0"/>
      <w:marRight w:val="0"/>
      <w:marTop w:val="0"/>
      <w:marBottom w:val="0"/>
      <w:divBdr>
        <w:top w:val="none" w:sz="0" w:space="0" w:color="auto"/>
        <w:left w:val="none" w:sz="0" w:space="0" w:color="auto"/>
        <w:bottom w:val="none" w:sz="0" w:space="0" w:color="auto"/>
        <w:right w:val="none" w:sz="0" w:space="0" w:color="auto"/>
      </w:divBdr>
    </w:div>
    <w:div w:id="943078536">
      <w:bodyDiv w:val="1"/>
      <w:marLeft w:val="0"/>
      <w:marRight w:val="0"/>
      <w:marTop w:val="0"/>
      <w:marBottom w:val="0"/>
      <w:divBdr>
        <w:top w:val="none" w:sz="0" w:space="0" w:color="auto"/>
        <w:left w:val="none" w:sz="0" w:space="0" w:color="auto"/>
        <w:bottom w:val="none" w:sz="0" w:space="0" w:color="auto"/>
        <w:right w:val="none" w:sz="0" w:space="0" w:color="auto"/>
      </w:divBdr>
    </w:div>
    <w:div w:id="997077791">
      <w:bodyDiv w:val="1"/>
      <w:marLeft w:val="0"/>
      <w:marRight w:val="0"/>
      <w:marTop w:val="0"/>
      <w:marBottom w:val="0"/>
      <w:divBdr>
        <w:top w:val="none" w:sz="0" w:space="0" w:color="auto"/>
        <w:left w:val="none" w:sz="0" w:space="0" w:color="auto"/>
        <w:bottom w:val="none" w:sz="0" w:space="0" w:color="auto"/>
        <w:right w:val="none" w:sz="0" w:space="0" w:color="auto"/>
      </w:divBdr>
      <w:divsChild>
        <w:div w:id="1097680749">
          <w:marLeft w:val="360"/>
          <w:marRight w:val="0"/>
          <w:marTop w:val="0"/>
          <w:marBottom w:val="0"/>
          <w:divBdr>
            <w:top w:val="none" w:sz="0" w:space="0" w:color="auto"/>
            <w:left w:val="none" w:sz="0" w:space="0" w:color="auto"/>
            <w:bottom w:val="none" w:sz="0" w:space="0" w:color="auto"/>
            <w:right w:val="none" w:sz="0" w:space="0" w:color="auto"/>
          </w:divBdr>
        </w:div>
      </w:divsChild>
    </w:div>
    <w:div w:id="1019625317">
      <w:bodyDiv w:val="1"/>
      <w:marLeft w:val="0"/>
      <w:marRight w:val="0"/>
      <w:marTop w:val="0"/>
      <w:marBottom w:val="0"/>
      <w:divBdr>
        <w:top w:val="none" w:sz="0" w:space="0" w:color="auto"/>
        <w:left w:val="none" w:sz="0" w:space="0" w:color="auto"/>
        <w:bottom w:val="none" w:sz="0" w:space="0" w:color="auto"/>
        <w:right w:val="none" w:sz="0" w:space="0" w:color="auto"/>
      </w:divBdr>
    </w:div>
    <w:div w:id="1042557503">
      <w:bodyDiv w:val="1"/>
      <w:marLeft w:val="0"/>
      <w:marRight w:val="0"/>
      <w:marTop w:val="0"/>
      <w:marBottom w:val="0"/>
      <w:divBdr>
        <w:top w:val="none" w:sz="0" w:space="0" w:color="auto"/>
        <w:left w:val="none" w:sz="0" w:space="0" w:color="auto"/>
        <w:bottom w:val="none" w:sz="0" w:space="0" w:color="auto"/>
        <w:right w:val="none" w:sz="0" w:space="0" w:color="auto"/>
      </w:divBdr>
    </w:div>
    <w:div w:id="1045443541">
      <w:bodyDiv w:val="1"/>
      <w:marLeft w:val="0"/>
      <w:marRight w:val="0"/>
      <w:marTop w:val="0"/>
      <w:marBottom w:val="0"/>
      <w:divBdr>
        <w:top w:val="none" w:sz="0" w:space="0" w:color="auto"/>
        <w:left w:val="none" w:sz="0" w:space="0" w:color="auto"/>
        <w:bottom w:val="none" w:sz="0" w:space="0" w:color="auto"/>
        <w:right w:val="none" w:sz="0" w:space="0" w:color="auto"/>
      </w:divBdr>
    </w:div>
    <w:div w:id="1045761911">
      <w:bodyDiv w:val="1"/>
      <w:marLeft w:val="0"/>
      <w:marRight w:val="0"/>
      <w:marTop w:val="0"/>
      <w:marBottom w:val="0"/>
      <w:divBdr>
        <w:top w:val="none" w:sz="0" w:space="0" w:color="auto"/>
        <w:left w:val="none" w:sz="0" w:space="0" w:color="auto"/>
        <w:bottom w:val="none" w:sz="0" w:space="0" w:color="auto"/>
        <w:right w:val="none" w:sz="0" w:space="0" w:color="auto"/>
      </w:divBdr>
    </w:div>
    <w:div w:id="1051463433">
      <w:bodyDiv w:val="1"/>
      <w:marLeft w:val="0"/>
      <w:marRight w:val="0"/>
      <w:marTop w:val="0"/>
      <w:marBottom w:val="0"/>
      <w:divBdr>
        <w:top w:val="none" w:sz="0" w:space="0" w:color="auto"/>
        <w:left w:val="none" w:sz="0" w:space="0" w:color="auto"/>
        <w:bottom w:val="none" w:sz="0" w:space="0" w:color="auto"/>
        <w:right w:val="none" w:sz="0" w:space="0" w:color="auto"/>
      </w:divBdr>
    </w:div>
    <w:div w:id="1058938234">
      <w:bodyDiv w:val="1"/>
      <w:marLeft w:val="0"/>
      <w:marRight w:val="0"/>
      <w:marTop w:val="0"/>
      <w:marBottom w:val="0"/>
      <w:divBdr>
        <w:top w:val="none" w:sz="0" w:space="0" w:color="auto"/>
        <w:left w:val="none" w:sz="0" w:space="0" w:color="auto"/>
        <w:bottom w:val="none" w:sz="0" w:space="0" w:color="auto"/>
        <w:right w:val="none" w:sz="0" w:space="0" w:color="auto"/>
      </w:divBdr>
    </w:div>
    <w:div w:id="1061443813">
      <w:bodyDiv w:val="1"/>
      <w:marLeft w:val="0"/>
      <w:marRight w:val="0"/>
      <w:marTop w:val="0"/>
      <w:marBottom w:val="0"/>
      <w:divBdr>
        <w:top w:val="none" w:sz="0" w:space="0" w:color="auto"/>
        <w:left w:val="none" w:sz="0" w:space="0" w:color="auto"/>
        <w:bottom w:val="none" w:sz="0" w:space="0" w:color="auto"/>
        <w:right w:val="none" w:sz="0" w:space="0" w:color="auto"/>
      </w:divBdr>
      <w:divsChild>
        <w:div w:id="1599749840">
          <w:marLeft w:val="446"/>
          <w:marRight w:val="0"/>
          <w:marTop w:val="0"/>
          <w:marBottom w:val="0"/>
          <w:divBdr>
            <w:top w:val="none" w:sz="0" w:space="0" w:color="auto"/>
            <w:left w:val="none" w:sz="0" w:space="0" w:color="auto"/>
            <w:bottom w:val="none" w:sz="0" w:space="0" w:color="auto"/>
            <w:right w:val="none" w:sz="0" w:space="0" w:color="auto"/>
          </w:divBdr>
        </w:div>
      </w:divsChild>
    </w:div>
    <w:div w:id="1079788524">
      <w:bodyDiv w:val="1"/>
      <w:marLeft w:val="0"/>
      <w:marRight w:val="0"/>
      <w:marTop w:val="0"/>
      <w:marBottom w:val="0"/>
      <w:divBdr>
        <w:top w:val="none" w:sz="0" w:space="0" w:color="auto"/>
        <w:left w:val="none" w:sz="0" w:space="0" w:color="auto"/>
        <w:bottom w:val="none" w:sz="0" w:space="0" w:color="auto"/>
        <w:right w:val="none" w:sz="0" w:space="0" w:color="auto"/>
      </w:divBdr>
      <w:divsChild>
        <w:div w:id="1943144710">
          <w:marLeft w:val="446"/>
          <w:marRight w:val="0"/>
          <w:marTop w:val="0"/>
          <w:marBottom w:val="0"/>
          <w:divBdr>
            <w:top w:val="none" w:sz="0" w:space="0" w:color="auto"/>
            <w:left w:val="none" w:sz="0" w:space="0" w:color="auto"/>
            <w:bottom w:val="none" w:sz="0" w:space="0" w:color="auto"/>
            <w:right w:val="none" w:sz="0" w:space="0" w:color="auto"/>
          </w:divBdr>
        </w:div>
      </w:divsChild>
    </w:div>
    <w:div w:id="1094203406">
      <w:bodyDiv w:val="1"/>
      <w:marLeft w:val="0"/>
      <w:marRight w:val="0"/>
      <w:marTop w:val="0"/>
      <w:marBottom w:val="0"/>
      <w:divBdr>
        <w:top w:val="none" w:sz="0" w:space="0" w:color="auto"/>
        <w:left w:val="none" w:sz="0" w:space="0" w:color="auto"/>
        <w:bottom w:val="none" w:sz="0" w:space="0" w:color="auto"/>
        <w:right w:val="none" w:sz="0" w:space="0" w:color="auto"/>
      </w:divBdr>
    </w:div>
    <w:div w:id="1094982102">
      <w:bodyDiv w:val="1"/>
      <w:marLeft w:val="0"/>
      <w:marRight w:val="0"/>
      <w:marTop w:val="0"/>
      <w:marBottom w:val="0"/>
      <w:divBdr>
        <w:top w:val="none" w:sz="0" w:space="0" w:color="auto"/>
        <w:left w:val="none" w:sz="0" w:space="0" w:color="auto"/>
        <w:bottom w:val="none" w:sz="0" w:space="0" w:color="auto"/>
        <w:right w:val="none" w:sz="0" w:space="0" w:color="auto"/>
      </w:divBdr>
    </w:div>
    <w:div w:id="1136754583">
      <w:bodyDiv w:val="1"/>
      <w:marLeft w:val="0"/>
      <w:marRight w:val="0"/>
      <w:marTop w:val="0"/>
      <w:marBottom w:val="0"/>
      <w:divBdr>
        <w:top w:val="none" w:sz="0" w:space="0" w:color="auto"/>
        <w:left w:val="none" w:sz="0" w:space="0" w:color="auto"/>
        <w:bottom w:val="none" w:sz="0" w:space="0" w:color="auto"/>
        <w:right w:val="none" w:sz="0" w:space="0" w:color="auto"/>
      </w:divBdr>
    </w:div>
    <w:div w:id="1138569928">
      <w:bodyDiv w:val="1"/>
      <w:marLeft w:val="0"/>
      <w:marRight w:val="0"/>
      <w:marTop w:val="0"/>
      <w:marBottom w:val="0"/>
      <w:divBdr>
        <w:top w:val="none" w:sz="0" w:space="0" w:color="auto"/>
        <w:left w:val="none" w:sz="0" w:space="0" w:color="auto"/>
        <w:bottom w:val="none" w:sz="0" w:space="0" w:color="auto"/>
        <w:right w:val="none" w:sz="0" w:space="0" w:color="auto"/>
      </w:divBdr>
      <w:divsChild>
        <w:div w:id="710039787">
          <w:marLeft w:val="547"/>
          <w:marRight w:val="475"/>
          <w:marTop w:val="0"/>
          <w:marBottom w:val="240"/>
          <w:divBdr>
            <w:top w:val="none" w:sz="0" w:space="0" w:color="auto"/>
            <w:left w:val="none" w:sz="0" w:space="0" w:color="auto"/>
            <w:bottom w:val="none" w:sz="0" w:space="0" w:color="auto"/>
            <w:right w:val="none" w:sz="0" w:space="0" w:color="auto"/>
          </w:divBdr>
        </w:div>
        <w:div w:id="929387585">
          <w:marLeft w:val="547"/>
          <w:marRight w:val="475"/>
          <w:marTop w:val="0"/>
          <w:marBottom w:val="240"/>
          <w:divBdr>
            <w:top w:val="none" w:sz="0" w:space="0" w:color="auto"/>
            <w:left w:val="none" w:sz="0" w:space="0" w:color="auto"/>
            <w:bottom w:val="none" w:sz="0" w:space="0" w:color="auto"/>
            <w:right w:val="none" w:sz="0" w:space="0" w:color="auto"/>
          </w:divBdr>
        </w:div>
        <w:div w:id="1629050252">
          <w:marLeft w:val="547"/>
          <w:marRight w:val="475"/>
          <w:marTop w:val="0"/>
          <w:marBottom w:val="240"/>
          <w:divBdr>
            <w:top w:val="none" w:sz="0" w:space="0" w:color="auto"/>
            <w:left w:val="none" w:sz="0" w:space="0" w:color="auto"/>
            <w:bottom w:val="none" w:sz="0" w:space="0" w:color="auto"/>
            <w:right w:val="none" w:sz="0" w:space="0" w:color="auto"/>
          </w:divBdr>
        </w:div>
        <w:div w:id="1850868900">
          <w:marLeft w:val="547"/>
          <w:marRight w:val="475"/>
          <w:marTop w:val="0"/>
          <w:marBottom w:val="240"/>
          <w:divBdr>
            <w:top w:val="none" w:sz="0" w:space="0" w:color="auto"/>
            <w:left w:val="none" w:sz="0" w:space="0" w:color="auto"/>
            <w:bottom w:val="none" w:sz="0" w:space="0" w:color="auto"/>
            <w:right w:val="none" w:sz="0" w:space="0" w:color="auto"/>
          </w:divBdr>
        </w:div>
      </w:divsChild>
    </w:div>
    <w:div w:id="1159883774">
      <w:bodyDiv w:val="1"/>
      <w:marLeft w:val="0"/>
      <w:marRight w:val="0"/>
      <w:marTop w:val="0"/>
      <w:marBottom w:val="0"/>
      <w:divBdr>
        <w:top w:val="none" w:sz="0" w:space="0" w:color="auto"/>
        <w:left w:val="none" w:sz="0" w:space="0" w:color="auto"/>
        <w:bottom w:val="none" w:sz="0" w:space="0" w:color="auto"/>
        <w:right w:val="none" w:sz="0" w:space="0" w:color="auto"/>
      </w:divBdr>
    </w:div>
    <w:div w:id="1170365990">
      <w:bodyDiv w:val="1"/>
      <w:marLeft w:val="0"/>
      <w:marRight w:val="0"/>
      <w:marTop w:val="0"/>
      <w:marBottom w:val="0"/>
      <w:divBdr>
        <w:top w:val="none" w:sz="0" w:space="0" w:color="auto"/>
        <w:left w:val="none" w:sz="0" w:space="0" w:color="auto"/>
        <w:bottom w:val="none" w:sz="0" w:space="0" w:color="auto"/>
        <w:right w:val="none" w:sz="0" w:space="0" w:color="auto"/>
      </w:divBdr>
    </w:div>
    <w:div w:id="1176727235">
      <w:bodyDiv w:val="1"/>
      <w:marLeft w:val="0"/>
      <w:marRight w:val="0"/>
      <w:marTop w:val="0"/>
      <w:marBottom w:val="0"/>
      <w:divBdr>
        <w:top w:val="none" w:sz="0" w:space="0" w:color="auto"/>
        <w:left w:val="none" w:sz="0" w:space="0" w:color="auto"/>
        <w:bottom w:val="none" w:sz="0" w:space="0" w:color="auto"/>
        <w:right w:val="none" w:sz="0" w:space="0" w:color="auto"/>
      </w:divBdr>
    </w:div>
    <w:div w:id="1191645027">
      <w:bodyDiv w:val="1"/>
      <w:marLeft w:val="0"/>
      <w:marRight w:val="0"/>
      <w:marTop w:val="0"/>
      <w:marBottom w:val="0"/>
      <w:divBdr>
        <w:top w:val="none" w:sz="0" w:space="0" w:color="auto"/>
        <w:left w:val="none" w:sz="0" w:space="0" w:color="auto"/>
        <w:bottom w:val="none" w:sz="0" w:space="0" w:color="auto"/>
        <w:right w:val="none" w:sz="0" w:space="0" w:color="auto"/>
      </w:divBdr>
    </w:div>
    <w:div w:id="1193500008">
      <w:bodyDiv w:val="1"/>
      <w:marLeft w:val="0"/>
      <w:marRight w:val="0"/>
      <w:marTop w:val="0"/>
      <w:marBottom w:val="0"/>
      <w:divBdr>
        <w:top w:val="none" w:sz="0" w:space="0" w:color="auto"/>
        <w:left w:val="none" w:sz="0" w:space="0" w:color="auto"/>
        <w:bottom w:val="none" w:sz="0" w:space="0" w:color="auto"/>
        <w:right w:val="none" w:sz="0" w:space="0" w:color="auto"/>
      </w:divBdr>
    </w:div>
    <w:div w:id="1199783706">
      <w:bodyDiv w:val="1"/>
      <w:marLeft w:val="0"/>
      <w:marRight w:val="0"/>
      <w:marTop w:val="0"/>
      <w:marBottom w:val="0"/>
      <w:divBdr>
        <w:top w:val="none" w:sz="0" w:space="0" w:color="auto"/>
        <w:left w:val="none" w:sz="0" w:space="0" w:color="auto"/>
        <w:bottom w:val="none" w:sz="0" w:space="0" w:color="auto"/>
        <w:right w:val="none" w:sz="0" w:space="0" w:color="auto"/>
      </w:divBdr>
      <w:divsChild>
        <w:div w:id="737826444">
          <w:marLeft w:val="446"/>
          <w:marRight w:val="0"/>
          <w:marTop w:val="0"/>
          <w:marBottom w:val="0"/>
          <w:divBdr>
            <w:top w:val="none" w:sz="0" w:space="0" w:color="auto"/>
            <w:left w:val="none" w:sz="0" w:space="0" w:color="auto"/>
            <w:bottom w:val="none" w:sz="0" w:space="0" w:color="auto"/>
            <w:right w:val="none" w:sz="0" w:space="0" w:color="auto"/>
          </w:divBdr>
        </w:div>
        <w:div w:id="1199582700">
          <w:marLeft w:val="446"/>
          <w:marRight w:val="0"/>
          <w:marTop w:val="0"/>
          <w:marBottom w:val="0"/>
          <w:divBdr>
            <w:top w:val="none" w:sz="0" w:space="0" w:color="auto"/>
            <w:left w:val="none" w:sz="0" w:space="0" w:color="auto"/>
            <w:bottom w:val="none" w:sz="0" w:space="0" w:color="auto"/>
            <w:right w:val="none" w:sz="0" w:space="0" w:color="auto"/>
          </w:divBdr>
        </w:div>
      </w:divsChild>
    </w:div>
    <w:div w:id="1225409344">
      <w:bodyDiv w:val="1"/>
      <w:marLeft w:val="0"/>
      <w:marRight w:val="0"/>
      <w:marTop w:val="0"/>
      <w:marBottom w:val="0"/>
      <w:divBdr>
        <w:top w:val="none" w:sz="0" w:space="0" w:color="auto"/>
        <w:left w:val="none" w:sz="0" w:space="0" w:color="auto"/>
        <w:bottom w:val="none" w:sz="0" w:space="0" w:color="auto"/>
        <w:right w:val="none" w:sz="0" w:space="0" w:color="auto"/>
      </w:divBdr>
      <w:divsChild>
        <w:div w:id="1958179106">
          <w:marLeft w:val="446"/>
          <w:marRight w:val="0"/>
          <w:marTop w:val="0"/>
          <w:marBottom w:val="0"/>
          <w:divBdr>
            <w:top w:val="none" w:sz="0" w:space="0" w:color="auto"/>
            <w:left w:val="none" w:sz="0" w:space="0" w:color="auto"/>
            <w:bottom w:val="none" w:sz="0" w:space="0" w:color="auto"/>
            <w:right w:val="none" w:sz="0" w:space="0" w:color="auto"/>
          </w:divBdr>
        </w:div>
        <w:div w:id="511728355">
          <w:marLeft w:val="446"/>
          <w:marRight w:val="0"/>
          <w:marTop w:val="0"/>
          <w:marBottom w:val="0"/>
          <w:divBdr>
            <w:top w:val="none" w:sz="0" w:space="0" w:color="auto"/>
            <w:left w:val="none" w:sz="0" w:space="0" w:color="auto"/>
            <w:bottom w:val="none" w:sz="0" w:space="0" w:color="auto"/>
            <w:right w:val="none" w:sz="0" w:space="0" w:color="auto"/>
          </w:divBdr>
        </w:div>
      </w:divsChild>
    </w:div>
    <w:div w:id="1248460812">
      <w:bodyDiv w:val="1"/>
      <w:marLeft w:val="0"/>
      <w:marRight w:val="0"/>
      <w:marTop w:val="0"/>
      <w:marBottom w:val="0"/>
      <w:divBdr>
        <w:top w:val="none" w:sz="0" w:space="0" w:color="auto"/>
        <w:left w:val="none" w:sz="0" w:space="0" w:color="auto"/>
        <w:bottom w:val="none" w:sz="0" w:space="0" w:color="auto"/>
        <w:right w:val="none" w:sz="0" w:space="0" w:color="auto"/>
      </w:divBdr>
    </w:div>
    <w:div w:id="1265728763">
      <w:bodyDiv w:val="1"/>
      <w:marLeft w:val="0"/>
      <w:marRight w:val="0"/>
      <w:marTop w:val="0"/>
      <w:marBottom w:val="0"/>
      <w:divBdr>
        <w:top w:val="none" w:sz="0" w:space="0" w:color="auto"/>
        <w:left w:val="none" w:sz="0" w:space="0" w:color="auto"/>
        <w:bottom w:val="none" w:sz="0" w:space="0" w:color="auto"/>
        <w:right w:val="none" w:sz="0" w:space="0" w:color="auto"/>
      </w:divBdr>
    </w:div>
    <w:div w:id="1272400418">
      <w:bodyDiv w:val="1"/>
      <w:marLeft w:val="0"/>
      <w:marRight w:val="0"/>
      <w:marTop w:val="0"/>
      <w:marBottom w:val="0"/>
      <w:divBdr>
        <w:top w:val="none" w:sz="0" w:space="0" w:color="auto"/>
        <w:left w:val="none" w:sz="0" w:space="0" w:color="auto"/>
        <w:bottom w:val="none" w:sz="0" w:space="0" w:color="auto"/>
        <w:right w:val="none" w:sz="0" w:space="0" w:color="auto"/>
      </w:divBdr>
    </w:div>
    <w:div w:id="1281841262">
      <w:bodyDiv w:val="1"/>
      <w:marLeft w:val="0"/>
      <w:marRight w:val="0"/>
      <w:marTop w:val="0"/>
      <w:marBottom w:val="0"/>
      <w:divBdr>
        <w:top w:val="none" w:sz="0" w:space="0" w:color="auto"/>
        <w:left w:val="none" w:sz="0" w:space="0" w:color="auto"/>
        <w:bottom w:val="none" w:sz="0" w:space="0" w:color="auto"/>
        <w:right w:val="none" w:sz="0" w:space="0" w:color="auto"/>
      </w:divBdr>
      <w:divsChild>
        <w:div w:id="338506814">
          <w:marLeft w:val="1354"/>
          <w:marRight w:val="0"/>
          <w:marTop w:val="18"/>
          <w:marBottom w:val="140"/>
          <w:divBdr>
            <w:top w:val="none" w:sz="0" w:space="0" w:color="auto"/>
            <w:left w:val="none" w:sz="0" w:space="0" w:color="auto"/>
            <w:bottom w:val="none" w:sz="0" w:space="0" w:color="auto"/>
            <w:right w:val="none" w:sz="0" w:space="0" w:color="auto"/>
          </w:divBdr>
        </w:div>
        <w:div w:id="1643073712">
          <w:marLeft w:val="1354"/>
          <w:marRight w:val="0"/>
          <w:marTop w:val="18"/>
          <w:marBottom w:val="140"/>
          <w:divBdr>
            <w:top w:val="none" w:sz="0" w:space="0" w:color="auto"/>
            <w:left w:val="none" w:sz="0" w:space="0" w:color="auto"/>
            <w:bottom w:val="none" w:sz="0" w:space="0" w:color="auto"/>
            <w:right w:val="none" w:sz="0" w:space="0" w:color="auto"/>
          </w:divBdr>
        </w:div>
      </w:divsChild>
    </w:div>
    <w:div w:id="1282565169">
      <w:bodyDiv w:val="1"/>
      <w:marLeft w:val="0"/>
      <w:marRight w:val="0"/>
      <w:marTop w:val="0"/>
      <w:marBottom w:val="0"/>
      <w:divBdr>
        <w:top w:val="none" w:sz="0" w:space="0" w:color="auto"/>
        <w:left w:val="none" w:sz="0" w:space="0" w:color="auto"/>
        <w:bottom w:val="none" w:sz="0" w:space="0" w:color="auto"/>
        <w:right w:val="none" w:sz="0" w:space="0" w:color="auto"/>
      </w:divBdr>
    </w:div>
    <w:div w:id="1284531591">
      <w:bodyDiv w:val="1"/>
      <w:marLeft w:val="0"/>
      <w:marRight w:val="0"/>
      <w:marTop w:val="0"/>
      <w:marBottom w:val="0"/>
      <w:divBdr>
        <w:top w:val="none" w:sz="0" w:space="0" w:color="auto"/>
        <w:left w:val="none" w:sz="0" w:space="0" w:color="auto"/>
        <w:bottom w:val="none" w:sz="0" w:space="0" w:color="auto"/>
        <w:right w:val="none" w:sz="0" w:space="0" w:color="auto"/>
      </w:divBdr>
      <w:divsChild>
        <w:div w:id="386880253">
          <w:marLeft w:val="446"/>
          <w:marRight w:val="0"/>
          <w:marTop w:val="0"/>
          <w:marBottom w:val="0"/>
          <w:divBdr>
            <w:top w:val="none" w:sz="0" w:space="0" w:color="auto"/>
            <w:left w:val="none" w:sz="0" w:space="0" w:color="auto"/>
            <w:bottom w:val="none" w:sz="0" w:space="0" w:color="auto"/>
            <w:right w:val="none" w:sz="0" w:space="0" w:color="auto"/>
          </w:divBdr>
        </w:div>
      </w:divsChild>
    </w:div>
    <w:div w:id="1288201197">
      <w:bodyDiv w:val="1"/>
      <w:marLeft w:val="0"/>
      <w:marRight w:val="0"/>
      <w:marTop w:val="0"/>
      <w:marBottom w:val="0"/>
      <w:divBdr>
        <w:top w:val="none" w:sz="0" w:space="0" w:color="auto"/>
        <w:left w:val="none" w:sz="0" w:space="0" w:color="auto"/>
        <w:bottom w:val="none" w:sz="0" w:space="0" w:color="auto"/>
        <w:right w:val="none" w:sz="0" w:space="0" w:color="auto"/>
      </w:divBdr>
      <w:divsChild>
        <w:div w:id="495534940">
          <w:marLeft w:val="446"/>
          <w:marRight w:val="0"/>
          <w:marTop w:val="0"/>
          <w:marBottom w:val="0"/>
          <w:divBdr>
            <w:top w:val="none" w:sz="0" w:space="0" w:color="auto"/>
            <w:left w:val="none" w:sz="0" w:space="0" w:color="auto"/>
            <w:bottom w:val="none" w:sz="0" w:space="0" w:color="auto"/>
            <w:right w:val="none" w:sz="0" w:space="0" w:color="auto"/>
          </w:divBdr>
        </w:div>
      </w:divsChild>
    </w:div>
    <w:div w:id="1292131662">
      <w:bodyDiv w:val="1"/>
      <w:marLeft w:val="0"/>
      <w:marRight w:val="0"/>
      <w:marTop w:val="0"/>
      <w:marBottom w:val="0"/>
      <w:divBdr>
        <w:top w:val="none" w:sz="0" w:space="0" w:color="auto"/>
        <w:left w:val="none" w:sz="0" w:space="0" w:color="auto"/>
        <w:bottom w:val="none" w:sz="0" w:space="0" w:color="auto"/>
        <w:right w:val="none" w:sz="0" w:space="0" w:color="auto"/>
      </w:divBdr>
    </w:div>
    <w:div w:id="1296720208">
      <w:bodyDiv w:val="1"/>
      <w:marLeft w:val="0"/>
      <w:marRight w:val="0"/>
      <w:marTop w:val="0"/>
      <w:marBottom w:val="0"/>
      <w:divBdr>
        <w:top w:val="none" w:sz="0" w:space="0" w:color="auto"/>
        <w:left w:val="none" w:sz="0" w:space="0" w:color="auto"/>
        <w:bottom w:val="none" w:sz="0" w:space="0" w:color="auto"/>
        <w:right w:val="none" w:sz="0" w:space="0" w:color="auto"/>
      </w:divBdr>
    </w:div>
    <w:div w:id="1309940651">
      <w:bodyDiv w:val="1"/>
      <w:marLeft w:val="0"/>
      <w:marRight w:val="0"/>
      <w:marTop w:val="0"/>
      <w:marBottom w:val="0"/>
      <w:divBdr>
        <w:top w:val="none" w:sz="0" w:space="0" w:color="auto"/>
        <w:left w:val="none" w:sz="0" w:space="0" w:color="auto"/>
        <w:bottom w:val="none" w:sz="0" w:space="0" w:color="auto"/>
        <w:right w:val="none" w:sz="0" w:space="0" w:color="auto"/>
      </w:divBdr>
    </w:div>
    <w:div w:id="1318221674">
      <w:bodyDiv w:val="1"/>
      <w:marLeft w:val="0"/>
      <w:marRight w:val="0"/>
      <w:marTop w:val="0"/>
      <w:marBottom w:val="0"/>
      <w:divBdr>
        <w:top w:val="none" w:sz="0" w:space="0" w:color="auto"/>
        <w:left w:val="none" w:sz="0" w:space="0" w:color="auto"/>
        <w:bottom w:val="none" w:sz="0" w:space="0" w:color="auto"/>
        <w:right w:val="none" w:sz="0" w:space="0" w:color="auto"/>
      </w:divBdr>
      <w:divsChild>
        <w:div w:id="1818765316">
          <w:marLeft w:val="446"/>
          <w:marRight w:val="0"/>
          <w:marTop w:val="0"/>
          <w:marBottom w:val="0"/>
          <w:divBdr>
            <w:top w:val="none" w:sz="0" w:space="0" w:color="auto"/>
            <w:left w:val="none" w:sz="0" w:space="0" w:color="auto"/>
            <w:bottom w:val="none" w:sz="0" w:space="0" w:color="auto"/>
            <w:right w:val="none" w:sz="0" w:space="0" w:color="auto"/>
          </w:divBdr>
        </w:div>
        <w:div w:id="225383193">
          <w:marLeft w:val="446"/>
          <w:marRight w:val="0"/>
          <w:marTop w:val="0"/>
          <w:marBottom w:val="0"/>
          <w:divBdr>
            <w:top w:val="none" w:sz="0" w:space="0" w:color="auto"/>
            <w:left w:val="none" w:sz="0" w:space="0" w:color="auto"/>
            <w:bottom w:val="none" w:sz="0" w:space="0" w:color="auto"/>
            <w:right w:val="none" w:sz="0" w:space="0" w:color="auto"/>
          </w:divBdr>
        </w:div>
        <w:div w:id="1879270542">
          <w:marLeft w:val="446"/>
          <w:marRight w:val="0"/>
          <w:marTop w:val="0"/>
          <w:marBottom w:val="0"/>
          <w:divBdr>
            <w:top w:val="none" w:sz="0" w:space="0" w:color="auto"/>
            <w:left w:val="none" w:sz="0" w:space="0" w:color="auto"/>
            <w:bottom w:val="none" w:sz="0" w:space="0" w:color="auto"/>
            <w:right w:val="none" w:sz="0" w:space="0" w:color="auto"/>
          </w:divBdr>
        </w:div>
      </w:divsChild>
    </w:div>
    <w:div w:id="1361130701">
      <w:bodyDiv w:val="1"/>
      <w:marLeft w:val="0"/>
      <w:marRight w:val="0"/>
      <w:marTop w:val="0"/>
      <w:marBottom w:val="0"/>
      <w:divBdr>
        <w:top w:val="none" w:sz="0" w:space="0" w:color="auto"/>
        <w:left w:val="none" w:sz="0" w:space="0" w:color="auto"/>
        <w:bottom w:val="none" w:sz="0" w:space="0" w:color="auto"/>
        <w:right w:val="none" w:sz="0" w:space="0" w:color="auto"/>
      </w:divBdr>
    </w:div>
    <w:div w:id="1407537354">
      <w:bodyDiv w:val="1"/>
      <w:marLeft w:val="0"/>
      <w:marRight w:val="0"/>
      <w:marTop w:val="0"/>
      <w:marBottom w:val="0"/>
      <w:divBdr>
        <w:top w:val="none" w:sz="0" w:space="0" w:color="auto"/>
        <w:left w:val="none" w:sz="0" w:space="0" w:color="auto"/>
        <w:bottom w:val="none" w:sz="0" w:space="0" w:color="auto"/>
        <w:right w:val="none" w:sz="0" w:space="0" w:color="auto"/>
      </w:divBdr>
    </w:div>
    <w:div w:id="1423649106">
      <w:bodyDiv w:val="1"/>
      <w:marLeft w:val="0"/>
      <w:marRight w:val="0"/>
      <w:marTop w:val="0"/>
      <w:marBottom w:val="0"/>
      <w:divBdr>
        <w:top w:val="none" w:sz="0" w:space="0" w:color="auto"/>
        <w:left w:val="none" w:sz="0" w:space="0" w:color="auto"/>
        <w:bottom w:val="none" w:sz="0" w:space="0" w:color="auto"/>
        <w:right w:val="none" w:sz="0" w:space="0" w:color="auto"/>
      </w:divBdr>
    </w:div>
    <w:div w:id="1423649332">
      <w:bodyDiv w:val="1"/>
      <w:marLeft w:val="0"/>
      <w:marRight w:val="0"/>
      <w:marTop w:val="0"/>
      <w:marBottom w:val="0"/>
      <w:divBdr>
        <w:top w:val="none" w:sz="0" w:space="0" w:color="auto"/>
        <w:left w:val="none" w:sz="0" w:space="0" w:color="auto"/>
        <w:bottom w:val="none" w:sz="0" w:space="0" w:color="auto"/>
        <w:right w:val="none" w:sz="0" w:space="0" w:color="auto"/>
      </w:divBdr>
    </w:div>
    <w:div w:id="1423792442">
      <w:bodyDiv w:val="1"/>
      <w:marLeft w:val="0"/>
      <w:marRight w:val="0"/>
      <w:marTop w:val="0"/>
      <w:marBottom w:val="0"/>
      <w:divBdr>
        <w:top w:val="none" w:sz="0" w:space="0" w:color="auto"/>
        <w:left w:val="none" w:sz="0" w:space="0" w:color="auto"/>
        <w:bottom w:val="none" w:sz="0" w:space="0" w:color="auto"/>
        <w:right w:val="none" w:sz="0" w:space="0" w:color="auto"/>
      </w:divBdr>
      <w:divsChild>
        <w:div w:id="1113399260">
          <w:marLeft w:val="446"/>
          <w:marRight w:val="0"/>
          <w:marTop w:val="0"/>
          <w:marBottom w:val="0"/>
          <w:divBdr>
            <w:top w:val="none" w:sz="0" w:space="0" w:color="auto"/>
            <w:left w:val="none" w:sz="0" w:space="0" w:color="auto"/>
            <w:bottom w:val="none" w:sz="0" w:space="0" w:color="auto"/>
            <w:right w:val="none" w:sz="0" w:space="0" w:color="auto"/>
          </w:divBdr>
        </w:div>
      </w:divsChild>
    </w:div>
    <w:div w:id="1425304661">
      <w:bodyDiv w:val="1"/>
      <w:marLeft w:val="0"/>
      <w:marRight w:val="0"/>
      <w:marTop w:val="0"/>
      <w:marBottom w:val="0"/>
      <w:divBdr>
        <w:top w:val="none" w:sz="0" w:space="0" w:color="auto"/>
        <w:left w:val="none" w:sz="0" w:space="0" w:color="auto"/>
        <w:bottom w:val="none" w:sz="0" w:space="0" w:color="auto"/>
        <w:right w:val="none" w:sz="0" w:space="0" w:color="auto"/>
      </w:divBdr>
      <w:divsChild>
        <w:div w:id="840851501">
          <w:marLeft w:val="547"/>
          <w:marRight w:val="0"/>
          <w:marTop w:val="0"/>
          <w:marBottom w:val="0"/>
          <w:divBdr>
            <w:top w:val="none" w:sz="0" w:space="0" w:color="auto"/>
            <w:left w:val="none" w:sz="0" w:space="0" w:color="auto"/>
            <w:bottom w:val="none" w:sz="0" w:space="0" w:color="auto"/>
            <w:right w:val="none" w:sz="0" w:space="0" w:color="auto"/>
          </w:divBdr>
        </w:div>
      </w:divsChild>
    </w:div>
    <w:div w:id="1469474124">
      <w:bodyDiv w:val="1"/>
      <w:marLeft w:val="0"/>
      <w:marRight w:val="0"/>
      <w:marTop w:val="0"/>
      <w:marBottom w:val="0"/>
      <w:divBdr>
        <w:top w:val="none" w:sz="0" w:space="0" w:color="auto"/>
        <w:left w:val="none" w:sz="0" w:space="0" w:color="auto"/>
        <w:bottom w:val="none" w:sz="0" w:space="0" w:color="auto"/>
        <w:right w:val="none" w:sz="0" w:space="0" w:color="auto"/>
      </w:divBdr>
    </w:div>
    <w:div w:id="1475291325">
      <w:bodyDiv w:val="1"/>
      <w:marLeft w:val="0"/>
      <w:marRight w:val="0"/>
      <w:marTop w:val="0"/>
      <w:marBottom w:val="0"/>
      <w:divBdr>
        <w:top w:val="none" w:sz="0" w:space="0" w:color="auto"/>
        <w:left w:val="none" w:sz="0" w:space="0" w:color="auto"/>
        <w:bottom w:val="none" w:sz="0" w:space="0" w:color="auto"/>
        <w:right w:val="none" w:sz="0" w:space="0" w:color="auto"/>
      </w:divBdr>
    </w:div>
    <w:div w:id="1493060374">
      <w:bodyDiv w:val="1"/>
      <w:marLeft w:val="0"/>
      <w:marRight w:val="0"/>
      <w:marTop w:val="0"/>
      <w:marBottom w:val="0"/>
      <w:divBdr>
        <w:top w:val="none" w:sz="0" w:space="0" w:color="auto"/>
        <w:left w:val="none" w:sz="0" w:space="0" w:color="auto"/>
        <w:bottom w:val="none" w:sz="0" w:space="0" w:color="auto"/>
        <w:right w:val="none" w:sz="0" w:space="0" w:color="auto"/>
      </w:divBdr>
    </w:div>
    <w:div w:id="1493568818">
      <w:bodyDiv w:val="1"/>
      <w:marLeft w:val="0"/>
      <w:marRight w:val="0"/>
      <w:marTop w:val="0"/>
      <w:marBottom w:val="0"/>
      <w:divBdr>
        <w:top w:val="none" w:sz="0" w:space="0" w:color="auto"/>
        <w:left w:val="none" w:sz="0" w:space="0" w:color="auto"/>
        <w:bottom w:val="none" w:sz="0" w:space="0" w:color="auto"/>
        <w:right w:val="none" w:sz="0" w:space="0" w:color="auto"/>
      </w:divBdr>
      <w:divsChild>
        <w:div w:id="55128236">
          <w:marLeft w:val="446"/>
          <w:marRight w:val="0"/>
          <w:marTop w:val="0"/>
          <w:marBottom w:val="0"/>
          <w:divBdr>
            <w:top w:val="none" w:sz="0" w:space="0" w:color="auto"/>
            <w:left w:val="none" w:sz="0" w:space="0" w:color="auto"/>
            <w:bottom w:val="none" w:sz="0" w:space="0" w:color="auto"/>
            <w:right w:val="none" w:sz="0" w:space="0" w:color="auto"/>
          </w:divBdr>
        </w:div>
      </w:divsChild>
    </w:div>
    <w:div w:id="1515193177">
      <w:bodyDiv w:val="1"/>
      <w:marLeft w:val="0"/>
      <w:marRight w:val="0"/>
      <w:marTop w:val="0"/>
      <w:marBottom w:val="0"/>
      <w:divBdr>
        <w:top w:val="none" w:sz="0" w:space="0" w:color="auto"/>
        <w:left w:val="none" w:sz="0" w:space="0" w:color="auto"/>
        <w:bottom w:val="none" w:sz="0" w:space="0" w:color="auto"/>
        <w:right w:val="none" w:sz="0" w:space="0" w:color="auto"/>
      </w:divBdr>
    </w:div>
    <w:div w:id="1527520749">
      <w:bodyDiv w:val="1"/>
      <w:marLeft w:val="0"/>
      <w:marRight w:val="0"/>
      <w:marTop w:val="0"/>
      <w:marBottom w:val="0"/>
      <w:divBdr>
        <w:top w:val="none" w:sz="0" w:space="0" w:color="auto"/>
        <w:left w:val="none" w:sz="0" w:space="0" w:color="auto"/>
        <w:bottom w:val="none" w:sz="0" w:space="0" w:color="auto"/>
        <w:right w:val="none" w:sz="0" w:space="0" w:color="auto"/>
      </w:divBdr>
    </w:div>
    <w:div w:id="1527790757">
      <w:bodyDiv w:val="1"/>
      <w:marLeft w:val="0"/>
      <w:marRight w:val="0"/>
      <w:marTop w:val="0"/>
      <w:marBottom w:val="0"/>
      <w:divBdr>
        <w:top w:val="none" w:sz="0" w:space="0" w:color="auto"/>
        <w:left w:val="none" w:sz="0" w:space="0" w:color="auto"/>
        <w:bottom w:val="none" w:sz="0" w:space="0" w:color="auto"/>
        <w:right w:val="none" w:sz="0" w:space="0" w:color="auto"/>
      </w:divBdr>
      <w:divsChild>
        <w:div w:id="830870952">
          <w:marLeft w:val="2246"/>
          <w:marRight w:val="0"/>
          <w:marTop w:val="18"/>
          <w:marBottom w:val="140"/>
          <w:divBdr>
            <w:top w:val="none" w:sz="0" w:space="0" w:color="auto"/>
            <w:left w:val="none" w:sz="0" w:space="0" w:color="auto"/>
            <w:bottom w:val="none" w:sz="0" w:space="0" w:color="auto"/>
            <w:right w:val="none" w:sz="0" w:space="0" w:color="auto"/>
          </w:divBdr>
        </w:div>
        <w:div w:id="1488671105">
          <w:marLeft w:val="2246"/>
          <w:marRight w:val="0"/>
          <w:marTop w:val="18"/>
          <w:marBottom w:val="140"/>
          <w:divBdr>
            <w:top w:val="none" w:sz="0" w:space="0" w:color="auto"/>
            <w:left w:val="none" w:sz="0" w:space="0" w:color="auto"/>
            <w:bottom w:val="none" w:sz="0" w:space="0" w:color="auto"/>
            <w:right w:val="none" w:sz="0" w:space="0" w:color="auto"/>
          </w:divBdr>
        </w:div>
        <w:div w:id="2067603041">
          <w:marLeft w:val="2246"/>
          <w:marRight w:val="0"/>
          <w:marTop w:val="18"/>
          <w:marBottom w:val="140"/>
          <w:divBdr>
            <w:top w:val="none" w:sz="0" w:space="0" w:color="auto"/>
            <w:left w:val="none" w:sz="0" w:space="0" w:color="auto"/>
            <w:bottom w:val="none" w:sz="0" w:space="0" w:color="auto"/>
            <w:right w:val="none" w:sz="0" w:space="0" w:color="auto"/>
          </w:divBdr>
        </w:div>
      </w:divsChild>
    </w:div>
    <w:div w:id="1527870037">
      <w:bodyDiv w:val="1"/>
      <w:marLeft w:val="0"/>
      <w:marRight w:val="0"/>
      <w:marTop w:val="0"/>
      <w:marBottom w:val="0"/>
      <w:divBdr>
        <w:top w:val="none" w:sz="0" w:space="0" w:color="auto"/>
        <w:left w:val="none" w:sz="0" w:space="0" w:color="auto"/>
        <w:bottom w:val="none" w:sz="0" w:space="0" w:color="auto"/>
        <w:right w:val="none" w:sz="0" w:space="0" w:color="auto"/>
      </w:divBdr>
    </w:div>
    <w:div w:id="1536650228">
      <w:bodyDiv w:val="1"/>
      <w:marLeft w:val="0"/>
      <w:marRight w:val="0"/>
      <w:marTop w:val="0"/>
      <w:marBottom w:val="0"/>
      <w:divBdr>
        <w:top w:val="none" w:sz="0" w:space="0" w:color="auto"/>
        <w:left w:val="none" w:sz="0" w:space="0" w:color="auto"/>
        <w:bottom w:val="none" w:sz="0" w:space="0" w:color="auto"/>
        <w:right w:val="none" w:sz="0" w:space="0" w:color="auto"/>
      </w:divBdr>
    </w:div>
    <w:div w:id="1550798876">
      <w:bodyDiv w:val="1"/>
      <w:marLeft w:val="0"/>
      <w:marRight w:val="0"/>
      <w:marTop w:val="0"/>
      <w:marBottom w:val="0"/>
      <w:divBdr>
        <w:top w:val="none" w:sz="0" w:space="0" w:color="auto"/>
        <w:left w:val="none" w:sz="0" w:space="0" w:color="auto"/>
        <w:bottom w:val="none" w:sz="0" w:space="0" w:color="auto"/>
        <w:right w:val="none" w:sz="0" w:space="0" w:color="auto"/>
      </w:divBdr>
    </w:div>
    <w:div w:id="1578976329">
      <w:bodyDiv w:val="1"/>
      <w:marLeft w:val="0"/>
      <w:marRight w:val="0"/>
      <w:marTop w:val="0"/>
      <w:marBottom w:val="0"/>
      <w:divBdr>
        <w:top w:val="none" w:sz="0" w:space="0" w:color="auto"/>
        <w:left w:val="none" w:sz="0" w:space="0" w:color="auto"/>
        <w:bottom w:val="none" w:sz="0" w:space="0" w:color="auto"/>
        <w:right w:val="none" w:sz="0" w:space="0" w:color="auto"/>
      </w:divBdr>
      <w:divsChild>
        <w:div w:id="490831553">
          <w:marLeft w:val="446"/>
          <w:marRight w:val="0"/>
          <w:marTop w:val="0"/>
          <w:marBottom w:val="0"/>
          <w:divBdr>
            <w:top w:val="none" w:sz="0" w:space="0" w:color="auto"/>
            <w:left w:val="none" w:sz="0" w:space="0" w:color="auto"/>
            <w:bottom w:val="none" w:sz="0" w:space="0" w:color="auto"/>
            <w:right w:val="none" w:sz="0" w:space="0" w:color="auto"/>
          </w:divBdr>
        </w:div>
      </w:divsChild>
    </w:div>
    <w:div w:id="1586260631">
      <w:bodyDiv w:val="1"/>
      <w:marLeft w:val="0"/>
      <w:marRight w:val="0"/>
      <w:marTop w:val="0"/>
      <w:marBottom w:val="0"/>
      <w:divBdr>
        <w:top w:val="none" w:sz="0" w:space="0" w:color="auto"/>
        <w:left w:val="none" w:sz="0" w:space="0" w:color="auto"/>
        <w:bottom w:val="none" w:sz="0" w:space="0" w:color="auto"/>
        <w:right w:val="none" w:sz="0" w:space="0" w:color="auto"/>
      </w:divBdr>
      <w:divsChild>
        <w:div w:id="528026744">
          <w:marLeft w:val="1354"/>
          <w:marRight w:val="0"/>
          <w:marTop w:val="18"/>
          <w:marBottom w:val="140"/>
          <w:divBdr>
            <w:top w:val="none" w:sz="0" w:space="0" w:color="auto"/>
            <w:left w:val="none" w:sz="0" w:space="0" w:color="auto"/>
            <w:bottom w:val="none" w:sz="0" w:space="0" w:color="auto"/>
            <w:right w:val="none" w:sz="0" w:space="0" w:color="auto"/>
          </w:divBdr>
        </w:div>
        <w:div w:id="927079862">
          <w:marLeft w:val="1354"/>
          <w:marRight w:val="0"/>
          <w:marTop w:val="18"/>
          <w:marBottom w:val="140"/>
          <w:divBdr>
            <w:top w:val="none" w:sz="0" w:space="0" w:color="auto"/>
            <w:left w:val="none" w:sz="0" w:space="0" w:color="auto"/>
            <w:bottom w:val="none" w:sz="0" w:space="0" w:color="auto"/>
            <w:right w:val="none" w:sz="0" w:space="0" w:color="auto"/>
          </w:divBdr>
        </w:div>
        <w:div w:id="1210920544">
          <w:marLeft w:val="1354"/>
          <w:marRight w:val="0"/>
          <w:marTop w:val="18"/>
          <w:marBottom w:val="140"/>
          <w:divBdr>
            <w:top w:val="none" w:sz="0" w:space="0" w:color="auto"/>
            <w:left w:val="none" w:sz="0" w:space="0" w:color="auto"/>
            <w:bottom w:val="none" w:sz="0" w:space="0" w:color="auto"/>
            <w:right w:val="none" w:sz="0" w:space="0" w:color="auto"/>
          </w:divBdr>
        </w:div>
      </w:divsChild>
    </w:div>
    <w:div w:id="1617130097">
      <w:bodyDiv w:val="1"/>
      <w:marLeft w:val="0"/>
      <w:marRight w:val="0"/>
      <w:marTop w:val="0"/>
      <w:marBottom w:val="0"/>
      <w:divBdr>
        <w:top w:val="none" w:sz="0" w:space="0" w:color="auto"/>
        <w:left w:val="none" w:sz="0" w:space="0" w:color="auto"/>
        <w:bottom w:val="none" w:sz="0" w:space="0" w:color="auto"/>
        <w:right w:val="none" w:sz="0" w:space="0" w:color="auto"/>
      </w:divBdr>
    </w:div>
    <w:div w:id="1641156689">
      <w:bodyDiv w:val="1"/>
      <w:marLeft w:val="0"/>
      <w:marRight w:val="0"/>
      <w:marTop w:val="0"/>
      <w:marBottom w:val="0"/>
      <w:divBdr>
        <w:top w:val="none" w:sz="0" w:space="0" w:color="auto"/>
        <w:left w:val="none" w:sz="0" w:space="0" w:color="auto"/>
        <w:bottom w:val="none" w:sz="0" w:space="0" w:color="auto"/>
        <w:right w:val="none" w:sz="0" w:space="0" w:color="auto"/>
      </w:divBdr>
      <w:divsChild>
        <w:div w:id="328950883">
          <w:marLeft w:val="547"/>
          <w:marRight w:val="0"/>
          <w:marTop w:val="0"/>
          <w:marBottom w:val="0"/>
          <w:divBdr>
            <w:top w:val="none" w:sz="0" w:space="0" w:color="auto"/>
            <w:left w:val="none" w:sz="0" w:space="0" w:color="auto"/>
            <w:bottom w:val="none" w:sz="0" w:space="0" w:color="auto"/>
            <w:right w:val="none" w:sz="0" w:space="0" w:color="auto"/>
          </w:divBdr>
        </w:div>
      </w:divsChild>
    </w:div>
    <w:div w:id="1658996076">
      <w:bodyDiv w:val="1"/>
      <w:marLeft w:val="0"/>
      <w:marRight w:val="0"/>
      <w:marTop w:val="0"/>
      <w:marBottom w:val="0"/>
      <w:divBdr>
        <w:top w:val="none" w:sz="0" w:space="0" w:color="auto"/>
        <w:left w:val="none" w:sz="0" w:space="0" w:color="auto"/>
        <w:bottom w:val="none" w:sz="0" w:space="0" w:color="auto"/>
        <w:right w:val="none" w:sz="0" w:space="0" w:color="auto"/>
      </w:divBdr>
    </w:div>
    <w:div w:id="1668941157">
      <w:bodyDiv w:val="1"/>
      <w:marLeft w:val="0"/>
      <w:marRight w:val="0"/>
      <w:marTop w:val="0"/>
      <w:marBottom w:val="0"/>
      <w:divBdr>
        <w:top w:val="none" w:sz="0" w:space="0" w:color="auto"/>
        <w:left w:val="none" w:sz="0" w:space="0" w:color="auto"/>
        <w:bottom w:val="none" w:sz="0" w:space="0" w:color="auto"/>
        <w:right w:val="none" w:sz="0" w:space="0" w:color="auto"/>
      </w:divBdr>
    </w:div>
    <w:div w:id="1676833909">
      <w:bodyDiv w:val="1"/>
      <w:marLeft w:val="0"/>
      <w:marRight w:val="0"/>
      <w:marTop w:val="0"/>
      <w:marBottom w:val="0"/>
      <w:divBdr>
        <w:top w:val="none" w:sz="0" w:space="0" w:color="auto"/>
        <w:left w:val="none" w:sz="0" w:space="0" w:color="auto"/>
        <w:bottom w:val="none" w:sz="0" w:space="0" w:color="auto"/>
        <w:right w:val="none" w:sz="0" w:space="0" w:color="auto"/>
      </w:divBdr>
    </w:div>
    <w:div w:id="1682273478">
      <w:bodyDiv w:val="1"/>
      <w:marLeft w:val="0"/>
      <w:marRight w:val="0"/>
      <w:marTop w:val="0"/>
      <w:marBottom w:val="0"/>
      <w:divBdr>
        <w:top w:val="none" w:sz="0" w:space="0" w:color="auto"/>
        <w:left w:val="none" w:sz="0" w:space="0" w:color="auto"/>
        <w:bottom w:val="none" w:sz="0" w:space="0" w:color="auto"/>
        <w:right w:val="none" w:sz="0" w:space="0" w:color="auto"/>
      </w:divBdr>
    </w:div>
    <w:div w:id="1713572517">
      <w:bodyDiv w:val="1"/>
      <w:marLeft w:val="0"/>
      <w:marRight w:val="0"/>
      <w:marTop w:val="0"/>
      <w:marBottom w:val="0"/>
      <w:divBdr>
        <w:top w:val="none" w:sz="0" w:space="0" w:color="auto"/>
        <w:left w:val="none" w:sz="0" w:space="0" w:color="auto"/>
        <w:bottom w:val="none" w:sz="0" w:space="0" w:color="auto"/>
        <w:right w:val="none" w:sz="0" w:space="0" w:color="auto"/>
      </w:divBdr>
    </w:div>
    <w:div w:id="1716276001">
      <w:bodyDiv w:val="1"/>
      <w:marLeft w:val="0"/>
      <w:marRight w:val="0"/>
      <w:marTop w:val="0"/>
      <w:marBottom w:val="0"/>
      <w:divBdr>
        <w:top w:val="none" w:sz="0" w:space="0" w:color="auto"/>
        <w:left w:val="none" w:sz="0" w:space="0" w:color="auto"/>
        <w:bottom w:val="none" w:sz="0" w:space="0" w:color="auto"/>
        <w:right w:val="none" w:sz="0" w:space="0" w:color="auto"/>
      </w:divBdr>
    </w:div>
    <w:div w:id="1727143356">
      <w:bodyDiv w:val="1"/>
      <w:marLeft w:val="0"/>
      <w:marRight w:val="0"/>
      <w:marTop w:val="0"/>
      <w:marBottom w:val="0"/>
      <w:divBdr>
        <w:top w:val="none" w:sz="0" w:space="0" w:color="auto"/>
        <w:left w:val="none" w:sz="0" w:space="0" w:color="auto"/>
        <w:bottom w:val="none" w:sz="0" w:space="0" w:color="auto"/>
        <w:right w:val="none" w:sz="0" w:space="0" w:color="auto"/>
      </w:divBdr>
    </w:div>
    <w:div w:id="1739553060">
      <w:bodyDiv w:val="1"/>
      <w:marLeft w:val="0"/>
      <w:marRight w:val="0"/>
      <w:marTop w:val="0"/>
      <w:marBottom w:val="0"/>
      <w:divBdr>
        <w:top w:val="none" w:sz="0" w:space="0" w:color="auto"/>
        <w:left w:val="none" w:sz="0" w:space="0" w:color="auto"/>
        <w:bottom w:val="none" w:sz="0" w:space="0" w:color="auto"/>
        <w:right w:val="none" w:sz="0" w:space="0" w:color="auto"/>
      </w:divBdr>
    </w:div>
    <w:div w:id="1756703148">
      <w:bodyDiv w:val="1"/>
      <w:marLeft w:val="0"/>
      <w:marRight w:val="0"/>
      <w:marTop w:val="0"/>
      <w:marBottom w:val="0"/>
      <w:divBdr>
        <w:top w:val="none" w:sz="0" w:space="0" w:color="auto"/>
        <w:left w:val="none" w:sz="0" w:space="0" w:color="auto"/>
        <w:bottom w:val="none" w:sz="0" w:space="0" w:color="auto"/>
        <w:right w:val="none" w:sz="0" w:space="0" w:color="auto"/>
      </w:divBdr>
    </w:div>
    <w:div w:id="1766682073">
      <w:bodyDiv w:val="1"/>
      <w:marLeft w:val="0"/>
      <w:marRight w:val="0"/>
      <w:marTop w:val="0"/>
      <w:marBottom w:val="0"/>
      <w:divBdr>
        <w:top w:val="none" w:sz="0" w:space="0" w:color="auto"/>
        <w:left w:val="none" w:sz="0" w:space="0" w:color="auto"/>
        <w:bottom w:val="none" w:sz="0" w:space="0" w:color="auto"/>
        <w:right w:val="none" w:sz="0" w:space="0" w:color="auto"/>
      </w:divBdr>
    </w:div>
    <w:div w:id="1770660713">
      <w:bodyDiv w:val="1"/>
      <w:marLeft w:val="0"/>
      <w:marRight w:val="0"/>
      <w:marTop w:val="0"/>
      <w:marBottom w:val="0"/>
      <w:divBdr>
        <w:top w:val="none" w:sz="0" w:space="0" w:color="auto"/>
        <w:left w:val="none" w:sz="0" w:space="0" w:color="auto"/>
        <w:bottom w:val="none" w:sz="0" w:space="0" w:color="auto"/>
        <w:right w:val="none" w:sz="0" w:space="0" w:color="auto"/>
      </w:divBdr>
    </w:div>
    <w:div w:id="1792286490">
      <w:bodyDiv w:val="1"/>
      <w:marLeft w:val="0"/>
      <w:marRight w:val="0"/>
      <w:marTop w:val="0"/>
      <w:marBottom w:val="0"/>
      <w:divBdr>
        <w:top w:val="none" w:sz="0" w:space="0" w:color="auto"/>
        <w:left w:val="none" w:sz="0" w:space="0" w:color="auto"/>
        <w:bottom w:val="none" w:sz="0" w:space="0" w:color="auto"/>
        <w:right w:val="none" w:sz="0" w:space="0" w:color="auto"/>
      </w:divBdr>
    </w:div>
    <w:div w:id="1807508756">
      <w:bodyDiv w:val="1"/>
      <w:marLeft w:val="0"/>
      <w:marRight w:val="0"/>
      <w:marTop w:val="0"/>
      <w:marBottom w:val="0"/>
      <w:divBdr>
        <w:top w:val="none" w:sz="0" w:space="0" w:color="auto"/>
        <w:left w:val="none" w:sz="0" w:space="0" w:color="auto"/>
        <w:bottom w:val="none" w:sz="0" w:space="0" w:color="auto"/>
        <w:right w:val="none" w:sz="0" w:space="0" w:color="auto"/>
      </w:divBdr>
      <w:divsChild>
        <w:div w:id="234895081">
          <w:marLeft w:val="850"/>
          <w:marRight w:val="0"/>
          <w:marTop w:val="240"/>
          <w:marBottom w:val="0"/>
          <w:divBdr>
            <w:top w:val="none" w:sz="0" w:space="0" w:color="auto"/>
            <w:left w:val="none" w:sz="0" w:space="0" w:color="auto"/>
            <w:bottom w:val="none" w:sz="0" w:space="0" w:color="auto"/>
            <w:right w:val="none" w:sz="0" w:space="0" w:color="auto"/>
          </w:divBdr>
        </w:div>
        <w:div w:id="341203195">
          <w:marLeft w:val="850"/>
          <w:marRight w:val="0"/>
          <w:marTop w:val="240"/>
          <w:marBottom w:val="0"/>
          <w:divBdr>
            <w:top w:val="none" w:sz="0" w:space="0" w:color="auto"/>
            <w:left w:val="none" w:sz="0" w:space="0" w:color="auto"/>
            <w:bottom w:val="none" w:sz="0" w:space="0" w:color="auto"/>
            <w:right w:val="none" w:sz="0" w:space="0" w:color="auto"/>
          </w:divBdr>
        </w:div>
        <w:div w:id="724139977">
          <w:marLeft w:val="850"/>
          <w:marRight w:val="0"/>
          <w:marTop w:val="240"/>
          <w:marBottom w:val="0"/>
          <w:divBdr>
            <w:top w:val="none" w:sz="0" w:space="0" w:color="auto"/>
            <w:left w:val="none" w:sz="0" w:space="0" w:color="auto"/>
            <w:bottom w:val="none" w:sz="0" w:space="0" w:color="auto"/>
            <w:right w:val="none" w:sz="0" w:space="0" w:color="auto"/>
          </w:divBdr>
        </w:div>
        <w:div w:id="858156452">
          <w:marLeft w:val="418"/>
          <w:marRight w:val="0"/>
          <w:marTop w:val="0"/>
          <w:marBottom w:val="0"/>
          <w:divBdr>
            <w:top w:val="none" w:sz="0" w:space="0" w:color="auto"/>
            <w:left w:val="none" w:sz="0" w:space="0" w:color="auto"/>
            <w:bottom w:val="none" w:sz="0" w:space="0" w:color="auto"/>
            <w:right w:val="none" w:sz="0" w:space="0" w:color="auto"/>
          </w:divBdr>
        </w:div>
        <w:div w:id="1455520982">
          <w:marLeft w:val="850"/>
          <w:marRight w:val="0"/>
          <w:marTop w:val="240"/>
          <w:marBottom w:val="0"/>
          <w:divBdr>
            <w:top w:val="none" w:sz="0" w:space="0" w:color="auto"/>
            <w:left w:val="none" w:sz="0" w:space="0" w:color="auto"/>
            <w:bottom w:val="none" w:sz="0" w:space="0" w:color="auto"/>
            <w:right w:val="none" w:sz="0" w:space="0" w:color="auto"/>
          </w:divBdr>
        </w:div>
        <w:div w:id="1488744851">
          <w:marLeft w:val="850"/>
          <w:marRight w:val="0"/>
          <w:marTop w:val="240"/>
          <w:marBottom w:val="0"/>
          <w:divBdr>
            <w:top w:val="none" w:sz="0" w:space="0" w:color="auto"/>
            <w:left w:val="none" w:sz="0" w:space="0" w:color="auto"/>
            <w:bottom w:val="none" w:sz="0" w:space="0" w:color="auto"/>
            <w:right w:val="none" w:sz="0" w:space="0" w:color="auto"/>
          </w:divBdr>
        </w:div>
        <w:div w:id="1507939082">
          <w:marLeft w:val="850"/>
          <w:marRight w:val="0"/>
          <w:marTop w:val="240"/>
          <w:marBottom w:val="0"/>
          <w:divBdr>
            <w:top w:val="none" w:sz="0" w:space="0" w:color="auto"/>
            <w:left w:val="none" w:sz="0" w:space="0" w:color="auto"/>
            <w:bottom w:val="none" w:sz="0" w:space="0" w:color="auto"/>
            <w:right w:val="none" w:sz="0" w:space="0" w:color="auto"/>
          </w:divBdr>
        </w:div>
        <w:div w:id="1647467246">
          <w:marLeft w:val="850"/>
          <w:marRight w:val="0"/>
          <w:marTop w:val="240"/>
          <w:marBottom w:val="0"/>
          <w:divBdr>
            <w:top w:val="none" w:sz="0" w:space="0" w:color="auto"/>
            <w:left w:val="none" w:sz="0" w:space="0" w:color="auto"/>
            <w:bottom w:val="none" w:sz="0" w:space="0" w:color="auto"/>
            <w:right w:val="none" w:sz="0" w:space="0" w:color="auto"/>
          </w:divBdr>
        </w:div>
      </w:divsChild>
    </w:div>
    <w:div w:id="1858108409">
      <w:bodyDiv w:val="1"/>
      <w:marLeft w:val="0"/>
      <w:marRight w:val="0"/>
      <w:marTop w:val="0"/>
      <w:marBottom w:val="0"/>
      <w:divBdr>
        <w:top w:val="none" w:sz="0" w:space="0" w:color="auto"/>
        <w:left w:val="none" w:sz="0" w:space="0" w:color="auto"/>
        <w:bottom w:val="none" w:sz="0" w:space="0" w:color="auto"/>
        <w:right w:val="none" w:sz="0" w:space="0" w:color="auto"/>
      </w:divBdr>
      <w:divsChild>
        <w:div w:id="254024653">
          <w:marLeft w:val="547"/>
          <w:marRight w:val="0"/>
          <w:marTop w:val="0"/>
          <w:marBottom w:val="0"/>
          <w:divBdr>
            <w:top w:val="none" w:sz="0" w:space="0" w:color="auto"/>
            <w:left w:val="none" w:sz="0" w:space="0" w:color="auto"/>
            <w:bottom w:val="none" w:sz="0" w:space="0" w:color="auto"/>
            <w:right w:val="none" w:sz="0" w:space="0" w:color="auto"/>
          </w:divBdr>
        </w:div>
        <w:div w:id="1236403043">
          <w:marLeft w:val="547"/>
          <w:marRight w:val="0"/>
          <w:marTop w:val="0"/>
          <w:marBottom w:val="0"/>
          <w:divBdr>
            <w:top w:val="none" w:sz="0" w:space="0" w:color="auto"/>
            <w:left w:val="none" w:sz="0" w:space="0" w:color="auto"/>
            <w:bottom w:val="none" w:sz="0" w:space="0" w:color="auto"/>
            <w:right w:val="none" w:sz="0" w:space="0" w:color="auto"/>
          </w:divBdr>
        </w:div>
        <w:div w:id="1793281726">
          <w:marLeft w:val="547"/>
          <w:marRight w:val="0"/>
          <w:marTop w:val="0"/>
          <w:marBottom w:val="0"/>
          <w:divBdr>
            <w:top w:val="none" w:sz="0" w:space="0" w:color="auto"/>
            <w:left w:val="none" w:sz="0" w:space="0" w:color="auto"/>
            <w:bottom w:val="none" w:sz="0" w:space="0" w:color="auto"/>
            <w:right w:val="none" w:sz="0" w:space="0" w:color="auto"/>
          </w:divBdr>
        </w:div>
      </w:divsChild>
    </w:div>
    <w:div w:id="1913345364">
      <w:bodyDiv w:val="1"/>
      <w:marLeft w:val="0"/>
      <w:marRight w:val="0"/>
      <w:marTop w:val="0"/>
      <w:marBottom w:val="0"/>
      <w:divBdr>
        <w:top w:val="none" w:sz="0" w:space="0" w:color="auto"/>
        <w:left w:val="none" w:sz="0" w:space="0" w:color="auto"/>
        <w:bottom w:val="none" w:sz="0" w:space="0" w:color="auto"/>
        <w:right w:val="none" w:sz="0" w:space="0" w:color="auto"/>
      </w:divBdr>
    </w:div>
    <w:div w:id="1935280343">
      <w:bodyDiv w:val="1"/>
      <w:marLeft w:val="0"/>
      <w:marRight w:val="0"/>
      <w:marTop w:val="0"/>
      <w:marBottom w:val="0"/>
      <w:divBdr>
        <w:top w:val="none" w:sz="0" w:space="0" w:color="auto"/>
        <w:left w:val="none" w:sz="0" w:space="0" w:color="auto"/>
        <w:bottom w:val="none" w:sz="0" w:space="0" w:color="auto"/>
        <w:right w:val="none" w:sz="0" w:space="0" w:color="auto"/>
      </w:divBdr>
      <w:divsChild>
        <w:div w:id="135530883">
          <w:marLeft w:val="547"/>
          <w:marRight w:val="0"/>
          <w:marTop w:val="0"/>
          <w:marBottom w:val="0"/>
          <w:divBdr>
            <w:top w:val="none" w:sz="0" w:space="0" w:color="auto"/>
            <w:left w:val="none" w:sz="0" w:space="0" w:color="auto"/>
            <w:bottom w:val="none" w:sz="0" w:space="0" w:color="auto"/>
            <w:right w:val="none" w:sz="0" w:space="0" w:color="auto"/>
          </w:divBdr>
        </w:div>
      </w:divsChild>
    </w:div>
    <w:div w:id="1936475361">
      <w:bodyDiv w:val="1"/>
      <w:marLeft w:val="0"/>
      <w:marRight w:val="0"/>
      <w:marTop w:val="0"/>
      <w:marBottom w:val="0"/>
      <w:divBdr>
        <w:top w:val="none" w:sz="0" w:space="0" w:color="auto"/>
        <w:left w:val="none" w:sz="0" w:space="0" w:color="auto"/>
        <w:bottom w:val="none" w:sz="0" w:space="0" w:color="auto"/>
        <w:right w:val="none" w:sz="0" w:space="0" w:color="auto"/>
      </w:divBdr>
      <w:divsChild>
        <w:div w:id="1952739402">
          <w:marLeft w:val="547"/>
          <w:marRight w:val="0"/>
          <w:marTop w:val="0"/>
          <w:marBottom w:val="0"/>
          <w:divBdr>
            <w:top w:val="none" w:sz="0" w:space="0" w:color="auto"/>
            <w:left w:val="none" w:sz="0" w:space="0" w:color="auto"/>
            <w:bottom w:val="none" w:sz="0" w:space="0" w:color="auto"/>
            <w:right w:val="none" w:sz="0" w:space="0" w:color="auto"/>
          </w:divBdr>
        </w:div>
      </w:divsChild>
    </w:div>
    <w:div w:id="1944456681">
      <w:bodyDiv w:val="1"/>
      <w:marLeft w:val="0"/>
      <w:marRight w:val="0"/>
      <w:marTop w:val="0"/>
      <w:marBottom w:val="0"/>
      <w:divBdr>
        <w:top w:val="none" w:sz="0" w:space="0" w:color="auto"/>
        <w:left w:val="none" w:sz="0" w:space="0" w:color="auto"/>
        <w:bottom w:val="none" w:sz="0" w:space="0" w:color="auto"/>
        <w:right w:val="none" w:sz="0" w:space="0" w:color="auto"/>
      </w:divBdr>
    </w:div>
    <w:div w:id="1945264584">
      <w:bodyDiv w:val="1"/>
      <w:marLeft w:val="0"/>
      <w:marRight w:val="0"/>
      <w:marTop w:val="0"/>
      <w:marBottom w:val="0"/>
      <w:divBdr>
        <w:top w:val="none" w:sz="0" w:space="0" w:color="auto"/>
        <w:left w:val="none" w:sz="0" w:space="0" w:color="auto"/>
        <w:bottom w:val="none" w:sz="0" w:space="0" w:color="auto"/>
        <w:right w:val="none" w:sz="0" w:space="0" w:color="auto"/>
      </w:divBdr>
    </w:div>
    <w:div w:id="1946691403">
      <w:bodyDiv w:val="1"/>
      <w:marLeft w:val="0"/>
      <w:marRight w:val="0"/>
      <w:marTop w:val="0"/>
      <w:marBottom w:val="0"/>
      <w:divBdr>
        <w:top w:val="none" w:sz="0" w:space="0" w:color="auto"/>
        <w:left w:val="none" w:sz="0" w:space="0" w:color="auto"/>
        <w:bottom w:val="none" w:sz="0" w:space="0" w:color="auto"/>
        <w:right w:val="none" w:sz="0" w:space="0" w:color="auto"/>
      </w:divBdr>
    </w:div>
    <w:div w:id="1949047946">
      <w:bodyDiv w:val="1"/>
      <w:marLeft w:val="0"/>
      <w:marRight w:val="0"/>
      <w:marTop w:val="0"/>
      <w:marBottom w:val="0"/>
      <w:divBdr>
        <w:top w:val="none" w:sz="0" w:space="0" w:color="auto"/>
        <w:left w:val="none" w:sz="0" w:space="0" w:color="auto"/>
        <w:bottom w:val="none" w:sz="0" w:space="0" w:color="auto"/>
        <w:right w:val="none" w:sz="0" w:space="0" w:color="auto"/>
      </w:divBdr>
    </w:div>
    <w:div w:id="1976829093">
      <w:bodyDiv w:val="1"/>
      <w:marLeft w:val="0"/>
      <w:marRight w:val="0"/>
      <w:marTop w:val="0"/>
      <w:marBottom w:val="0"/>
      <w:divBdr>
        <w:top w:val="none" w:sz="0" w:space="0" w:color="auto"/>
        <w:left w:val="none" w:sz="0" w:space="0" w:color="auto"/>
        <w:bottom w:val="none" w:sz="0" w:space="0" w:color="auto"/>
        <w:right w:val="none" w:sz="0" w:space="0" w:color="auto"/>
      </w:divBdr>
    </w:div>
    <w:div w:id="1994021819">
      <w:bodyDiv w:val="1"/>
      <w:marLeft w:val="0"/>
      <w:marRight w:val="0"/>
      <w:marTop w:val="0"/>
      <w:marBottom w:val="0"/>
      <w:divBdr>
        <w:top w:val="none" w:sz="0" w:space="0" w:color="auto"/>
        <w:left w:val="none" w:sz="0" w:space="0" w:color="auto"/>
        <w:bottom w:val="none" w:sz="0" w:space="0" w:color="auto"/>
        <w:right w:val="none" w:sz="0" w:space="0" w:color="auto"/>
      </w:divBdr>
    </w:div>
    <w:div w:id="2006738550">
      <w:bodyDiv w:val="1"/>
      <w:marLeft w:val="0"/>
      <w:marRight w:val="0"/>
      <w:marTop w:val="0"/>
      <w:marBottom w:val="0"/>
      <w:divBdr>
        <w:top w:val="none" w:sz="0" w:space="0" w:color="auto"/>
        <w:left w:val="none" w:sz="0" w:space="0" w:color="auto"/>
        <w:bottom w:val="none" w:sz="0" w:space="0" w:color="auto"/>
        <w:right w:val="none" w:sz="0" w:space="0" w:color="auto"/>
      </w:divBdr>
      <w:divsChild>
        <w:div w:id="381826575">
          <w:marLeft w:val="547"/>
          <w:marRight w:val="0"/>
          <w:marTop w:val="0"/>
          <w:marBottom w:val="0"/>
          <w:divBdr>
            <w:top w:val="none" w:sz="0" w:space="0" w:color="auto"/>
            <w:left w:val="none" w:sz="0" w:space="0" w:color="auto"/>
            <w:bottom w:val="none" w:sz="0" w:space="0" w:color="auto"/>
            <w:right w:val="none" w:sz="0" w:space="0" w:color="auto"/>
          </w:divBdr>
        </w:div>
      </w:divsChild>
    </w:div>
    <w:div w:id="2022270379">
      <w:bodyDiv w:val="1"/>
      <w:marLeft w:val="0"/>
      <w:marRight w:val="0"/>
      <w:marTop w:val="0"/>
      <w:marBottom w:val="0"/>
      <w:divBdr>
        <w:top w:val="none" w:sz="0" w:space="0" w:color="auto"/>
        <w:left w:val="none" w:sz="0" w:space="0" w:color="auto"/>
        <w:bottom w:val="none" w:sz="0" w:space="0" w:color="auto"/>
        <w:right w:val="none" w:sz="0" w:space="0" w:color="auto"/>
      </w:divBdr>
    </w:div>
    <w:div w:id="2025015240">
      <w:bodyDiv w:val="1"/>
      <w:marLeft w:val="0"/>
      <w:marRight w:val="0"/>
      <w:marTop w:val="0"/>
      <w:marBottom w:val="0"/>
      <w:divBdr>
        <w:top w:val="none" w:sz="0" w:space="0" w:color="auto"/>
        <w:left w:val="none" w:sz="0" w:space="0" w:color="auto"/>
        <w:bottom w:val="none" w:sz="0" w:space="0" w:color="auto"/>
        <w:right w:val="none" w:sz="0" w:space="0" w:color="auto"/>
      </w:divBdr>
    </w:div>
    <w:div w:id="2051299523">
      <w:bodyDiv w:val="1"/>
      <w:marLeft w:val="0"/>
      <w:marRight w:val="0"/>
      <w:marTop w:val="0"/>
      <w:marBottom w:val="0"/>
      <w:divBdr>
        <w:top w:val="none" w:sz="0" w:space="0" w:color="auto"/>
        <w:left w:val="none" w:sz="0" w:space="0" w:color="auto"/>
        <w:bottom w:val="none" w:sz="0" w:space="0" w:color="auto"/>
        <w:right w:val="none" w:sz="0" w:space="0" w:color="auto"/>
      </w:divBdr>
    </w:div>
    <w:div w:id="2055734609">
      <w:bodyDiv w:val="1"/>
      <w:marLeft w:val="0"/>
      <w:marRight w:val="0"/>
      <w:marTop w:val="0"/>
      <w:marBottom w:val="0"/>
      <w:divBdr>
        <w:top w:val="none" w:sz="0" w:space="0" w:color="auto"/>
        <w:left w:val="none" w:sz="0" w:space="0" w:color="auto"/>
        <w:bottom w:val="none" w:sz="0" w:space="0" w:color="auto"/>
        <w:right w:val="none" w:sz="0" w:space="0" w:color="auto"/>
      </w:divBdr>
    </w:div>
    <w:div w:id="2069911699">
      <w:bodyDiv w:val="1"/>
      <w:marLeft w:val="0"/>
      <w:marRight w:val="0"/>
      <w:marTop w:val="0"/>
      <w:marBottom w:val="0"/>
      <w:divBdr>
        <w:top w:val="none" w:sz="0" w:space="0" w:color="auto"/>
        <w:left w:val="none" w:sz="0" w:space="0" w:color="auto"/>
        <w:bottom w:val="none" w:sz="0" w:space="0" w:color="auto"/>
        <w:right w:val="none" w:sz="0" w:space="0" w:color="auto"/>
      </w:divBdr>
    </w:div>
    <w:div w:id="2075198022">
      <w:bodyDiv w:val="1"/>
      <w:marLeft w:val="0"/>
      <w:marRight w:val="0"/>
      <w:marTop w:val="0"/>
      <w:marBottom w:val="0"/>
      <w:divBdr>
        <w:top w:val="none" w:sz="0" w:space="0" w:color="auto"/>
        <w:left w:val="none" w:sz="0" w:space="0" w:color="auto"/>
        <w:bottom w:val="none" w:sz="0" w:space="0" w:color="auto"/>
        <w:right w:val="none" w:sz="0" w:space="0" w:color="auto"/>
      </w:divBdr>
    </w:div>
    <w:div w:id="2080860230">
      <w:bodyDiv w:val="1"/>
      <w:marLeft w:val="0"/>
      <w:marRight w:val="0"/>
      <w:marTop w:val="0"/>
      <w:marBottom w:val="0"/>
      <w:divBdr>
        <w:top w:val="none" w:sz="0" w:space="0" w:color="auto"/>
        <w:left w:val="none" w:sz="0" w:space="0" w:color="auto"/>
        <w:bottom w:val="none" w:sz="0" w:space="0" w:color="auto"/>
        <w:right w:val="none" w:sz="0" w:space="0" w:color="auto"/>
      </w:divBdr>
    </w:div>
    <w:div w:id="2087263552">
      <w:bodyDiv w:val="1"/>
      <w:marLeft w:val="0"/>
      <w:marRight w:val="0"/>
      <w:marTop w:val="0"/>
      <w:marBottom w:val="0"/>
      <w:divBdr>
        <w:top w:val="none" w:sz="0" w:space="0" w:color="auto"/>
        <w:left w:val="none" w:sz="0" w:space="0" w:color="auto"/>
        <w:bottom w:val="none" w:sz="0" w:space="0" w:color="auto"/>
        <w:right w:val="none" w:sz="0" w:space="0" w:color="auto"/>
      </w:divBdr>
    </w:div>
    <w:div w:id="2096853309">
      <w:bodyDiv w:val="1"/>
      <w:marLeft w:val="0"/>
      <w:marRight w:val="0"/>
      <w:marTop w:val="0"/>
      <w:marBottom w:val="0"/>
      <w:divBdr>
        <w:top w:val="none" w:sz="0" w:space="0" w:color="auto"/>
        <w:left w:val="none" w:sz="0" w:space="0" w:color="auto"/>
        <w:bottom w:val="none" w:sz="0" w:space="0" w:color="auto"/>
        <w:right w:val="none" w:sz="0" w:space="0" w:color="auto"/>
      </w:divBdr>
    </w:div>
    <w:div w:id="2097825370">
      <w:bodyDiv w:val="1"/>
      <w:marLeft w:val="0"/>
      <w:marRight w:val="0"/>
      <w:marTop w:val="0"/>
      <w:marBottom w:val="0"/>
      <w:divBdr>
        <w:top w:val="none" w:sz="0" w:space="0" w:color="auto"/>
        <w:left w:val="none" w:sz="0" w:space="0" w:color="auto"/>
        <w:bottom w:val="none" w:sz="0" w:space="0" w:color="auto"/>
        <w:right w:val="none" w:sz="0" w:space="0" w:color="auto"/>
      </w:divBdr>
    </w:div>
    <w:div w:id="2127235749">
      <w:bodyDiv w:val="1"/>
      <w:marLeft w:val="0"/>
      <w:marRight w:val="0"/>
      <w:marTop w:val="0"/>
      <w:marBottom w:val="0"/>
      <w:divBdr>
        <w:top w:val="none" w:sz="0" w:space="0" w:color="auto"/>
        <w:left w:val="none" w:sz="0" w:space="0" w:color="auto"/>
        <w:bottom w:val="none" w:sz="0" w:space="0" w:color="auto"/>
        <w:right w:val="none" w:sz="0" w:space="0" w:color="auto"/>
      </w:divBdr>
    </w:div>
    <w:div w:id="2140102494">
      <w:bodyDiv w:val="1"/>
      <w:marLeft w:val="0"/>
      <w:marRight w:val="0"/>
      <w:marTop w:val="0"/>
      <w:marBottom w:val="0"/>
      <w:divBdr>
        <w:top w:val="none" w:sz="0" w:space="0" w:color="auto"/>
        <w:left w:val="none" w:sz="0" w:space="0" w:color="auto"/>
        <w:bottom w:val="none" w:sz="0" w:space="0" w:color="auto"/>
        <w:right w:val="none" w:sz="0" w:space="0" w:color="auto"/>
      </w:divBdr>
    </w:div>
    <w:div w:id="214172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42C2C-A6E2-FC47-B4E9-F3ED5CB3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91221</Words>
  <Characters>501718</Characters>
  <Application>Microsoft Office Word</Application>
  <DocSecurity>0</DocSecurity>
  <Lines>4180</Lines>
  <Paragraphs>1183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Bleric Alcala</dc:creator>
  <cp:keywords/>
  <dc:description/>
  <cp:lastModifiedBy>Fernando Abdalla</cp:lastModifiedBy>
  <cp:revision>6</cp:revision>
  <cp:lastPrinted>2021-06-17T09:27:00Z</cp:lastPrinted>
  <dcterms:created xsi:type="dcterms:W3CDTF">2021-12-15T07:55:00Z</dcterms:created>
  <dcterms:modified xsi:type="dcterms:W3CDTF">2021-12-16T11:43:00Z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id="nkw1F4RA"/&gt;&lt;style id="http://www.zotero.org/styles/weber" hasBibliography="1" bibliographyStyleHasBeenSet="1"/&gt;&lt;prefs&gt;&lt;pref name="fieldType" value="Field"/&gt;&lt;pref name="automaticJournalAbbreviat</vt:lpwstr>
  </property>
  <property fmtid="{D5CDD505-2E9C-101B-9397-08002B2CF9AE}" pid="3" name="ZOTERO_PREF_2">
    <vt:lpwstr>ions" value="true"/&gt;&lt;pref name="dontAskDelayCitationUpdates" value="true"/&gt;&lt;/prefs&gt;&lt;/data&gt;</vt:lpwstr>
  </property>
</Properties>
</file>