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9010" w14:textId="26B48E50" w:rsidR="00F918E9" w:rsidRDefault="0002098E" w:rsidP="00F918E9">
      <w:pPr>
        <w:jc w:val="center"/>
        <w:rPr>
          <w:b/>
          <w:bCs/>
          <w:sz w:val="28"/>
          <w:szCs w:val="28"/>
        </w:rPr>
      </w:pPr>
      <w:r w:rsidRPr="0001451B">
        <w:rPr>
          <w:b/>
          <w:bCs/>
          <w:sz w:val="28"/>
          <w:szCs w:val="28"/>
        </w:rPr>
        <w:t>Appendix</w:t>
      </w:r>
      <w:r w:rsidR="00F918E9">
        <w:rPr>
          <w:b/>
          <w:bCs/>
          <w:sz w:val="28"/>
          <w:szCs w:val="28"/>
        </w:rPr>
        <w:t xml:space="preserve"> </w:t>
      </w:r>
    </w:p>
    <w:p w14:paraId="77C45E70" w14:textId="77777777" w:rsidR="00F918E9" w:rsidRDefault="00F918E9" w:rsidP="00F918E9">
      <w:pPr>
        <w:jc w:val="center"/>
        <w:rPr>
          <w:b/>
          <w:bCs/>
          <w:sz w:val="28"/>
          <w:szCs w:val="28"/>
        </w:rPr>
      </w:pPr>
    </w:p>
    <w:p w14:paraId="30C1BABB" w14:textId="33D40CBA" w:rsidR="0002098E" w:rsidRPr="00F918E9" w:rsidRDefault="00FF0CE4" w:rsidP="00F918E9">
      <w:pPr>
        <w:jc w:val="center"/>
        <w:rPr>
          <w:b/>
          <w:bCs/>
          <w:sz w:val="20"/>
          <w:szCs w:val="20"/>
        </w:rPr>
      </w:pPr>
      <w:r>
        <w:rPr>
          <w:b/>
          <w:bCs/>
          <w:sz w:val="20"/>
          <w:szCs w:val="20"/>
        </w:rPr>
        <w:t>For the r</w:t>
      </w:r>
      <w:r w:rsidR="00F918E9" w:rsidRPr="00F918E9">
        <w:rPr>
          <w:b/>
          <w:bCs/>
          <w:sz w:val="20"/>
          <w:szCs w:val="20"/>
        </w:rPr>
        <w:t>esearch article entitled “Preserving the old or building the new? Reputation-building through strategic talk and engagement with stakeholder inputs by the European Commission”.</w:t>
      </w:r>
    </w:p>
    <w:p w14:paraId="22EC2D0A" w14:textId="77777777" w:rsidR="00F918E9" w:rsidRPr="0001451B" w:rsidRDefault="00F918E9" w:rsidP="00F918E9">
      <w:pPr>
        <w:jc w:val="center"/>
        <w:rPr>
          <w:b/>
          <w:bCs/>
          <w:sz w:val="28"/>
          <w:szCs w:val="28"/>
        </w:rPr>
      </w:pPr>
    </w:p>
    <w:p w14:paraId="13256E07" w14:textId="6B2787A3" w:rsidR="0002098E" w:rsidRPr="00B4164B" w:rsidRDefault="0002098E" w:rsidP="0002098E">
      <w:pPr>
        <w:rPr>
          <w:b/>
          <w:bCs/>
        </w:rPr>
      </w:pPr>
      <w:r w:rsidRPr="00B4164B">
        <w:rPr>
          <w:b/>
          <w:bCs/>
        </w:rPr>
        <w:t>Table A</w:t>
      </w:r>
      <w:r w:rsidR="00F918E9">
        <w:rPr>
          <w:b/>
          <w:bCs/>
        </w:rPr>
        <w:t>:</w:t>
      </w:r>
      <w:r w:rsidRPr="00B4164B">
        <w:rPr>
          <w:b/>
          <w:bCs/>
        </w:rPr>
        <w:t xml:space="preserve"> </w:t>
      </w:r>
      <w:r w:rsidR="00F918E9">
        <w:rPr>
          <w:b/>
          <w:bCs/>
        </w:rPr>
        <w:t xml:space="preserve">Examples of </w:t>
      </w:r>
      <w:r w:rsidR="007E37D5">
        <w:rPr>
          <w:b/>
          <w:bCs/>
          <w:lang w:val="en-US"/>
        </w:rPr>
        <w:t>EC reply categories</w:t>
      </w:r>
      <w:r w:rsidRPr="00B4164B">
        <w:rPr>
          <w:b/>
          <w:bCs/>
        </w:rPr>
        <w:t xml:space="preserve"> </w:t>
      </w:r>
    </w:p>
    <w:tbl>
      <w:tblPr>
        <w:tblStyle w:val="PlainTable2"/>
        <w:tblW w:w="0" w:type="auto"/>
        <w:tblLook w:val="04A0" w:firstRow="1" w:lastRow="0" w:firstColumn="1" w:lastColumn="0" w:noHBand="0" w:noVBand="1"/>
      </w:tblPr>
      <w:tblGrid>
        <w:gridCol w:w="1980"/>
        <w:gridCol w:w="7036"/>
      </w:tblGrid>
      <w:tr w:rsidR="0002098E" w:rsidRPr="00B4164B" w14:paraId="60157A54" w14:textId="77777777" w:rsidTr="002A0A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DFAD112" w14:textId="77777777" w:rsidR="0002098E" w:rsidRPr="00B4164B" w:rsidRDefault="0002098E" w:rsidP="002A0A35">
            <w:pPr>
              <w:spacing w:line="360" w:lineRule="auto"/>
              <w:rPr>
                <w:b w:val="0"/>
                <w:bCs w:val="0"/>
              </w:rPr>
            </w:pPr>
            <w:r w:rsidRPr="00B4164B">
              <w:t>Type of reply</w:t>
            </w:r>
          </w:p>
        </w:tc>
        <w:tc>
          <w:tcPr>
            <w:tcW w:w="7036" w:type="dxa"/>
          </w:tcPr>
          <w:p w14:paraId="3A3360CD" w14:textId="7F31D7AC" w:rsidR="0002098E" w:rsidRPr="0001451B" w:rsidRDefault="007E37D5" w:rsidP="002A0A35">
            <w:pPr>
              <w:spacing w:line="360" w:lineRule="auto"/>
              <w:cnfStyle w:val="100000000000" w:firstRow="1" w:lastRow="0" w:firstColumn="0" w:lastColumn="0" w:oddVBand="0" w:evenVBand="0" w:oddHBand="0" w:evenHBand="0" w:firstRowFirstColumn="0" w:firstRowLastColumn="0" w:lastRowFirstColumn="0" w:lastRowLastColumn="0"/>
              <w:rPr>
                <w:b w:val="0"/>
                <w:bCs w:val="0"/>
                <w:lang w:val="en-US"/>
              </w:rPr>
            </w:pPr>
            <w:r>
              <w:t xml:space="preserve">EC reply </w:t>
            </w:r>
            <w:r w:rsidR="0001451B">
              <w:rPr>
                <w:lang w:val="en-US"/>
              </w:rPr>
              <w:t>text</w:t>
            </w:r>
          </w:p>
        </w:tc>
      </w:tr>
      <w:tr w:rsidR="0002098E" w:rsidRPr="00B4164B" w14:paraId="50BC7CDC" w14:textId="77777777" w:rsidTr="002A0A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302CAE6" w14:textId="77777777" w:rsidR="0002098E" w:rsidRPr="00B4164B" w:rsidRDefault="0002098E" w:rsidP="002A0A35">
            <w:pPr>
              <w:spacing w:line="360" w:lineRule="auto"/>
              <w:rPr>
                <w:b w:val="0"/>
                <w:bCs w:val="0"/>
              </w:rPr>
            </w:pPr>
            <w:r w:rsidRPr="00B4164B">
              <w:t>Adoption</w:t>
            </w:r>
          </w:p>
        </w:tc>
        <w:tc>
          <w:tcPr>
            <w:tcW w:w="7036" w:type="dxa"/>
          </w:tcPr>
          <w:p w14:paraId="0D2E9FFE" w14:textId="1848A278" w:rsidR="0002098E" w:rsidRPr="00B4164B" w:rsidRDefault="00F918E9" w:rsidP="002A0A35">
            <w:pPr>
              <w:cnfStyle w:val="000000100000" w:firstRow="0" w:lastRow="0" w:firstColumn="0" w:lastColumn="0" w:oddVBand="0" w:evenVBand="0" w:oddHBand="1" w:evenHBand="0" w:firstRowFirstColumn="0" w:firstRowLastColumn="0" w:lastRowFirstColumn="0" w:lastRowLastColumn="0"/>
              <w:rPr>
                <w:b/>
                <w:bCs/>
              </w:rPr>
            </w:pPr>
            <w:r>
              <w:rPr>
                <w:color w:val="000000"/>
                <w:lang w:eastAsia="nb-NO"/>
              </w:rPr>
              <w:t>“</w:t>
            </w:r>
            <w:r w:rsidR="0002098E" w:rsidRPr="00B4164B">
              <w:rPr>
                <w:color w:val="000000"/>
                <w:lang w:eastAsia="nb-NO"/>
              </w:rPr>
              <w:t>On behalf of the REFIT Platform, we would like to inform you that on 7 June 2017 the REFIT Platform has adopted an opinion on your suggestions regarding "identity and travel documents" (REFIT Platform ref. XIII.3.a). The adopted Opinion has also been published on the REFIT Platform's website.</w:t>
            </w:r>
            <w:r w:rsidR="0002098E" w:rsidRPr="00B4164B">
              <w:rPr>
                <w:color w:val="000000"/>
                <w:lang w:eastAsia="nb-NO"/>
              </w:rPr>
              <w:br/>
            </w:r>
            <w:r w:rsidR="0002098E" w:rsidRPr="00B4164B">
              <w:rPr>
                <w:color w:val="000000"/>
                <w:lang w:eastAsia="nb-NO"/>
              </w:rPr>
              <w:br/>
              <w:t>The follow-up to this adopted opinion will be made in the context of the preparation of the CWP2018 and published on our website thereafter.</w:t>
            </w:r>
            <w:r w:rsidR="0002098E" w:rsidRPr="00B4164B">
              <w:rPr>
                <w:color w:val="000000"/>
                <w:lang w:eastAsia="nb-NO"/>
              </w:rPr>
              <w:br/>
              <w:t>With many thanks again for your interest in these issues,</w:t>
            </w:r>
            <w:r>
              <w:rPr>
                <w:color w:val="000000"/>
                <w:lang w:eastAsia="nb-NO"/>
              </w:rPr>
              <w:t>”</w:t>
            </w:r>
          </w:p>
        </w:tc>
      </w:tr>
      <w:tr w:rsidR="0002098E" w:rsidRPr="00B4164B" w14:paraId="10088297" w14:textId="77777777" w:rsidTr="002A0A35">
        <w:tc>
          <w:tcPr>
            <w:cnfStyle w:val="001000000000" w:firstRow="0" w:lastRow="0" w:firstColumn="1" w:lastColumn="0" w:oddVBand="0" w:evenVBand="0" w:oddHBand="0" w:evenHBand="0" w:firstRowFirstColumn="0" w:firstRowLastColumn="0" w:lastRowFirstColumn="0" w:lastRowLastColumn="0"/>
            <w:tcW w:w="1980" w:type="dxa"/>
          </w:tcPr>
          <w:p w14:paraId="6A0ED67E" w14:textId="77777777" w:rsidR="0002098E" w:rsidRPr="00B4164B" w:rsidRDefault="0002098E" w:rsidP="002A0A35">
            <w:pPr>
              <w:spacing w:line="360" w:lineRule="auto"/>
              <w:rPr>
                <w:b w:val="0"/>
                <w:bCs w:val="0"/>
              </w:rPr>
            </w:pPr>
            <w:r w:rsidRPr="00B4164B">
              <w:t>Procedural</w:t>
            </w:r>
          </w:p>
        </w:tc>
        <w:tc>
          <w:tcPr>
            <w:tcW w:w="7036" w:type="dxa"/>
          </w:tcPr>
          <w:p w14:paraId="5647800E" w14:textId="2A5E454A" w:rsidR="0002098E" w:rsidRPr="00B4164B" w:rsidRDefault="00F918E9" w:rsidP="002A0A35">
            <w:pPr>
              <w:cnfStyle w:val="000000000000" w:firstRow="0" w:lastRow="0" w:firstColumn="0" w:lastColumn="0" w:oddVBand="0" w:evenVBand="0" w:oddHBand="0" w:evenHBand="0" w:firstRowFirstColumn="0" w:firstRowLastColumn="0" w:lastRowFirstColumn="0" w:lastRowLastColumn="0"/>
              <w:rPr>
                <w:color w:val="000000"/>
              </w:rPr>
            </w:pPr>
            <w:r>
              <w:rPr>
                <w:color w:val="000000"/>
              </w:rPr>
              <w:t>“</w:t>
            </w:r>
            <w:r w:rsidR="0002098E" w:rsidRPr="00B4164B">
              <w:rPr>
                <w:color w:val="000000"/>
              </w:rPr>
              <w:t>On behalf of the REFIT Platform, thank you for submitting your suggestion on the efficiency, effectiveness or burden reduction of EU regulation or its implementation by Member States.</w:t>
            </w:r>
            <w:r w:rsidR="0002098E" w:rsidRPr="00B4164B">
              <w:rPr>
                <w:color w:val="000000"/>
              </w:rPr>
              <w:br/>
            </w:r>
            <w:r w:rsidR="0002098E" w:rsidRPr="00B4164B">
              <w:rPr>
                <w:color w:val="000000"/>
              </w:rPr>
              <w:br/>
              <w:t>The Platform has concluded that it does not intend to prepare an opinion on the issues raised. This is because the issues are covered by an EU legislative measure which only entered into application less than two years ago and so there is too short a period of experience of the application of the measure for sound conclusions on its performance to be drawn</w:t>
            </w:r>
            <w:r>
              <w:rPr>
                <w:color w:val="000000"/>
              </w:rPr>
              <w:t>.</w:t>
            </w:r>
            <w:r w:rsidR="0002098E" w:rsidRPr="00B4164B">
              <w:rPr>
                <w:color w:val="000000"/>
              </w:rPr>
              <w:br/>
            </w:r>
            <w:r w:rsidR="0002098E" w:rsidRPr="00B4164B">
              <w:rPr>
                <w:color w:val="000000"/>
              </w:rPr>
              <w:br/>
              <w:t>Your suggestion has been forwarded to the Commission service responsible for the relevant policy area which has produced an explanation of the current context, which we attach for your information. With thanks again for your suggestion which will be retained for future reference,</w:t>
            </w:r>
            <w:r>
              <w:rPr>
                <w:color w:val="000000"/>
              </w:rPr>
              <w:t>”</w:t>
            </w:r>
          </w:p>
        </w:tc>
      </w:tr>
      <w:tr w:rsidR="0002098E" w:rsidRPr="00B4164B" w14:paraId="46C51C9B" w14:textId="77777777" w:rsidTr="002A0A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18684BE" w14:textId="77777777" w:rsidR="0002098E" w:rsidRPr="00B4164B" w:rsidRDefault="0002098E" w:rsidP="002A0A35">
            <w:pPr>
              <w:spacing w:line="360" w:lineRule="auto"/>
              <w:rPr>
                <w:b w:val="0"/>
                <w:bCs w:val="0"/>
              </w:rPr>
            </w:pPr>
            <w:r w:rsidRPr="00B4164B">
              <w:t xml:space="preserve">Competence </w:t>
            </w:r>
          </w:p>
        </w:tc>
        <w:tc>
          <w:tcPr>
            <w:tcW w:w="7036" w:type="dxa"/>
          </w:tcPr>
          <w:p w14:paraId="109F351C" w14:textId="18F4212B" w:rsidR="0002098E" w:rsidRPr="00B4164B" w:rsidRDefault="00F918E9" w:rsidP="002A0A35">
            <w:pPr>
              <w:cnfStyle w:val="000000100000" w:firstRow="0" w:lastRow="0" w:firstColumn="0" w:lastColumn="0" w:oddVBand="0" w:evenVBand="0" w:oddHBand="1" w:evenHBand="0" w:firstRowFirstColumn="0" w:firstRowLastColumn="0" w:lastRowFirstColumn="0" w:lastRowLastColumn="0"/>
              <w:rPr>
                <w:color w:val="000000"/>
              </w:rPr>
            </w:pPr>
            <w:r>
              <w:rPr>
                <w:color w:val="000000"/>
              </w:rPr>
              <w:t>“</w:t>
            </w:r>
            <w:r w:rsidR="0002098E" w:rsidRPr="00B4164B">
              <w:rPr>
                <w:color w:val="000000"/>
              </w:rPr>
              <w:t>On behalf of the REFIT Platform, thank you for submitting your suggestion on the efficiency, effectiveness or burden reduction of EU regulation or its implementation by Member States.</w:t>
            </w:r>
            <w:r w:rsidR="0002098E" w:rsidRPr="00B4164B">
              <w:rPr>
                <w:color w:val="000000"/>
              </w:rPr>
              <w:br/>
              <w:t>The Platform has concluded that it does not intend to prepare an opinion on the issues raised. This decision is based on the fact that this submission is a competence of the Member States, and falls beyond the remits of the REFIT Platform. We would also like to provide you with a reference to the Circular Economy Strategy and Plan: http://ec.europa.eu/environment/circular-economy/index_en.htm</w:t>
            </w:r>
            <w:r>
              <w:rPr>
                <w:color w:val="000000"/>
              </w:rPr>
              <w:t>”</w:t>
            </w:r>
          </w:p>
        </w:tc>
      </w:tr>
      <w:tr w:rsidR="0002098E" w:rsidRPr="00B4164B" w14:paraId="2718B1AC" w14:textId="77777777" w:rsidTr="002A0A35">
        <w:tc>
          <w:tcPr>
            <w:cnfStyle w:val="001000000000" w:firstRow="0" w:lastRow="0" w:firstColumn="1" w:lastColumn="0" w:oddVBand="0" w:evenVBand="0" w:oddHBand="0" w:evenHBand="0" w:firstRowFirstColumn="0" w:firstRowLastColumn="0" w:lastRowFirstColumn="0" w:lastRowLastColumn="0"/>
            <w:tcW w:w="1980" w:type="dxa"/>
          </w:tcPr>
          <w:p w14:paraId="12E7514F" w14:textId="77777777" w:rsidR="0002098E" w:rsidRPr="00B4164B" w:rsidRDefault="0002098E" w:rsidP="002A0A35">
            <w:pPr>
              <w:rPr>
                <w:b w:val="0"/>
                <w:bCs w:val="0"/>
              </w:rPr>
            </w:pPr>
            <w:r w:rsidRPr="00B4164B">
              <w:t>Policy substantive</w:t>
            </w:r>
          </w:p>
        </w:tc>
        <w:tc>
          <w:tcPr>
            <w:tcW w:w="7036" w:type="dxa"/>
          </w:tcPr>
          <w:p w14:paraId="4F2705DC" w14:textId="10256DA9" w:rsidR="0002098E" w:rsidRPr="00F723A6" w:rsidRDefault="00F918E9" w:rsidP="002A0A35">
            <w:pPr>
              <w:cnfStyle w:val="000000000000" w:firstRow="0" w:lastRow="0" w:firstColumn="0" w:lastColumn="0" w:oddVBand="0" w:evenVBand="0" w:oddHBand="0" w:evenHBand="0" w:firstRowFirstColumn="0" w:firstRowLastColumn="0" w:lastRowFirstColumn="0" w:lastRowLastColumn="0"/>
              <w:rPr>
                <w:color w:val="000000"/>
              </w:rPr>
            </w:pPr>
            <w:r>
              <w:rPr>
                <w:color w:val="000000"/>
              </w:rPr>
              <w:t>“</w:t>
            </w:r>
            <w:r w:rsidR="0002098E" w:rsidRPr="00B4164B">
              <w:rPr>
                <w:color w:val="000000"/>
              </w:rPr>
              <w:t>Commercial rates of interest, commissions and other charges are based on many factors. One of the main factors for the rate of interest is the risk that an individual loan might pose to the bank. For instance, a company with a low risk profile will most likely receive an offer with a low rate, while the offer for a company with a higher risk profile will most likely include a higher rate. These market forces are something that the European Union cannot, and should not, influence.</w:t>
            </w:r>
            <w:r w:rsidR="0002098E" w:rsidRPr="00B4164B">
              <w:rPr>
                <w:color w:val="000000"/>
              </w:rPr>
              <w:br/>
            </w:r>
            <w:r w:rsidR="0002098E" w:rsidRPr="00B4164B">
              <w:rPr>
                <w:color w:val="000000"/>
              </w:rPr>
              <w:lastRenderedPageBreak/>
              <w:t>The Commission can however implement policies to help reduce asymmetric information exchange between banks and companies, to ensure that there is a clearer link between the cost of the loan and the risk it really entails. The Commission also supports diversity in the sources of financing for companies for instance by supporting credit unions so that companies can be less dependent on bank financing.</w:t>
            </w:r>
            <w:r>
              <w:rPr>
                <w:color w:val="000000"/>
              </w:rPr>
              <w:t>”</w:t>
            </w:r>
          </w:p>
        </w:tc>
      </w:tr>
    </w:tbl>
    <w:p w14:paraId="7964EAC6" w14:textId="77777777" w:rsidR="0002098E" w:rsidRDefault="0002098E" w:rsidP="0002098E"/>
    <w:p w14:paraId="2F8F9F39" w14:textId="77777777" w:rsidR="0002098E" w:rsidRDefault="0002098E" w:rsidP="0002098E"/>
    <w:p w14:paraId="33DC19C3" w14:textId="0E8EFE85" w:rsidR="0002098E" w:rsidRPr="004F2EDB" w:rsidRDefault="0002098E" w:rsidP="0002098E">
      <w:pPr>
        <w:rPr>
          <w:b/>
          <w:bCs/>
          <w:lang w:val="en-US"/>
        </w:rPr>
      </w:pPr>
      <w:r w:rsidRPr="004F2EDB">
        <w:rPr>
          <w:b/>
          <w:bCs/>
        </w:rPr>
        <w:t>Table B</w:t>
      </w:r>
      <w:r w:rsidR="00F918E9">
        <w:rPr>
          <w:b/>
          <w:bCs/>
        </w:rPr>
        <w:t>:</w:t>
      </w:r>
      <w:r w:rsidRPr="004F2EDB">
        <w:rPr>
          <w:b/>
          <w:bCs/>
        </w:rPr>
        <w:t xml:space="preserve"> </w:t>
      </w:r>
      <w:r w:rsidRPr="004F2EDB">
        <w:rPr>
          <w:b/>
          <w:bCs/>
          <w:lang w:val="en-US"/>
        </w:rPr>
        <w:t>Examples of evidence-based and opinion-based</w:t>
      </w:r>
      <w:r w:rsidR="007E37D5">
        <w:rPr>
          <w:b/>
          <w:bCs/>
          <w:lang w:val="en-US"/>
        </w:rPr>
        <w:t xml:space="preserve"> stakeholder comments</w:t>
      </w:r>
    </w:p>
    <w:tbl>
      <w:tblPr>
        <w:tblStyle w:val="PlainTable2"/>
        <w:tblW w:w="0" w:type="auto"/>
        <w:tblLook w:val="04A0" w:firstRow="1" w:lastRow="0" w:firstColumn="1" w:lastColumn="0" w:noHBand="0" w:noVBand="1"/>
      </w:tblPr>
      <w:tblGrid>
        <w:gridCol w:w="2268"/>
        <w:gridCol w:w="6748"/>
      </w:tblGrid>
      <w:tr w:rsidR="0002098E" w14:paraId="21E9BC07" w14:textId="77777777" w:rsidTr="002A0A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1DD50F54" w14:textId="77777777" w:rsidR="0002098E" w:rsidRDefault="0002098E" w:rsidP="002A0A35">
            <w:r>
              <w:t>Type of comment</w:t>
            </w:r>
          </w:p>
        </w:tc>
        <w:tc>
          <w:tcPr>
            <w:tcW w:w="6748" w:type="dxa"/>
          </w:tcPr>
          <w:p w14:paraId="11B9D9EB" w14:textId="64C4719D" w:rsidR="0002098E" w:rsidRDefault="007E37D5" w:rsidP="002A0A35">
            <w:pPr>
              <w:cnfStyle w:val="100000000000" w:firstRow="1" w:lastRow="0" w:firstColumn="0" w:lastColumn="0" w:oddVBand="0" w:evenVBand="0" w:oddHBand="0" w:evenHBand="0" w:firstRowFirstColumn="0" w:firstRowLastColumn="0" w:lastRowFirstColumn="0" w:lastRowLastColumn="0"/>
            </w:pPr>
            <w:r>
              <w:rPr>
                <w:lang w:val="en-US"/>
              </w:rPr>
              <w:t xml:space="preserve">Comment </w:t>
            </w:r>
            <w:r w:rsidR="0002098E">
              <w:t>text</w:t>
            </w:r>
          </w:p>
        </w:tc>
      </w:tr>
      <w:tr w:rsidR="0002098E" w14:paraId="4146887F" w14:textId="77777777" w:rsidTr="002A0A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1EDF201A" w14:textId="77777777" w:rsidR="0002098E" w:rsidRDefault="0002098E" w:rsidP="002A0A35">
            <w:r>
              <w:t>Evidence-based</w:t>
            </w:r>
          </w:p>
        </w:tc>
        <w:tc>
          <w:tcPr>
            <w:tcW w:w="6748" w:type="dxa"/>
          </w:tcPr>
          <w:p w14:paraId="70DF4AD4" w14:textId="3740D516" w:rsidR="0002098E" w:rsidRPr="004F2EDB" w:rsidRDefault="00F918E9" w:rsidP="002A0A35">
            <w:pPr>
              <w:cnfStyle w:val="000000100000" w:firstRow="0" w:lastRow="0" w:firstColumn="0" w:lastColumn="0" w:oddVBand="0" w:evenVBand="0" w:oddHBand="1" w:evenHBand="0" w:firstRowFirstColumn="0" w:firstRowLastColumn="0" w:lastRowFirstColumn="0" w:lastRowLastColumn="0"/>
            </w:pPr>
            <w:r>
              <w:rPr>
                <w:color w:val="000000"/>
              </w:rPr>
              <w:t>“</w:t>
            </w:r>
            <w:r w:rsidR="0002098E" w:rsidRPr="004F2EDB">
              <w:rPr>
                <w:color w:val="000000"/>
              </w:rPr>
              <w:t>Please find in the attachment suggestions and activities recognized at working-seminars (2016) for businesses and NGO's, that could be implemented at the EU level. They cover 7 policy areas: collaborative/ sharing economy, intellectual property framework, public procurement, mutual recognition, prevention of non-compliant products in the EU market, cloud computing and free flow of data, reducing VAT related burdens and obstacles when selling across borders.</w:t>
            </w:r>
            <w:r>
              <w:rPr>
                <w:color w:val="000000"/>
              </w:rPr>
              <w:t>”</w:t>
            </w:r>
          </w:p>
        </w:tc>
      </w:tr>
      <w:tr w:rsidR="0002098E" w14:paraId="0B1FCA30" w14:textId="77777777" w:rsidTr="002A0A35">
        <w:tc>
          <w:tcPr>
            <w:cnfStyle w:val="001000000000" w:firstRow="0" w:lastRow="0" w:firstColumn="1" w:lastColumn="0" w:oddVBand="0" w:evenVBand="0" w:oddHBand="0" w:evenHBand="0" w:firstRowFirstColumn="0" w:firstRowLastColumn="0" w:lastRowFirstColumn="0" w:lastRowLastColumn="0"/>
            <w:tcW w:w="2268" w:type="dxa"/>
          </w:tcPr>
          <w:p w14:paraId="00FDBE69" w14:textId="77777777" w:rsidR="0002098E" w:rsidRDefault="0002098E" w:rsidP="002A0A35">
            <w:r>
              <w:t xml:space="preserve">Opinion-based </w:t>
            </w:r>
          </w:p>
        </w:tc>
        <w:tc>
          <w:tcPr>
            <w:tcW w:w="6748" w:type="dxa"/>
          </w:tcPr>
          <w:p w14:paraId="217E7373" w14:textId="7B127E89" w:rsidR="0002098E" w:rsidRPr="004F2EDB" w:rsidRDefault="00F918E9" w:rsidP="002A0A35">
            <w:pPr>
              <w:cnfStyle w:val="000000000000" w:firstRow="0" w:lastRow="0" w:firstColumn="0" w:lastColumn="0" w:oddVBand="0" w:evenVBand="0" w:oddHBand="0" w:evenHBand="0" w:firstRowFirstColumn="0" w:firstRowLastColumn="0" w:lastRowFirstColumn="0" w:lastRowLastColumn="0"/>
            </w:pPr>
            <w:r>
              <w:rPr>
                <w:color w:val="000000"/>
              </w:rPr>
              <w:t>“</w:t>
            </w:r>
            <w:r w:rsidR="0002098E" w:rsidRPr="004F2EDB">
              <w:rPr>
                <w:color w:val="000000"/>
              </w:rPr>
              <w:t>The gun ban that EU is pushing ahead is illegal. Primarily Germany and France, but also other southern EU countries have messed up the whole idea of EU with their sloppy immigration politics and are now trying to make smaller and northern countries suffer because of their stupid &amp; criminal decisions made under influence of blind humanism</w:t>
            </w:r>
            <w:r>
              <w:rPr>
                <w:color w:val="000000"/>
              </w:rPr>
              <w:t>.”</w:t>
            </w:r>
          </w:p>
        </w:tc>
      </w:tr>
    </w:tbl>
    <w:p w14:paraId="158F8FFB" w14:textId="77777777" w:rsidR="0002098E" w:rsidRDefault="0002098E" w:rsidP="0002098E"/>
    <w:p w14:paraId="3F934861" w14:textId="59150FB5" w:rsidR="0002098E" w:rsidRPr="00004A33" w:rsidRDefault="0002098E" w:rsidP="0002098E">
      <w:pPr>
        <w:rPr>
          <w:b/>
          <w:bCs/>
        </w:rPr>
      </w:pPr>
      <w:r w:rsidRPr="00004A33">
        <w:rPr>
          <w:b/>
          <w:bCs/>
        </w:rPr>
        <w:t>Table C</w:t>
      </w:r>
      <w:r w:rsidR="00F918E9">
        <w:rPr>
          <w:b/>
          <w:bCs/>
        </w:rPr>
        <w:t>:</w:t>
      </w:r>
      <w:r w:rsidRPr="00004A33">
        <w:rPr>
          <w:b/>
          <w:bCs/>
        </w:rPr>
        <w:t xml:space="preserve"> </w:t>
      </w:r>
      <w:r w:rsidRPr="00004A33">
        <w:rPr>
          <w:b/>
          <w:bCs/>
          <w:lang w:val="en-US"/>
        </w:rPr>
        <w:t xml:space="preserve">Examples of stakeholder </w:t>
      </w:r>
      <w:r w:rsidR="007E37D5">
        <w:rPr>
          <w:b/>
          <w:bCs/>
          <w:lang w:val="en-US"/>
        </w:rPr>
        <w:t xml:space="preserve">comment </w:t>
      </w:r>
      <w:r w:rsidRPr="00004A33">
        <w:rPr>
          <w:b/>
          <w:bCs/>
          <w:lang w:val="en-US"/>
        </w:rPr>
        <w:t>deman</w:t>
      </w:r>
      <w:r w:rsidR="005F7F0D">
        <w:rPr>
          <w:b/>
          <w:bCs/>
          <w:lang w:val="en-US"/>
        </w:rPr>
        <w:t xml:space="preserve">d </w:t>
      </w:r>
      <w:r w:rsidR="00F918E9">
        <w:rPr>
          <w:b/>
          <w:bCs/>
          <w:lang w:val="en-US"/>
        </w:rPr>
        <w:t>type</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405"/>
        <w:gridCol w:w="6611"/>
      </w:tblGrid>
      <w:tr w:rsidR="0002098E" w:rsidRPr="007E37D5" w14:paraId="20FC52AD" w14:textId="77777777" w:rsidTr="007E37D5">
        <w:tc>
          <w:tcPr>
            <w:tcW w:w="2405" w:type="dxa"/>
          </w:tcPr>
          <w:p w14:paraId="104C93EC" w14:textId="79F10DEA" w:rsidR="0002098E" w:rsidRPr="007E37D5" w:rsidRDefault="007E37D5" w:rsidP="002A0A35">
            <w:pPr>
              <w:rPr>
                <w:b/>
                <w:bCs/>
              </w:rPr>
            </w:pPr>
            <w:r w:rsidRPr="007E37D5">
              <w:rPr>
                <w:b/>
                <w:bCs/>
                <w:lang w:val="en-US"/>
              </w:rPr>
              <w:t>Category demand</w:t>
            </w:r>
            <w:r w:rsidR="0002098E" w:rsidRPr="007E37D5">
              <w:rPr>
                <w:b/>
                <w:bCs/>
              </w:rPr>
              <w:t xml:space="preserve"> </w:t>
            </w:r>
          </w:p>
        </w:tc>
        <w:tc>
          <w:tcPr>
            <w:tcW w:w="6611" w:type="dxa"/>
          </w:tcPr>
          <w:p w14:paraId="64D380AD" w14:textId="7F7BD201" w:rsidR="0002098E" w:rsidRPr="007E37D5" w:rsidRDefault="007E37D5" w:rsidP="002A0A35">
            <w:pPr>
              <w:rPr>
                <w:b/>
                <w:bCs/>
              </w:rPr>
            </w:pPr>
            <w:r w:rsidRPr="007E37D5">
              <w:rPr>
                <w:b/>
                <w:bCs/>
                <w:lang w:val="en-US"/>
              </w:rPr>
              <w:t>Comment text</w:t>
            </w:r>
            <w:r w:rsidR="0002098E" w:rsidRPr="007E37D5">
              <w:rPr>
                <w:b/>
                <w:bCs/>
              </w:rPr>
              <w:t xml:space="preserve"> </w:t>
            </w:r>
          </w:p>
        </w:tc>
      </w:tr>
      <w:tr w:rsidR="0002098E" w14:paraId="61416F6C" w14:textId="77777777" w:rsidTr="007E37D5">
        <w:tc>
          <w:tcPr>
            <w:tcW w:w="2405" w:type="dxa"/>
          </w:tcPr>
          <w:p w14:paraId="0AFC8AEC" w14:textId="77777777" w:rsidR="0002098E" w:rsidRPr="00F918E9" w:rsidRDefault="0002098E" w:rsidP="002A0A35">
            <w:pPr>
              <w:rPr>
                <w:b/>
                <w:bCs/>
              </w:rPr>
            </w:pPr>
            <w:r w:rsidRPr="00F918E9">
              <w:rPr>
                <w:b/>
                <w:bCs/>
              </w:rPr>
              <w:t>Reduce</w:t>
            </w:r>
          </w:p>
        </w:tc>
        <w:tc>
          <w:tcPr>
            <w:tcW w:w="6611" w:type="dxa"/>
          </w:tcPr>
          <w:p w14:paraId="156A2B92" w14:textId="477B35D5" w:rsidR="0002098E" w:rsidRPr="004F2EDB" w:rsidRDefault="00F918E9" w:rsidP="002A0A35">
            <w:pPr>
              <w:rPr>
                <w:color w:val="000000"/>
              </w:rPr>
            </w:pPr>
            <w:r>
              <w:rPr>
                <w:color w:val="000000"/>
              </w:rPr>
              <w:t>“</w:t>
            </w:r>
            <w:r w:rsidR="0002098E" w:rsidRPr="004F2EDB">
              <w:rPr>
                <w:color w:val="000000"/>
              </w:rPr>
              <w:t>Radiocentre's concerns on behalf of the UK commercial radio industry relate to Article 4 of Consumer Credit Directive 2008/48/EC (CCD) which requires standard information to be provided in any credit advertising indicating an interest rate or cost of credit. This affects advertising for financial services, retail and motors, typically adding 12-15 seconds of airtime to a radio advert.</w:t>
            </w:r>
            <w:r w:rsidR="0002098E" w:rsidRPr="004F2EDB">
              <w:rPr>
                <w:color w:val="000000"/>
              </w:rPr>
              <w:br/>
            </w:r>
            <w:r w:rsidR="0002098E" w:rsidRPr="004F2EDB">
              <w:rPr>
                <w:color w:val="000000"/>
              </w:rPr>
              <w:br/>
              <w:t>Our concerns include:-</w:t>
            </w:r>
            <w:r w:rsidR="0002098E" w:rsidRPr="004F2EDB">
              <w:rPr>
                <w:color w:val="000000"/>
              </w:rPr>
              <w:br/>
            </w:r>
            <w:r w:rsidR="0002098E" w:rsidRPr="004F2EDB">
              <w:rPr>
                <w:color w:val="000000"/>
              </w:rPr>
              <w:br/>
              <w:t>• Cost: we estimate that complying with Article 4 of the CCD costs commercial radio stations and advertisers around €95 million a year in the UK alone.</w:t>
            </w:r>
            <w:r w:rsidR="0002098E" w:rsidRPr="004F2EDB">
              <w:rPr>
                <w:color w:val="000000"/>
              </w:rPr>
              <w:br/>
            </w:r>
            <w:r w:rsidR="0002098E" w:rsidRPr="004F2EDB">
              <w:rPr>
                <w:color w:val="000000"/>
              </w:rPr>
              <w:br/>
              <w:t>• Failure to inform and protect consumers: independent research commissioned by Radiocentre shows low levels of recall of key figures - only 4% of listeners recalled the total amount payable</w:t>
            </w:r>
            <w:r w:rsidR="0002098E" w:rsidRPr="004F2EDB">
              <w:rPr>
                <w:color w:val="000000"/>
              </w:rPr>
              <w:br/>
            </w:r>
            <w:r w:rsidR="0002098E" w:rsidRPr="004F2EDB">
              <w:rPr>
                <w:color w:val="000000"/>
              </w:rPr>
              <w:br/>
              <w:t>• Access to market: advertisers have to pay for additional airtime because of the CCD– a burden, which few advertisers, let alone SMEs, can afford</w:t>
            </w:r>
            <w:r w:rsidR="0002098E" w:rsidRPr="004F2EDB">
              <w:rPr>
                <w:color w:val="000000"/>
              </w:rPr>
              <w:br/>
            </w:r>
            <w:r w:rsidR="0002098E" w:rsidRPr="004F2EDB">
              <w:rPr>
                <w:color w:val="000000"/>
              </w:rPr>
              <w:br/>
              <w:t xml:space="preserve">• Platform neutrality: radio is the only medium where this </w:t>
            </w:r>
            <w:r w:rsidR="0002098E" w:rsidRPr="004F2EDB">
              <w:rPr>
                <w:color w:val="000000"/>
              </w:rPr>
              <w:lastRenderedPageBreak/>
              <w:t>information has to be read out in full so the CCD has a disproportionate impact on the radio sector</w:t>
            </w:r>
            <w:r w:rsidR="0002098E" w:rsidRPr="004F2EDB">
              <w:rPr>
                <w:color w:val="000000"/>
              </w:rPr>
              <w:br/>
            </w:r>
            <w:r w:rsidR="0002098E" w:rsidRPr="004F2EDB">
              <w:rPr>
                <w:color w:val="000000"/>
              </w:rPr>
              <w:br/>
              <w:t>• Inconsistency with existing EU consumer law: the Unfair Commercial Practices Directive, which pre-dates the CCD, acknowledges that consideration should be given to “limitations of space or time” of the medium used to communicate</w:t>
            </w:r>
            <w:r w:rsidR="0002098E" w:rsidRPr="004F2EDB">
              <w:rPr>
                <w:color w:val="000000"/>
              </w:rPr>
              <w:br/>
            </w:r>
            <w:r w:rsidR="0002098E" w:rsidRPr="004F2EDB">
              <w:rPr>
                <w:color w:val="000000"/>
              </w:rPr>
              <w:br/>
              <w:t>• No impact assessment: no impact assessment was conducted by the Commission prior to the adoption of the Directive – a key component of Better Regulation.</w:t>
            </w:r>
            <w:r w:rsidR="0002098E" w:rsidRPr="004F2EDB">
              <w:rPr>
                <w:color w:val="000000"/>
              </w:rPr>
              <w:br/>
            </w:r>
            <w:r w:rsidR="0002098E" w:rsidRPr="004F2EDB">
              <w:rPr>
                <w:color w:val="000000"/>
              </w:rPr>
              <w:br/>
              <w:t>Suggestion: We fully support the principles of the CCD, however consumers ignore information which is too complex or difficult to remember and there is a lot of evidence that simpler information with fewer figures is much more effective at landing critical messages at the advertising stage. Radiocentre have invested (and continue to invest) in independent research exploring the effect of different treatments and this has already highlighted that limiting the information can lead to a three-fold increase in recall of critical figures. We would therefore like to be able to work with Members of the REFIT platform, advertisers, regulators and consumer groups to deliver a solution for the benefit of consumers and businesses.</w:t>
            </w:r>
            <w:r>
              <w:rPr>
                <w:color w:val="000000"/>
              </w:rPr>
              <w:t>”</w:t>
            </w:r>
          </w:p>
          <w:p w14:paraId="25163D7B" w14:textId="77777777" w:rsidR="0002098E" w:rsidRPr="004F2EDB" w:rsidRDefault="0002098E" w:rsidP="002A0A35"/>
        </w:tc>
      </w:tr>
      <w:tr w:rsidR="0002098E" w14:paraId="259758C4" w14:textId="77777777" w:rsidTr="007E37D5">
        <w:tc>
          <w:tcPr>
            <w:tcW w:w="2405" w:type="dxa"/>
          </w:tcPr>
          <w:p w14:paraId="265C76F9" w14:textId="77777777" w:rsidR="0002098E" w:rsidRPr="00F918E9" w:rsidRDefault="0002098E" w:rsidP="002A0A35">
            <w:pPr>
              <w:rPr>
                <w:b/>
                <w:bCs/>
              </w:rPr>
            </w:pPr>
            <w:r w:rsidRPr="00F918E9">
              <w:rPr>
                <w:b/>
                <w:bCs/>
              </w:rPr>
              <w:lastRenderedPageBreak/>
              <w:t>Increase</w:t>
            </w:r>
          </w:p>
        </w:tc>
        <w:tc>
          <w:tcPr>
            <w:tcW w:w="6611" w:type="dxa"/>
          </w:tcPr>
          <w:p w14:paraId="444D0825" w14:textId="2E96F9BA" w:rsidR="0002098E" w:rsidRPr="004F2EDB" w:rsidRDefault="00F918E9" w:rsidP="002A0A35">
            <w:pPr>
              <w:rPr>
                <w:color w:val="000000"/>
              </w:rPr>
            </w:pPr>
            <w:r>
              <w:rPr>
                <w:color w:val="000000"/>
              </w:rPr>
              <w:t>“</w:t>
            </w:r>
            <w:r w:rsidR="0002098E" w:rsidRPr="004F2EDB">
              <w:rPr>
                <w:color w:val="000000"/>
              </w:rPr>
              <w:t xml:space="preserve">Dear Comission, </w:t>
            </w:r>
            <w:r w:rsidR="0002098E" w:rsidRPr="004F2EDB">
              <w:rPr>
                <w:color w:val="000000"/>
              </w:rPr>
              <w:br/>
              <w:t>Is there any laws in the planning stage that will restrict the use of packaging to a minimum necessary and fine overpackaging?</w:t>
            </w:r>
            <w:r w:rsidR="0002098E" w:rsidRPr="004F2EDB">
              <w:rPr>
                <w:color w:val="000000"/>
              </w:rPr>
              <w:br/>
              <w:t>This kind of law is necessary now and will be even more necessary for the future. It will help to educate the market to a more responsable use of resourced and will reduce general trash impact in europe.</w:t>
            </w:r>
            <w:r w:rsidR="0002098E" w:rsidRPr="004F2EDB">
              <w:rPr>
                <w:color w:val="000000"/>
              </w:rPr>
              <w:br/>
              <w:t>Me as a consumer, I feel forced by the industry and market to buy products which are completely over packed, so i am forced to produce an amount of garbage which in my point of view is insane, considering the state of the world. With many products there is no option, as all brands use similair (&amp;</w:t>
            </w:r>
            <w:r w:rsidR="005F7F0D" w:rsidRPr="005F7F0D">
              <w:rPr>
                <w:color w:val="000000"/>
              </w:rPr>
              <w:t xml:space="preserve"> </w:t>
            </w:r>
            <w:r w:rsidR="0002098E" w:rsidRPr="004F2EDB">
              <w:rPr>
                <w:color w:val="000000"/>
              </w:rPr>
              <w:t>unnecessary) packaging.</w:t>
            </w:r>
            <w:r w:rsidR="0002098E" w:rsidRPr="004F2EDB">
              <w:rPr>
                <w:color w:val="000000"/>
              </w:rPr>
              <w:br/>
            </w:r>
            <w:r w:rsidR="0002098E" w:rsidRPr="004F2EDB">
              <w:rPr>
                <w:color w:val="000000"/>
              </w:rPr>
              <w:br/>
              <w:t>How can one, as a citizen help to forward this kind of law?</w:t>
            </w:r>
            <w:r w:rsidR="0002098E" w:rsidRPr="004F2EDB">
              <w:rPr>
                <w:color w:val="000000"/>
              </w:rPr>
              <w:br/>
            </w:r>
            <w:r w:rsidR="0002098E" w:rsidRPr="004F2EDB">
              <w:rPr>
                <w:color w:val="000000"/>
              </w:rPr>
              <w:br/>
              <w:t>Thanks very much for your attention and response!</w:t>
            </w:r>
            <w:r>
              <w:rPr>
                <w:color w:val="000000"/>
              </w:rPr>
              <w:t>”</w:t>
            </w:r>
          </w:p>
          <w:p w14:paraId="5A3E5D8A" w14:textId="77777777" w:rsidR="0002098E" w:rsidRPr="004F2EDB" w:rsidRDefault="0002098E" w:rsidP="002A0A35"/>
        </w:tc>
      </w:tr>
      <w:tr w:rsidR="0002098E" w14:paraId="5769175B" w14:textId="77777777" w:rsidTr="007E37D5">
        <w:tc>
          <w:tcPr>
            <w:tcW w:w="2405" w:type="dxa"/>
          </w:tcPr>
          <w:p w14:paraId="3A3524AE" w14:textId="77777777" w:rsidR="0002098E" w:rsidRPr="00F918E9" w:rsidRDefault="0002098E" w:rsidP="002A0A35">
            <w:pPr>
              <w:rPr>
                <w:b/>
                <w:bCs/>
              </w:rPr>
            </w:pPr>
            <w:r w:rsidRPr="00F918E9">
              <w:rPr>
                <w:b/>
                <w:bCs/>
              </w:rPr>
              <w:t xml:space="preserve">Neutral </w:t>
            </w:r>
          </w:p>
        </w:tc>
        <w:tc>
          <w:tcPr>
            <w:tcW w:w="6611" w:type="dxa"/>
          </w:tcPr>
          <w:p w14:paraId="23CCFA02" w14:textId="4D823140" w:rsidR="0002098E" w:rsidRPr="004F2EDB" w:rsidRDefault="00F918E9" w:rsidP="002A0A35">
            <w:pPr>
              <w:rPr>
                <w:color w:val="000000"/>
              </w:rPr>
            </w:pPr>
            <w:r>
              <w:rPr>
                <w:color w:val="000000"/>
              </w:rPr>
              <w:t>“</w:t>
            </w:r>
            <w:r w:rsidR="0002098E" w:rsidRPr="004F2EDB">
              <w:rPr>
                <w:color w:val="000000"/>
              </w:rPr>
              <w:t>I understand that there is to be an on-line consultation regarding REFIT and the Habitats and Birds Directives which is due to take place in April 2015 - so far I have been unable to find it. The on-line consultation for the banning of driftnets passed un-noticed by most organisations and the NFFO would regard a similar exercise for REFIT as unacceptable unless the on-line questionnaire is widely publicised.</w:t>
            </w:r>
            <w:r>
              <w:rPr>
                <w:color w:val="000000"/>
              </w:rPr>
              <w:t>”</w:t>
            </w:r>
          </w:p>
          <w:p w14:paraId="099FED8E" w14:textId="77777777" w:rsidR="0002098E" w:rsidRPr="004F2EDB" w:rsidRDefault="0002098E" w:rsidP="002A0A35"/>
        </w:tc>
      </w:tr>
      <w:tr w:rsidR="0002098E" w14:paraId="71D803DD" w14:textId="77777777" w:rsidTr="007E37D5">
        <w:tc>
          <w:tcPr>
            <w:tcW w:w="2405" w:type="dxa"/>
          </w:tcPr>
          <w:p w14:paraId="75B1F5CB" w14:textId="77777777" w:rsidR="0002098E" w:rsidRPr="00F918E9" w:rsidRDefault="0002098E" w:rsidP="002A0A35">
            <w:pPr>
              <w:rPr>
                <w:b/>
                <w:bCs/>
              </w:rPr>
            </w:pPr>
            <w:r w:rsidRPr="00F918E9">
              <w:rPr>
                <w:b/>
                <w:bCs/>
              </w:rPr>
              <w:t xml:space="preserve">Harmonize </w:t>
            </w:r>
          </w:p>
        </w:tc>
        <w:tc>
          <w:tcPr>
            <w:tcW w:w="6611" w:type="dxa"/>
          </w:tcPr>
          <w:p w14:paraId="472F50A0" w14:textId="05A0C818" w:rsidR="0002098E" w:rsidRPr="004F2EDB" w:rsidRDefault="00F918E9" w:rsidP="002A0A35">
            <w:pPr>
              <w:rPr>
                <w:color w:val="000000"/>
              </w:rPr>
            </w:pPr>
            <w:r>
              <w:rPr>
                <w:color w:val="000000"/>
              </w:rPr>
              <w:t>“</w:t>
            </w:r>
            <w:r w:rsidR="0002098E" w:rsidRPr="004F2EDB">
              <w:rPr>
                <w:color w:val="000000"/>
              </w:rPr>
              <w:t>EU Driving Licences. It was decided in 2013 I believe that these permits should be uniform across the Member States. The EU did not go far enough as each licence must be changed or renewed in each Member State when exercising freedom of movement. It would be better for all citizens if there was one universal EU driving licence permitted to be used in each State.</w:t>
            </w:r>
            <w:r>
              <w:rPr>
                <w:color w:val="000000"/>
              </w:rPr>
              <w:t>”</w:t>
            </w:r>
          </w:p>
          <w:p w14:paraId="7D34E8E8" w14:textId="77777777" w:rsidR="0002098E" w:rsidRPr="004F2EDB" w:rsidRDefault="0002098E" w:rsidP="002A0A35"/>
        </w:tc>
      </w:tr>
    </w:tbl>
    <w:p w14:paraId="7013D5C2" w14:textId="77777777" w:rsidR="0002098E" w:rsidRDefault="0002098E" w:rsidP="0002098E"/>
    <w:p w14:paraId="43FC5782" w14:textId="69536992" w:rsidR="0002098E" w:rsidRPr="004F2EDB" w:rsidRDefault="0002098E" w:rsidP="0002098E">
      <w:pPr>
        <w:spacing w:line="360" w:lineRule="auto"/>
        <w:jc w:val="both"/>
        <w:rPr>
          <w:b/>
          <w:bCs/>
        </w:rPr>
      </w:pPr>
      <w:r w:rsidRPr="004F2EDB">
        <w:rPr>
          <w:b/>
          <w:bCs/>
        </w:rPr>
        <w:t>Table C</w:t>
      </w:r>
      <w:r w:rsidRPr="004F2EDB">
        <w:rPr>
          <w:b/>
          <w:bCs/>
          <w:lang w:val="en-US"/>
        </w:rPr>
        <w:t>:</w:t>
      </w:r>
      <w:r w:rsidRPr="004F2EDB">
        <w:rPr>
          <w:b/>
          <w:bCs/>
        </w:rPr>
        <w:t xml:space="preserve"> </w:t>
      </w:r>
      <w:r>
        <w:rPr>
          <w:b/>
          <w:bCs/>
          <w:lang w:val="en-US"/>
        </w:rPr>
        <w:t>Policy t</w:t>
      </w:r>
      <w:r w:rsidRPr="004F2EDB">
        <w:rPr>
          <w:b/>
          <w:bCs/>
        </w:rPr>
        <w:t>opic</w:t>
      </w:r>
      <w:r w:rsidR="007E37D5">
        <w:rPr>
          <w:b/>
          <w:bCs/>
          <w:lang w:val="en-US"/>
        </w:rPr>
        <w:t xml:space="preserve">s identified </w:t>
      </w:r>
      <w:r w:rsidR="005F7F0D">
        <w:rPr>
          <w:b/>
          <w:bCs/>
          <w:lang w:val="en-US"/>
        </w:rPr>
        <w:t xml:space="preserve">with the help of </w:t>
      </w:r>
      <w:r w:rsidR="007E37D5">
        <w:rPr>
          <w:b/>
          <w:bCs/>
          <w:lang w:val="en-US"/>
        </w:rPr>
        <w:t>structural topic models</w:t>
      </w:r>
      <w:r w:rsidRPr="004F2EDB">
        <w:rPr>
          <w:b/>
          <w:bCs/>
        </w:rPr>
        <w:t xml:space="preserve"> </w:t>
      </w:r>
      <w:r w:rsidR="00F918E9">
        <w:rPr>
          <w:b/>
          <w:bCs/>
        </w:rPr>
        <w:t>(STMs)</w:t>
      </w:r>
    </w:p>
    <w:tbl>
      <w:tblPr>
        <w:tblW w:w="0" w:type="auto"/>
        <w:tblBorders>
          <w:top w:val="single" w:sz="4" w:space="0" w:color="auto"/>
          <w:bottom w:val="single" w:sz="4" w:space="0" w:color="auto"/>
        </w:tblBorders>
        <w:tblLook w:val="04A0" w:firstRow="1" w:lastRow="0" w:firstColumn="1" w:lastColumn="0" w:noHBand="0" w:noVBand="1"/>
      </w:tblPr>
      <w:tblGrid>
        <w:gridCol w:w="4390"/>
        <w:gridCol w:w="1701"/>
        <w:gridCol w:w="1417"/>
        <w:gridCol w:w="1134"/>
      </w:tblGrid>
      <w:tr w:rsidR="0002098E" w:rsidRPr="004F2EDB" w14:paraId="31B967A4" w14:textId="77777777" w:rsidTr="007E37D5">
        <w:tc>
          <w:tcPr>
            <w:tcW w:w="4390" w:type="dxa"/>
            <w:tcBorders>
              <w:top w:val="single" w:sz="4" w:space="0" w:color="auto"/>
              <w:bottom w:val="single" w:sz="4" w:space="0" w:color="auto"/>
            </w:tcBorders>
          </w:tcPr>
          <w:p w14:paraId="42B5DC96" w14:textId="77777777" w:rsidR="0002098E" w:rsidRPr="004F2EDB" w:rsidRDefault="0002098E" w:rsidP="002A0A35">
            <w:pPr>
              <w:spacing w:line="360" w:lineRule="auto"/>
              <w:jc w:val="both"/>
              <w:rPr>
                <w:b/>
                <w:bCs/>
              </w:rPr>
            </w:pPr>
            <w:r w:rsidRPr="004F2EDB">
              <w:rPr>
                <w:b/>
                <w:bCs/>
              </w:rPr>
              <w:t>Name of topic</w:t>
            </w:r>
          </w:p>
        </w:tc>
        <w:tc>
          <w:tcPr>
            <w:tcW w:w="1701" w:type="dxa"/>
            <w:tcBorders>
              <w:top w:val="single" w:sz="4" w:space="0" w:color="auto"/>
              <w:bottom w:val="single" w:sz="4" w:space="0" w:color="auto"/>
            </w:tcBorders>
          </w:tcPr>
          <w:p w14:paraId="55DC2F79" w14:textId="77777777" w:rsidR="0002098E" w:rsidRPr="004F2EDB" w:rsidRDefault="0002098E" w:rsidP="00F918E9">
            <w:pPr>
              <w:spacing w:line="360" w:lineRule="auto"/>
              <w:jc w:val="center"/>
              <w:rPr>
                <w:b/>
                <w:bCs/>
              </w:rPr>
            </w:pPr>
            <w:r w:rsidRPr="004F2EDB">
              <w:rPr>
                <w:b/>
                <w:bCs/>
              </w:rPr>
              <w:t>Min</w:t>
            </w:r>
          </w:p>
        </w:tc>
        <w:tc>
          <w:tcPr>
            <w:tcW w:w="1417" w:type="dxa"/>
            <w:tcBorders>
              <w:top w:val="single" w:sz="4" w:space="0" w:color="auto"/>
              <w:bottom w:val="single" w:sz="4" w:space="0" w:color="auto"/>
            </w:tcBorders>
          </w:tcPr>
          <w:p w14:paraId="7B160BA5" w14:textId="77777777" w:rsidR="0002098E" w:rsidRPr="004F2EDB" w:rsidRDefault="0002098E" w:rsidP="00F918E9">
            <w:pPr>
              <w:spacing w:line="360" w:lineRule="auto"/>
              <w:jc w:val="center"/>
              <w:rPr>
                <w:b/>
                <w:bCs/>
              </w:rPr>
            </w:pPr>
            <w:r w:rsidRPr="004F2EDB">
              <w:rPr>
                <w:b/>
                <w:bCs/>
              </w:rPr>
              <w:t>Mean</w:t>
            </w:r>
          </w:p>
        </w:tc>
        <w:tc>
          <w:tcPr>
            <w:tcW w:w="1134" w:type="dxa"/>
            <w:tcBorders>
              <w:top w:val="single" w:sz="4" w:space="0" w:color="auto"/>
              <w:bottom w:val="single" w:sz="4" w:space="0" w:color="auto"/>
            </w:tcBorders>
          </w:tcPr>
          <w:p w14:paraId="17C9BF37" w14:textId="77777777" w:rsidR="0002098E" w:rsidRPr="004F2EDB" w:rsidRDefault="0002098E" w:rsidP="00F918E9">
            <w:pPr>
              <w:spacing w:line="360" w:lineRule="auto"/>
              <w:jc w:val="center"/>
              <w:rPr>
                <w:b/>
                <w:bCs/>
              </w:rPr>
            </w:pPr>
            <w:r w:rsidRPr="004F2EDB">
              <w:rPr>
                <w:b/>
                <w:bCs/>
              </w:rPr>
              <w:t>Max</w:t>
            </w:r>
          </w:p>
        </w:tc>
      </w:tr>
      <w:tr w:rsidR="0002098E" w:rsidRPr="004F2EDB" w14:paraId="02BDF973" w14:textId="77777777" w:rsidTr="007E37D5">
        <w:tc>
          <w:tcPr>
            <w:tcW w:w="4390" w:type="dxa"/>
            <w:tcBorders>
              <w:top w:val="single" w:sz="4" w:space="0" w:color="auto"/>
            </w:tcBorders>
          </w:tcPr>
          <w:p w14:paraId="30C9BD12" w14:textId="7752E543" w:rsidR="0002098E" w:rsidRPr="004F2EDB" w:rsidRDefault="0002098E" w:rsidP="002A0A35">
            <w:pPr>
              <w:spacing w:line="360" w:lineRule="auto"/>
              <w:jc w:val="both"/>
            </w:pPr>
            <w:r w:rsidRPr="004F2EDB">
              <w:t>T1:Consumer protection/product regulation</w:t>
            </w:r>
          </w:p>
        </w:tc>
        <w:tc>
          <w:tcPr>
            <w:tcW w:w="1701" w:type="dxa"/>
            <w:tcBorders>
              <w:top w:val="single" w:sz="4" w:space="0" w:color="auto"/>
            </w:tcBorders>
          </w:tcPr>
          <w:p w14:paraId="466721BF" w14:textId="77777777" w:rsidR="0002098E" w:rsidRPr="004F2EDB" w:rsidRDefault="0002098E" w:rsidP="00F918E9">
            <w:pPr>
              <w:spacing w:line="360" w:lineRule="auto"/>
              <w:jc w:val="center"/>
            </w:pPr>
            <w:r w:rsidRPr="004F2EDB">
              <w:t>0.001</w:t>
            </w:r>
          </w:p>
        </w:tc>
        <w:tc>
          <w:tcPr>
            <w:tcW w:w="1417" w:type="dxa"/>
            <w:tcBorders>
              <w:top w:val="single" w:sz="4" w:space="0" w:color="auto"/>
            </w:tcBorders>
          </w:tcPr>
          <w:p w14:paraId="7D867DCA" w14:textId="77777777" w:rsidR="0002098E" w:rsidRPr="004F2EDB" w:rsidRDefault="0002098E" w:rsidP="00F918E9">
            <w:pPr>
              <w:spacing w:line="360" w:lineRule="auto"/>
              <w:jc w:val="center"/>
            </w:pPr>
            <w:r w:rsidRPr="004F2EDB">
              <w:t>0.094</w:t>
            </w:r>
          </w:p>
        </w:tc>
        <w:tc>
          <w:tcPr>
            <w:tcW w:w="1134" w:type="dxa"/>
            <w:tcBorders>
              <w:top w:val="single" w:sz="4" w:space="0" w:color="auto"/>
            </w:tcBorders>
          </w:tcPr>
          <w:p w14:paraId="2B94B3AF" w14:textId="77777777" w:rsidR="0002098E" w:rsidRPr="004F2EDB" w:rsidRDefault="0002098E" w:rsidP="00F918E9">
            <w:pPr>
              <w:spacing w:line="360" w:lineRule="auto"/>
              <w:jc w:val="center"/>
            </w:pPr>
            <w:r w:rsidRPr="004F2EDB">
              <w:t>0.986</w:t>
            </w:r>
          </w:p>
        </w:tc>
      </w:tr>
      <w:tr w:rsidR="0002098E" w:rsidRPr="004F2EDB" w14:paraId="2F7A3EE3" w14:textId="77777777" w:rsidTr="007E37D5">
        <w:tc>
          <w:tcPr>
            <w:tcW w:w="4390" w:type="dxa"/>
          </w:tcPr>
          <w:p w14:paraId="4D175F15" w14:textId="77777777" w:rsidR="0002098E" w:rsidRPr="004F2EDB" w:rsidRDefault="0002098E" w:rsidP="002A0A35">
            <w:pPr>
              <w:spacing w:line="360" w:lineRule="auto"/>
              <w:jc w:val="both"/>
            </w:pPr>
            <w:r w:rsidRPr="004F2EDB">
              <w:t>T2: Environment/energy</w:t>
            </w:r>
          </w:p>
        </w:tc>
        <w:tc>
          <w:tcPr>
            <w:tcW w:w="1701" w:type="dxa"/>
          </w:tcPr>
          <w:p w14:paraId="14A78C37" w14:textId="77777777" w:rsidR="0002098E" w:rsidRPr="004F2EDB" w:rsidRDefault="0002098E" w:rsidP="00F918E9">
            <w:pPr>
              <w:spacing w:line="360" w:lineRule="auto"/>
              <w:jc w:val="center"/>
            </w:pPr>
            <w:r w:rsidRPr="004F2EDB">
              <w:t>0.003</w:t>
            </w:r>
          </w:p>
        </w:tc>
        <w:tc>
          <w:tcPr>
            <w:tcW w:w="1417" w:type="dxa"/>
          </w:tcPr>
          <w:p w14:paraId="7ABACD74" w14:textId="77777777" w:rsidR="0002098E" w:rsidRPr="004F2EDB" w:rsidRDefault="0002098E" w:rsidP="00F918E9">
            <w:pPr>
              <w:spacing w:line="360" w:lineRule="auto"/>
              <w:jc w:val="center"/>
            </w:pPr>
            <w:r w:rsidRPr="004F2EDB">
              <w:t>0.181</w:t>
            </w:r>
          </w:p>
        </w:tc>
        <w:tc>
          <w:tcPr>
            <w:tcW w:w="1134" w:type="dxa"/>
          </w:tcPr>
          <w:p w14:paraId="6B68D32C" w14:textId="77777777" w:rsidR="0002098E" w:rsidRPr="004F2EDB" w:rsidRDefault="0002098E" w:rsidP="00F918E9">
            <w:pPr>
              <w:spacing w:line="360" w:lineRule="auto"/>
              <w:jc w:val="center"/>
            </w:pPr>
            <w:r w:rsidRPr="004F2EDB">
              <w:t>0.934</w:t>
            </w:r>
          </w:p>
        </w:tc>
      </w:tr>
      <w:tr w:rsidR="0002098E" w:rsidRPr="004F2EDB" w14:paraId="7C24541D" w14:textId="77777777" w:rsidTr="007E37D5">
        <w:tc>
          <w:tcPr>
            <w:tcW w:w="4390" w:type="dxa"/>
          </w:tcPr>
          <w:p w14:paraId="7FCB66B3" w14:textId="77777777" w:rsidR="0002098E" w:rsidRPr="004F2EDB" w:rsidRDefault="0002098E" w:rsidP="002A0A35">
            <w:pPr>
              <w:spacing w:line="360" w:lineRule="auto"/>
              <w:jc w:val="both"/>
            </w:pPr>
            <w:r w:rsidRPr="004F2EDB">
              <w:t xml:space="preserve">T3: Social policy </w:t>
            </w:r>
          </w:p>
        </w:tc>
        <w:tc>
          <w:tcPr>
            <w:tcW w:w="1701" w:type="dxa"/>
          </w:tcPr>
          <w:p w14:paraId="392FD1DF" w14:textId="77777777" w:rsidR="0002098E" w:rsidRPr="004F2EDB" w:rsidRDefault="0002098E" w:rsidP="00F918E9">
            <w:pPr>
              <w:spacing w:line="360" w:lineRule="auto"/>
              <w:jc w:val="center"/>
            </w:pPr>
            <w:r w:rsidRPr="004F2EDB">
              <w:t>0.0002</w:t>
            </w:r>
          </w:p>
        </w:tc>
        <w:tc>
          <w:tcPr>
            <w:tcW w:w="1417" w:type="dxa"/>
          </w:tcPr>
          <w:p w14:paraId="7A9320C4" w14:textId="77777777" w:rsidR="0002098E" w:rsidRPr="004F2EDB" w:rsidRDefault="0002098E" w:rsidP="00F918E9">
            <w:pPr>
              <w:spacing w:line="360" w:lineRule="auto"/>
              <w:jc w:val="center"/>
            </w:pPr>
            <w:r w:rsidRPr="004F2EDB">
              <w:t>0.091</w:t>
            </w:r>
          </w:p>
        </w:tc>
        <w:tc>
          <w:tcPr>
            <w:tcW w:w="1134" w:type="dxa"/>
          </w:tcPr>
          <w:p w14:paraId="795CE75A" w14:textId="77777777" w:rsidR="0002098E" w:rsidRPr="004F2EDB" w:rsidRDefault="0002098E" w:rsidP="00F918E9">
            <w:pPr>
              <w:spacing w:line="360" w:lineRule="auto"/>
              <w:jc w:val="center"/>
            </w:pPr>
            <w:r w:rsidRPr="004F2EDB">
              <w:t>0.985</w:t>
            </w:r>
          </w:p>
        </w:tc>
      </w:tr>
      <w:tr w:rsidR="0002098E" w:rsidRPr="004F2EDB" w14:paraId="6C2EF4F2" w14:textId="77777777" w:rsidTr="007E37D5">
        <w:tc>
          <w:tcPr>
            <w:tcW w:w="4390" w:type="dxa"/>
          </w:tcPr>
          <w:p w14:paraId="18BBD672" w14:textId="77777777" w:rsidR="0002098E" w:rsidRPr="004F2EDB" w:rsidRDefault="0002098E" w:rsidP="002A0A35">
            <w:pPr>
              <w:spacing w:line="360" w:lineRule="auto"/>
              <w:jc w:val="both"/>
            </w:pPr>
            <w:r w:rsidRPr="004F2EDB">
              <w:t>T4: Institutional affairs</w:t>
            </w:r>
          </w:p>
        </w:tc>
        <w:tc>
          <w:tcPr>
            <w:tcW w:w="1701" w:type="dxa"/>
          </w:tcPr>
          <w:p w14:paraId="791E9B44" w14:textId="77777777" w:rsidR="0002098E" w:rsidRPr="004F2EDB" w:rsidRDefault="0002098E" w:rsidP="00F918E9">
            <w:pPr>
              <w:spacing w:line="360" w:lineRule="auto"/>
              <w:jc w:val="center"/>
            </w:pPr>
            <w:r w:rsidRPr="004F2EDB">
              <w:t>0.001</w:t>
            </w:r>
          </w:p>
        </w:tc>
        <w:tc>
          <w:tcPr>
            <w:tcW w:w="1417" w:type="dxa"/>
          </w:tcPr>
          <w:p w14:paraId="26378753" w14:textId="77777777" w:rsidR="0002098E" w:rsidRPr="004F2EDB" w:rsidRDefault="0002098E" w:rsidP="00F918E9">
            <w:pPr>
              <w:spacing w:line="360" w:lineRule="auto"/>
              <w:jc w:val="center"/>
            </w:pPr>
            <w:r w:rsidRPr="004F2EDB">
              <w:t>0.103</w:t>
            </w:r>
          </w:p>
        </w:tc>
        <w:tc>
          <w:tcPr>
            <w:tcW w:w="1134" w:type="dxa"/>
          </w:tcPr>
          <w:p w14:paraId="3B4F4C4D" w14:textId="77777777" w:rsidR="0002098E" w:rsidRPr="004F2EDB" w:rsidRDefault="0002098E" w:rsidP="00F918E9">
            <w:pPr>
              <w:spacing w:line="360" w:lineRule="auto"/>
              <w:jc w:val="center"/>
            </w:pPr>
            <w:r w:rsidRPr="004F2EDB">
              <w:t>0.947</w:t>
            </w:r>
          </w:p>
        </w:tc>
      </w:tr>
      <w:tr w:rsidR="0002098E" w:rsidRPr="004F2EDB" w14:paraId="397BF356" w14:textId="77777777" w:rsidTr="007E37D5">
        <w:tc>
          <w:tcPr>
            <w:tcW w:w="4390" w:type="dxa"/>
          </w:tcPr>
          <w:p w14:paraId="6077D2FC" w14:textId="77777777" w:rsidR="0002098E" w:rsidRPr="004F2EDB" w:rsidRDefault="0002098E" w:rsidP="002A0A35">
            <w:pPr>
              <w:spacing w:line="360" w:lineRule="auto"/>
              <w:jc w:val="both"/>
            </w:pPr>
            <w:r w:rsidRPr="004F2EDB">
              <w:t>T5: REACH/chemical regulation</w:t>
            </w:r>
          </w:p>
        </w:tc>
        <w:tc>
          <w:tcPr>
            <w:tcW w:w="1701" w:type="dxa"/>
          </w:tcPr>
          <w:p w14:paraId="6FE5FD1D" w14:textId="77777777" w:rsidR="0002098E" w:rsidRPr="004F2EDB" w:rsidRDefault="0002098E" w:rsidP="00F918E9">
            <w:pPr>
              <w:spacing w:line="360" w:lineRule="auto"/>
              <w:jc w:val="center"/>
            </w:pPr>
            <w:r w:rsidRPr="004F2EDB">
              <w:t>0.0004</w:t>
            </w:r>
          </w:p>
        </w:tc>
        <w:tc>
          <w:tcPr>
            <w:tcW w:w="1417" w:type="dxa"/>
          </w:tcPr>
          <w:p w14:paraId="652C2D21" w14:textId="77777777" w:rsidR="0002098E" w:rsidRPr="004F2EDB" w:rsidRDefault="0002098E" w:rsidP="00F918E9">
            <w:pPr>
              <w:spacing w:line="360" w:lineRule="auto"/>
              <w:jc w:val="center"/>
            </w:pPr>
            <w:r w:rsidRPr="004F2EDB">
              <w:t>0.083</w:t>
            </w:r>
          </w:p>
        </w:tc>
        <w:tc>
          <w:tcPr>
            <w:tcW w:w="1134" w:type="dxa"/>
          </w:tcPr>
          <w:p w14:paraId="6ACC44E5" w14:textId="77777777" w:rsidR="0002098E" w:rsidRPr="004F2EDB" w:rsidRDefault="0002098E" w:rsidP="00F918E9">
            <w:pPr>
              <w:spacing w:line="360" w:lineRule="auto"/>
              <w:jc w:val="center"/>
            </w:pPr>
            <w:r w:rsidRPr="004F2EDB">
              <w:t>0.984</w:t>
            </w:r>
          </w:p>
        </w:tc>
      </w:tr>
      <w:tr w:rsidR="0002098E" w:rsidRPr="004F2EDB" w14:paraId="5DC5D1CB" w14:textId="77777777" w:rsidTr="007E37D5">
        <w:tc>
          <w:tcPr>
            <w:tcW w:w="4390" w:type="dxa"/>
          </w:tcPr>
          <w:p w14:paraId="633304AE" w14:textId="77777777" w:rsidR="0002098E" w:rsidRPr="004F2EDB" w:rsidRDefault="0002098E" w:rsidP="002A0A35">
            <w:pPr>
              <w:spacing w:line="360" w:lineRule="auto"/>
              <w:jc w:val="both"/>
            </w:pPr>
            <w:r w:rsidRPr="004F2EDB">
              <w:t xml:space="preserve">T6: Single market </w:t>
            </w:r>
          </w:p>
        </w:tc>
        <w:tc>
          <w:tcPr>
            <w:tcW w:w="1701" w:type="dxa"/>
          </w:tcPr>
          <w:p w14:paraId="37476A44" w14:textId="77777777" w:rsidR="0002098E" w:rsidRPr="004F2EDB" w:rsidRDefault="0002098E" w:rsidP="00F918E9">
            <w:pPr>
              <w:spacing w:line="360" w:lineRule="auto"/>
              <w:jc w:val="center"/>
            </w:pPr>
            <w:r w:rsidRPr="004F2EDB">
              <w:t>0.0006</w:t>
            </w:r>
          </w:p>
        </w:tc>
        <w:tc>
          <w:tcPr>
            <w:tcW w:w="1417" w:type="dxa"/>
          </w:tcPr>
          <w:p w14:paraId="49C4917D" w14:textId="77777777" w:rsidR="0002098E" w:rsidRPr="004F2EDB" w:rsidRDefault="0002098E" w:rsidP="00F918E9">
            <w:pPr>
              <w:spacing w:line="360" w:lineRule="auto"/>
              <w:jc w:val="center"/>
            </w:pPr>
            <w:r w:rsidRPr="004F2EDB">
              <w:t>0.172</w:t>
            </w:r>
          </w:p>
        </w:tc>
        <w:tc>
          <w:tcPr>
            <w:tcW w:w="1134" w:type="dxa"/>
          </w:tcPr>
          <w:p w14:paraId="150E39A3" w14:textId="77777777" w:rsidR="0002098E" w:rsidRPr="004F2EDB" w:rsidRDefault="0002098E" w:rsidP="00F918E9">
            <w:pPr>
              <w:spacing w:line="360" w:lineRule="auto"/>
              <w:jc w:val="center"/>
            </w:pPr>
            <w:r w:rsidRPr="004F2EDB">
              <w:t>0.953</w:t>
            </w:r>
          </w:p>
        </w:tc>
      </w:tr>
      <w:tr w:rsidR="0002098E" w:rsidRPr="004F2EDB" w14:paraId="70F945BC" w14:textId="77777777" w:rsidTr="007E37D5">
        <w:tc>
          <w:tcPr>
            <w:tcW w:w="4390" w:type="dxa"/>
          </w:tcPr>
          <w:p w14:paraId="090E3FB4" w14:textId="77777777" w:rsidR="0002098E" w:rsidRPr="004F2EDB" w:rsidRDefault="0002098E" w:rsidP="002A0A35">
            <w:pPr>
              <w:spacing w:line="360" w:lineRule="auto"/>
              <w:jc w:val="both"/>
            </w:pPr>
            <w:r w:rsidRPr="004F2EDB">
              <w:t>T7: Transportation</w:t>
            </w:r>
          </w:p>
        </w:tc>
        <w:tc>
          <w:tcPr>
            <w:tcW w:w="1701" w:type="dxa"/>
          </w:tcPr>
          <w:p w14:paraId="02AE7F89" w14:textId="77777777" w:rsidR="0002098E" w:rsidRPr="004F2EDB" w:rsidRDefault="0002098E" w:rsidP="00F918E9">
            <w:pPr>
              <w:spacing w:line="360" w:lineRule="auto"/>
              <w:jc w:val="center"/>
            </w:pPr>
            <w:r w:rsidRPr="004F2EDB">
              <w:t>0.001</w:t>
            </w:r>
          </w:p>
        </w:tc>
        <w:tc>
          <w:tcPr>
            <w:tcW w:w="1417" w:type="dxa"/>
          </w:tcPr>
          <w:p w14:paraId="7B5F6583" w14:textId="77777777" w:rsidR="0002098E" w:rsidRPr="004F2EDB" w:rsidRDefault="0002098E" w:rsidP="00F918E9">
            <w:pPr>
              <w:spacing w:line="360" w:lineRule="auto"/>
              <w:jc w:val="center"/>
            </w:pPr>
            <w:r w:rsidRPr="004F2EDB">
              <w:t>0.119</w:t>
            </w:r>
          </w:p>
        </w:tc>
        <w:tc>
          <w:tcPr>
            <w:tcW w:w="1134" w:type="dxa"/>
          </w:tcPr>
          <w:p w14:paraId="15C63C05" w14:textId="77777777" w:rsidR="0002098E" w:rsidRPr="004F2EDB" w:rsidRDefault="0002098E" w:rsidP="00F918E9">
            <w:pPr>
              <w:spacing w:line="360" w:lineRule="auto"/>
              <w:jc w:val="center"/>
            </w:pPr>
            <w:r w:rsidRPr="004F2EDB">
              <w:t>0.947</w:t>
            </w:r>
          </w:p>
        </w:tc>
      </w:tr>
      <w:tr w:rsidR="0002098E" w:rsidRPr="004F2EDB" w14:paraId="60EB1B64" w14:textId="77777777" w:rsidTr="007E37D5">
        <w:tc>
          <w:tcPr>
            <w:tcW w:w="4390" w:type="dxa"/>
          </w:tcPr>
          <w:p w14:paraId="25F526CC" w14:textId="77777777" w:rsidR="0002098E" w:rsidRPr="004F2EDB" w:rsidRDefault="0002098E" w:rsidP="002A0A35">
            <w:pPr>
              <w:spacing w:line="360" w:lineRule="auto"/>
              <w:jc w:val="both"/>
            </w:pPr>
            <w:r w:rsidRPr="004F2EDB">
              <w:t xml:space="preserve">T8: Laws and human rights </w:t>
            </w:r>
          </w:p>
        </w:tc>
        <w:tc>
          <w:tcPr>
            <w:tcW w:w="1701" w:type="dxa"/>
          </w:tcPr>
          <w:p w14:paraId="48DE305B" w14:textId="77777777" w:rsidR="0002098E" w:rsidRPr="004F2EDB" w:rsidRDefault="0002098E" w:rsidP="00F918E9">
            <w:pPr>
              <w:spacing w:line="360" w:lineRule="auto"/>
              <w:jc w:val="center"/>
            </w:pPr>
            <w:r w:rsidRPr="004F2EDB">
              <w:t>0.0008</w:t>
            </w:r>
          </w:p>
        </w:tc>
        <w:tc>
          <w:tcPr>
            <w:tcW w:w="1417" w:type="dxa"/>
          </w:tcPr>
          <w:p w14:paraId="0EF20182" w14:textId="77777777" w:rsidR="0002098E" w:rsidRPr="004F2EDB" w:rsidRDefault="0002098E" w:rsidP="00F918E9">
            <w:pPr>
              <w:spacing w:line="360" w:lineRule="auto"/>
              <w:jc w:val="center"/>
            </w:pPr>
            <w:r w:rsidRPr="004F2EDB">
              <w:t>0.157</w:t>
            </w:r>
          </w:p>
        </w:tc>
        <w:tc>
          <w:tcPr>
            <w:tcW w:w="1134" w:type="dxa"/>
          </w:tcPr>
          <w:p w14:paraId="753081A9" w14:textId="77777777" w:rsidR="0002098E" w:rsidRPr="004F2EDB" w:rsidRDefault="0002098E" w:rsidP="00F918E9">
            <w:pPr>
              <w:spacing w:line="360" w:lineRule="auto"/>
              <w:jc w:val="center"/>
            </w:pPr>
            <w:r w:rsidRPr="004F2EDB">
              <w:t>0.973</w:t>
            </w:r>
          </w:p>
        </w:tc>
      </w:tr>
    </w:tbl>
    <w:p w14:paraId="3686B3DB" w14:textId="77777777" w:rsidR="0002098E" w:rsidRPr="004F2EDB" w:rsidRDefault="0002098E" w:rsidP="0002098E"/>
    <w:p w14:paraId="68AE9AF1" w14:textId="77777777" w:rsidR="0002098E" w:rsidRPr="004F2EDB" w:rsidRDefault="0002098E" w:rsidP="0002098E">
      <w:pPr>
        <w:rPr>
          <w:b/>
          <w:bCs/>
        </w:rPr>
      </w:pPr>
      <w:r w:rsidRPr="004F2EDB">
        <w:rPr>
          <w:b/>
          <w:bCs/>
        </w:rPr>
        <w:t xml:space="preserve">Table D: Most representative words exclusive to each topic (FREX) </w:t>
      </w:r>
    </w:p>
    <w:tbl>
      <w:tblPr>
        <w:tblW w:w="9067" w:type="dxa"/>
        <w:tblBorders>
          <w:top w:val="single" w:sz="4" w:space="0" w:color="auto"/>
          <w:bottom w:val="single" w:sz="4" w:space="0" w:color="auto"/>
        </w:tblBorders>
        <w:tblLook w:val="04A0" w:firstRow="1" w:lastRow="0" w:firstColumn="1" w:lastColumn="0" w:noHBand="0" w:noVBand="1"/>
      </w:tblPr>
      <w:tblGrid>
        <w:gridCol w:w="1838"/>
        <w:gridCol w:w="7229"/>
      </w:tblGrid>
      <w:tr w:rsidR="0002098E" w:rsidRPr="00B4164B" w14:paraId="26BA5821" w14:textId="77777777" w:rsidTr="002A0A35">
        <w:tc>
          <w:tcPr>
            <w:tcW w:w="1838" w:type="dxa"/>
            <w:tcBorders>
              <w:top w:val="single" w:sz="4" w:space="0" w:color="auto"/>
              <w:bottom w:val="single" w:sz="4" w:space="0" w:color="auto"/>
            </w:tcBorders>
          </w:tcPr>
          <w:p w14:paraId="0D7B0D35" w14:textId="77777777" w:rsidR="0002098E" w:rsidRPr="00B4164B" w:rsidRDefault="0002098E" w:rsidP="002A0A35">
            <w:pPr>
              <w:rPr>
                <w:b/>
                <w:bCs/>
              </w:rPr>
            </w:pPr>
            <w:r w:rsidRPr="00B4164B">
              <w:rPr>
                <w:b/>
                <w:bCs/>
              </w:rPr>
              <w:t xml:space="preserve">Topic </w:t>
            </w:r>
          </w:p>
        </w:tc>
        <w:tc>
          <w:tcPr>
            <w:tcW w:w="7229" w:type="dxa"/>
            <w:tcBorders>
              <w:top w:val="single" w:sz="4" w:space="0" w:color="auto"/>
              <w:bottom w:val="single" w:sz="4" w:space="0" w:color="auto"/>
            </w:tcBorders>
          </w:tcPr>
          <w:p w14:paraId="44B6752F" w14:textId="77777777" w:rsidR="0002098E" w:rsidRPr="00B4164B" w:rsidRDefault="0002098E" w:rsidP="002A0A35">
            <w:pPr>
              <w:rPr>
                <w:b/>
                <w:bCs/>
              </w:rPr>
            </w:pPr>
            <w:r w:rsidRPr="00B4164B">
              <w:rPr>
                <w:b/>
                <w:bCs/>
              </w:rPr>
              <w:t>Top words</w:t>
            </w:r>
          </w:p>
        </w:tc>
      </w:tr>
      <w:tr w:rsidR="0002098E" w:rsidRPr="00B4164B" w14:paraId="507463DC" w14:textId="77777777" w:rsidTr="002A0A35">
        <w:tc>
          <w:tcPr>
            <w:tcW w:w="1838" w:type="dxa"/>
            <w:tcBorders>
              <w:top w:val="single" w:sz="4" w:space="0" w:color="auto"/>
            </w:tcBorders>
          </w:tcPr>
          <w:p w14:paraId="55D3AB79" w14:textId="77777777" w:rsidR="0002098E" w:rsidRPr="00B4164B" w:rsidRDefault="0002098E" w:rsidP="002A0A35">
            <w:r w:rsidRPr="00B4164B">
              <w:t xml:space="preserve">T1: </w:t>
            </w:r>
          </w:p>
        </w:tc>
        <w:tc>
          <w:tcPr>
            <w:tcW w:w="7229" w:type="dxa"/>
            <w:tcBorders>
              <w:top w:val="single" w:sz="4" w:space="0" w:color="auto"/>
            </w:tcBorders>
          </w:tcPr>
          <w:p w14:paraId="346637B8" w14:textId="77777777" w:rsidR="0002098E" w:rsidRPr="00B4164B" w:rsidRDefault="0002098E" w:rsidP="002A0A35">
            <w:r w:rsidRPr="00B4164B">
              <w:t xml:space="preserve">vat, return, advertis, insur, consum, incom, sale </w:t>
            </w:r>
          </w:p>
        </w:tc>
      </w:tr>
      <w:tr w:rsidR="0002098E" w:rsidRPr="00B4164B" w14:paraId="5A7CFFAD" w14:textId="77777777" w:rsidTr="002A0A35">
        <w:tc>
          <w:tcPr>
            <w:tcW w:w="1838" w:type="dxa"/>
          </w:tcPr>
          <w:p w14:paraId="1C27DCD8" w14:textId="77777777" w:rsidR="0002098E" w:rsidRPr="00B4164B" w:rsidRDefault="0002098E" w:rsidP="002A0A35">
            <w:r w:rsidRPr="00B4164B">
              <w:t>T2:</w:t>
            </w:r>
          </w:p>
        </w:tc>
        <w:tc>
          <w:tcPr>
            <w:tcW w:w="7229" w:type="dxa"/>
          </w:tcPr>
          <w:p w14:paraId="40500FDA" w14:textId="77777777" w:rsidR="0002098E" w:rsidRPr="00B4164B" w:rsidRDefault="0002098E" w:rsidP="002A0A35">
            <w:r w:rsidRPr="00B4164B">
              <w:t>applic, habitat, water, energi, natur, wildlif, climat</w:t>
            </w:r>
          </w:p>
        </w:tc>
      </w:tr>
      <w:tr w:rsidR="0002098E" w:rsidRPr="00B4164B" w14:paraId="68381075" w14:textId="77777777" w:rsidTr="002A0A35">
        <w:tc>
          <w:tcPr>
            <w:tcW w:w="1838" w:type="dxa"/>
          </w:tcPr>
          <w:p w14:paraId="086975C1" w14:textId="77777777" w:rsidR="0002098E" w:rsidRPr="00B4164B" w:rsidRDefault="0002098E" w:rsidP="002A0A35">
            <w:r w:rsidRPr="00B4164B">
              <w:t>T3:</w:t>
            </w:r>
          </w:p>
        </w:tc>
        <w:tc>
          <w:tcPr>
            <w:tcW w:w="7229" w:type="dxa"/>
          </w:tcPr>
          <w:p w14:paraId="50D721CA" w14:textId="77777777" w:rsidR="0002098E" w:rsidRPr="00B4164B" w:rsidRDefault="0002098E" w:rsidP="002A0A35">
            <w:r w:rsidRPr="00B4164B">
              <w:t>medicin, italian, famili, educ, women, itali, abus</w:t>
            </w:r>
          </w:p>
        </w:tc>
      </w:tr>
      <w:tr w:rsidR="0002098E" w:rsidRPr="00B4164B" w14:paraId="1E8020E2" w14:textId="77777777" w:rsidTr="002A0A35">
        <w:tc>
          <w:tcPr>
            <w:tcW w:w="1838" w:type="dxa"/>
          </w:tcPr>
          <w:p w14:paraId="49DC3CAF" w14:textId="77777777" w:rsidR="0002098E" w:rsidRPr="00B4164B" w:rsidRDefault="0002098E" w:rsidP="002A0A35">
            <w:r w:rsidRPr="00B4164B">
              <w:t>T4:</w:t>
            </w:r>
          </w:p>
        </w:tc>
        <w:tc>
          <w:tcPr>
            <w:tcW w:w="7229" w:type="dxa"/>
          </w:tcPr>
          <w:p w14:paraId="2110D9CC" w14:textId="77777777" w:rsidR="0002098E" w:rsidRPr="00B4164B" w:rsidRDefault="0002098E" w:rsidP="002A0A35">
            <w:r w:rsidRPr="00B4164B">
              <w:t>attach, smoke, search, recognit, engin, petit, manag</w:t>
            </w:r>
          </w:p>
        </w:tc>
      </w:tr>
      <w:tr w:rsidR="0002098E" w:rsidRPr="00B4164B" w14:paraId="0A1F4191" w14:textId="77777777" w:rsidTr="002A0A35">
        <w:tc>
          <w:tcPr>
            <w:tcW w:w="1838" w:type="dxa"/>
          </w:tcPr>
          <w:p w14:paraId="347A334D" w14:textId="77777777" w:rsidR="0002098E" w:rsidRPr="00B4164B" w:rsidRDefault="0002098E" w:rsidP="002A0A35">
            <w:r w:rsidRPr="00B4164B">
              <w:t>T5:</w:t>
            </w:r>
          </w:p>
        </w:tc>
        <w:tc>
          <w:tcPr>
            <w:tcW w:w="7229" w:type="dxa"/>
          </w:tcPr>
          <w:p w14:paraId="4F0EE976" w14:textId="77777777" w:rsidR="0002098E" w:rsidRPr="00B4164B" w:rsidRDefault="0002098E" w:rsidP="002A0A35">
            <w:r w:rsidRPr="00B4164B">
              <w:t>see, label, substanc, hazard, product, clp, classif</w:t>
            </w:r>
          </w:p>
        </w:tc>
      </w:tr>
      <w:tr w:rsidR="0002098E" w:rsidRPr="00B4164B" w14:paraId="76AC8E04" w14:textId="77777777" w:rsidTr="002A0A35">
        <w:tc>
          <w:tcPr>
            <w:tcW w:w="1838" w:type="dxa"/>
          </w:tcPr>
          <w:p w14:paraId="6C230827" w14:textId="77777777" w:rsidR="0002098E" w:rsidRPr="00B4164B" w:rsidRDefault="0002098E" w:rsidP="002A0A35">
            <w:r w:rsidRPr="00B4164B">
              <w:t>T6:</w:t>
            </w:r>
          </w:p>
        </w:tc>
        <w:tc>
          <w:tcPr>
            <w:tcW w:w="7229" w:type="dxa"/>
          </w:tcPr>
          <w:p w14:paraId="16FCAE04" w14:textId="77777777" w:rsidR="0002098E" w:rsidRPr="00B4164B" w:rsidRDefault="0002098E" w:rsidP="002A0A35">
            <w:r w:rsidRPr="00B4164B">
              <w:t>citizen, countri, languag, immigr, translat, movement, sweden</w:t>
            </w:r>
          </w:p>
        </w:tc>
      </w:tr>
      <w:tr w:rsidR="0002098E" w:rsidRPr="00B4164B" w14:paraId="6823D7FF" w14:textId="77777777" w:rsidTr="002A0A35">
        <w:tc>
          <w:tcPr>
            <w:tcW w:w="1838" w:type="dxa"/>
          </w:tcPr>
          <w:p w14:paraId="54D122FE" w14:textId="77777777" w:rsidR="0002098E" w:rsidRPr="00B4164B" w:rsidRDefault="0002098E" w:rsidP="002A0A35">
            <w:r w:rsidRPr="00B4164B">
              <w:t>T7:</w:t>
            </w:r>
          </w:p>
        </w:tc>
        <w:tc>
          <w:tcPr>
            <w:tcW w:w="7229" w:type="dxa"/>
          </w:tcPr>
          <w:p w14:paraId="763847B5" w14:textId="77777777" w:rsidR="0002098E" w:rsidRPr="00B4164B" w:rsidRDefault="0002098E" w:rsidP="002A0A35">
            <w:r w:rsidRPr="00B4164B">
              <w:t xml:space="preserve">region, communiti, speed, account, aid, data, secur </w:t>
            </w:r>
          </w:p>
        </w:tc>
      </w:tr>
      <w:tr w:rsidR="0002098E" w:rsidRPr="00B4164B" w14:paraId="2C80CADE" w14:textId="77777777" w:rsidTr="002A0A35">
        <w:tc>
          <w:tcPr>
            <w:tcW w:w="1838" w:type="dxa"/>
          </w:tcPr>
          <w:p w14:paraId="42224B8C" w14:textId="77777777" w:rsidR="0002098E" w:rsidRPr="00B4164B" w:rsidRDefault="0002098E" w:rsidP="002A0A35">
            <w:r w:rsidRPr="00B4164B">
              <w:t>T8:</w:t>
            </w:r>
          </w:p>
        </w:tc>
        <w:tc>
          <w:tcPr>
            <w:tcW w:w="7229" w:type="dxa"/>
          </w:tcPr>
          <w:p w14:paraId="38B901A4" w14:textId="77777777" w:rsidR="0002098E" w:rsidRPr="00B4164B" w:rsidRDefault="0002098E" w:rsidP="002A0A35">
            <w:r w:rsidRPr="00B4164B">
              <w:t>vote, photo, peopl, websit, social, politician, retir</w:t>
            </w:r>
          </w:p>
        </w:tc>
      </w:tr>
    </w:tbl>
    <w:p w14:paraId="63F37BC4" w14:textId="77777777" w:rsidR="0002098E" w:rsidRPr="00B4164B" w:rsidRDefault="0002098E" w:rsidP="0002098E"/>
    <w:p w14:paraId="43A1D133" w14:textId="77777777" w:rsidR="0002098E" w:rsidRDefault="0002098E" w:rsidP="0002098E">
      <w:pPr>
        <w:rPr>
          <w:b/>
          <w:bCs/>
          <w:lang w:val="en-US"/>
        </w:rPr>
      </w:pPr>
    </w:p>
    <w:p w14:paraId="74C8CE94" w14:textId="0F3BDDD7" w:rsidR="002D156A" w:rsidRDefault="002D156A" w:rsidP="0002098E">
      <w:pPr>
        <w:rPr>
          <w:b/>
          <w:bCs/>
          <w:lang w:val="en-US"/>
        </w:rPr>
      </w:pPr>
    </w:p>
    <w:p w14:paraId="06BA3D94" w14:textId="31D8FA48" w:rsidR="001F28A9" w:rsidRDefault="001F28A9" w:rsidP="0002098E">
      <w:pPr>
        <w:rPr>
          <w:b/>
          <w:bCs/>
          <w:lang w:val="en-US"/>
        </w:rPr>
      </w:pPr>
    </w:p>
    <w:p w14:paraId="6C0679BD" w14:textId="4F7942D7" w:rsidR="001F28A9" w:rsidRDefault="001F28A9" w:rsidP="0002098E">
      <w:pPr>
        <w:rPr>
          <w:b/>
          <w:bCs/>
          <w:lang w:val="en-US"/>
        </w:rPr>
      </w:pPr>
    </w:p>
    <w:p w14:paraId="7A06239E" w14:textId="58916BB8" w:rsidR="001F28A9" w:rsidRDefault="001F28A9" w:rsidP="0002098E">
      <w:pPr>
        <w:rPr>
          <w:b/>
          <w:bCs/>
          <w:lang w:val="en-US"/>
        </w:rPr>
      </w:pPr>
    </w:p>
    <w:p w14:paraId="5DDE4D7B" w14:textId="344F4725" w:rsidR="001F28A9" w:rsidRDefault="001F28A9" w:rsidP="0002098E">
      <w:pPr>
        <w:rPr>
          <w:b/>
          <w:bCs/>
          <w:lang w:val="en-US"/>
        </w:rPr>
      </w:pPr>
    </w:p>
    <w:p w14:paraId="606919A7" w14:textId="3B09F2E3" w:rsidR="001F28A9" w:rsidRDefault="001F28A9" w:rsidP="0002098E">
      <w:pPr>
        <w:rPr>
          <w:b/>
          <w:bCs/>
          <w:lang w:val="en-US"/>
        </w:rPr>
      </w:pPr>
    </w:p>
    <w:p w14:paraId="07B7B26E" w14:textId="2D44CFC6" w:rsidR="001F28A9" w:rsidRDefault="001F28A9" w:rsidP="0002098E">
      <w:pPr>
        <w:rPr>
          <w:b/>
          <w:bCs/>
          <w:lang w:val="en-US"/>
        </w:rPr>
      </w:pPr>
    </w:p>
    <w:p w14:paraId="43E3A00B" w14:textId="0E7F99EB" w:rsidR="001F28A9" w:rsidRDefault="001F28A9" w:rsidP="0002098E">
      <w:pPr>
        <w:rPr>
          <w:b/>
          <w:bCs/>
          <w:lang w:val="en-US"/>
        </w:rPr>
      </w:pPr>
    </w:p>
    <w:p w14:paraId="504090A1" w14:textId="57F95C89" w:rsidR="001F28A9" w:rsidRDefault="001F28A9" w:rsidP="0002098E">
      <w:pPr>
        <w:rPr>
          <w:b/>
          <w:bCs/>
          <w:lang w:val="en-US"/>
        </w:rPr>
      </w:pPr>
    </w:p>
    <w:p w14:paraId="145FCAC4" w14:textId="39F27042" w:rsidR="001F28A9" w:rsidRDefault="001F28A9" w:rsidP="0002098E">
      <w:pPr>
        <w:rPr>
          <w:b/>
          <w:bCs/>
          <w:lang w:val="en-US"/>
        </w:rPr>
      </w:pPr>
    </w:p>
    <w:p w14:paraId="24C97084" w14:textId="5EEE37F1" w:rsidR="001F28A9" w:rsidRDefault="001F28A9" w:rsidP="0002098E">
      <w:pPr>
        <w:rPr>
          <w:b/>
          <w:bCs/>
          <w:lang w:val="en-US"/>
        </w:rPr>
      </w:pPr>
    </w:p>
    <w:p w14:paraId="73E4F708" w14:textId="31E5EFFC" w:rsidR="001F28A9" w:rsidRDefault="001F28A9" w:rsidP="0002098E">
      <w:pPr>
        <w:rPr>
          <w:b/>
          <w:bCs/>
          <w:lang w:val="en-US"/>
        </w:rPr>
      </w:pPr>
    </w:p>
    <w:p w14:paraId="5D34569C" w14:textId="3BEB8420" w:rsidR="001F28A9" w:rsidRDefault="001F28A9" w:rsidP="0002098E">
      <w:pPr>
        <w:rPr>
          <w:b/>
          <w:bCs/>
          <w:lang w:val="en-US"/>
        </w:rPr>
      </w:pPr>
    </w:p>
    <w:p w14:paraId="55389737" w14:textId="77777777" w:rsidR="001F28A9" w:rsidRDefault="001F28A9" w:rsidP="0002098E">
      <w:pPr>
        <w:rPr>
          <w:b/>
          <w:bCs/>
          <w:lang w:val="en-US"/>
        </w:rPr>
      </w:pPr>
    </w:p>
    <w:p w14:paraId="45565132" w14:textId="1B75CDFF" w:rsidR="007F05CF" w:rsidRDefault="007F05CF" w:rsidP="0002098E">
      <w:pPr>
        <w:rPr>
          <w:b/>
          <w:bCs/>
          <w:lang w:val="en-US"/>
        </w:rPr>
      </w:pPr>
    </w:p>
    <w:p w14:paraId="422799F2" w14:textId="77777777" w:rsidR="007F05CF" w:rsidRDefault="007F05CF" w:rsidP="0002098E">
      <w:pPr>
        <w:rPr>
          <w:b/>
          <w:bCs/>
          <w:lang w:val="en-US"/>
        </w:rPr>
      </w:pPr>
    </w:p>
    <w:p w14:paraId="1F96A6FB" w14:textId="0825D1A9" w:rsidR="002D156A" w:rsidRPr="00791C3A" w:rsidRDefault="002D156A" w:rsidP="002D156A">
      <w:pPr>
        <w:rPr>
          <w:b/>
          <w:bCs/>
        </w:rPr>
      </w:pPr>
      <w:r w:rsidRPr="00791C3A">
        <w:rPr>
          <w:b/>
          <w:bCs/>
        </w:rPr>
        <w:t xml:space="preserve">Table </w:t>
      </w:r>
      <w:r>
        <w:rPr>
          <w:b/>
          <w:bCs/>
        </w:rPr>
        <w:t>E</w:t>
      </w:r>
      <w:r w:rsidRPr="00791C3A">
        <w:rPr>
          <w:b/>
          <w:bCs/>
        </w:rPr>
        <w:t xml:space="preserve">: Logistic regression explaining the </w:t>
      </w:r>
      <w:r>
        <w:rPr>
          <w:b/>
          <w:bCs/>
        </w:rPr>
        <w:t>probability</w:t>
      </w:r>
      <w:r w:rsidRPr="00791C3A">
        <w:rPr>
          <w:b/>
          <w:bCs/>
        </w:rPr>
        <w:t xml:space="preserve"> of </w:t>
      </w:r>
      <w:r>
        <w:rPr>
          <w:b/>
          <w:bCs/>
        </w:rPr>
        <w:t xml:space="preserve">receiving a public EC reply </w:t>
      </w:r>
      <w:r w:rsidR="001963D4">
        <w:rPr>
          <w:b/>
          <w:bCs/>
        </w:rPr>
        <w:t xml:space="preserve">– ENGLISH TEXTS ONLY </w:t>
      </w:r>
      <w:r>
        <w:rPr>
          <w:b/>
          <w:bCs/>
        </w:rPr>
        <w:t>(</w:t>
      </w:r>
      <w:r w:rsidR="001963D4">
        <w:rPr>
          <w:b/>
          <w:bCs/>
        </w:rPr>
        <w:t>robustness check for T</w:t>
      </w:r>
      <w:r>
        <w:rPr>
          <w:b/>
          <w:bCs/>
        </w:rPr>
        <w:t xml:space="preserve">able 1 in </w:t>
      </w:r>
      <w:r w:rsidR="00F918E9">
        <w:rPr>
          <w:b/>
          <w:bCs/>
        </w:rPr>
        <w:t>the Article</w:t>
      </w:r>
      <w:r>
        <w:rPr>
          <w:b/>
          <w:bCs/>
        </w:rPr>
        <w:t>)</w:t>
      </w:r>
    </w:p>
    <w:p w14:paraId="45391901" w14:textId="3FD57FF9" w:rsidR="001963D4" w:rsidRPr="00791C3A" w:rsidRDefault="001963D4" w:rsidP="001963D4">
      <w:pPr>
        <w:rPr>
          <w:b/>
          <w:bCs/>
        </w:rPr>
      </w:pPr>
    </w:p>
    <w:tbl>
      <w:tblPr>
        <w:tblW w:w="8789" w:type="dxa"/>
        <w:tblLook w:val="06A0" w:firstRow="1" w:lastRow="0" w:firstColumn="1" w:lastColumn="0" w:noHBand="1" w:noVBand="1"/>
      </w:tblPr>
      <w:tblGrid>
        <w:gridCol w:w="3544"/>
        <w:gridCol w:w="2410"/>
        <w:gridCol w:w="2835"/>
      </w:tblGrid>
      <w:tr w:rsidR="001963D4" w:rsidRPr="00335780" w14:paraId="67D41F96" w14:textId="77777777" w:rsidTr="001E1E2B">
        <w:tc>
          <w:tcPr>
            <w:tcW w:w="3544" w:type="dxa"/>
            <w:tcBorders>
              <w:top w:val="double" w:sz="4" w:space="0" w:color="auto"/>
              <w:bottom w:val="single" w:sz="12" w:space="0" w:color="auto"/>
            </w:tcBorders>
          </w:tcPr>
          <w:p w14:paraId="3A8124B7" w14:textId="2DE8FA51" w:rsidR="001963D4" w:rsidRPr="00F918E9" w:rsidRDefault="001963D4" w:rsidP="001E1E2B">
            <w:pPr>
              <w:wordWrap w:val="0"/>
              <w:rPr>
                <w:rStyle w:val="FooterChar"/>
                <w:rFonts w:eastAsiaTheme="majorEastAsia"/>
                <w:b/>
                <w:bCs/>
                <w:color w:val="000000"/>
                <w:sz w:val="22"/>
                <w:szCs w:val="22"/>
                <w:bdr w:val="none" w:sz="0" w:space="0" w:color="auto" w:frame="1"/>
              </w:rPr>
            </w:pPr>
          </w:p>
        </w:tc>
        <w:tc>
          <w:tcPr>
            <w:tcW w:w="2410" w:type="dxa"/>
            <w:tcBorders>
              <w:top w:val="double" w:sz="4" w:space="0" w:color="auto"/>
              <w:bottom w:val="single" w:sz="12" w:space="0" w:color="auto"/>
            </w:tcBorders>
          </w:tcPr>
          <w:p w14:paraId="076A42CC" w14:textId="77777777" w:rsidR="001963D4" w:rsidRPr="00F918E9" w:rsidRDefault="001963D4" w:rsidP="001E1E2B">
            <w:pPr>
              <w:wordWrap w:val="0"/>
              <w:jc w:val="center"/>
              <w:rPr>
                <w:rStyle w:val="FooterChar"/>
                <w:rFonts w:eastAsiaTheme="majorEastAsia"/>
                <w:b/>
                <w:bCs/>
                <w:color w:val="000000"/>
                <w:sz w:val="22"/>
                <w:szCs w:val="22"/>
                <w:bdr w:val="none" w:sz="0" w:space="0" w:color="auto" w:frame="1"/>
              </w:rPr>
            </w:pPr>
            <w:r w:rsidRPr="00F918E9">
              <w:rPr>
                <w:rStyle w:val="FooterChar"/>
                <w:rFonts w:eastAsiaTheme="majorEastAsia"/>
                <w:b/>
                <w:bCs/>
                <w:color w:val="000000"/>
                <w:sz w:val="22"/>
                <w:szCs w:val="22"/>
                <w:bdr w:val="none" w:sz="0" w:space="0" w:color="auto" w:frame="1"/>
              </w:rPr>
              <w:t>Model 1</w:t>
            </w:r>
          </w:p>
        </w:tc>
        <w:tc>
          <w:tcPr>
            <w:tcW w:w="2835" w:type="dxa"/>
            <w:tcBorders>
              <w:top w:val="double" w:sz="4" w:space="0" w:color="auto"/>
              <w:bottom w:val="single" w:sz="12" w:space="0" w:color="auto"/>
            </w:tcBorders>
          </w:tcPr>
          <w:p w14:paraId="12913613" w14:textId="77777777" w:rsidR="001963D4" w:rsidRPr="00F918E9" w:rsidRDefault="001963D4" w:rsidP="001E1E2B">
            <w:pPr>
              <w:wordWrap w:val="0"/>
              <w:jc w:val="center"/>
              <w:rPr>
                <w:rStyle w:val="FooterChar"/>
                <w:rFonts w:eastAsiaTheme="majorEastAsia"/>
                <w:b/>
                <w:bCs/>
                <w:color w:val="000000"/>
                <w:sz w:val="22"/>
                <w:szCs w:val="22"/>
                <w:bdr w:val="none" w:sz="0" w:space="0" w:color="auto" w:frame="1"/>
              </w:rPr>
            </w:pPr>
            <w:r w:rsidRPr="00F918E9">
              <w:rPr>
                <w:rStyle w:val="FooterChar"/>
                <w:rFonts w:eastAsiaTheme="majorEastAsia"/>
                <w:b/>
                <w:bCs/>
                <w:color w:val="000000"/>
                <w:sz w:val="22"/>
                <w:szCs w:val="22"/>
                <w:bdr w:val="none" w:sz="0" w:space="0" w:color="auto" w:frame="1"/>
              </w:rPr>
              <w:t>Model 2</w:t>
            </w:r>
          </w:p>
        </w:tc>
      </w:tr>
      <w:tr w:rsidR="001963D4" w:rsidRPr="00335780" w14:paraId="46B2E57A" w14:textId="77777777" w:rsidTr="001E1E2B">
        <w:tc>
          <w:tcPr>
            <w:tcW w:w="3544" w:type="dxa"/>
          </w:tcPr>
          <w:p w14:paraId="4FCCAF88"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rStyle w:val="FooterChar"/>
                <w:rFonts w:eastAsiaTheme="majorEastAsia"/>
                <w:b/>
                <w:bCs/>
                <w:sz w:val="22"/>
                <w:szCs w:val="22"/>
                <w:bdr w:val="none" w:sz="0" w:space="0" w:color="auto" w:frame="1"/>
              </w:rPr>
              <w:t>Evidence-based comment</w:t>
            </w:r>
          </w:p>
        </w:tc>
        <w:tc>
          <w:tcPr>
            <w:tcW w:w="2410" w:type="dxa"/>
          </w:tcPr>
          <w:p w14:paraId="7A76DFC6" w14:textId="5B7C40A1" w:rsidR="001963D4" w:rsidRPr="00F918E9" w:rsidRDefault="00F918E9"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     </w:t>
            </w:r>
            <w:r w:rsidR="001963D4" w:rsidRPr="00F918E9">
              <w:rPr>
                <w:rStyle w:val="FooterChar"/>
                <w:rFonts w:eastAsiaTheme="majorEastAsia"/>
                <w:sz w:val="22"/>
                <w:szCs w:val="22"/>
                <w:bdr w:val="none" w:sz="0" w:space="0" w:color="auto" w:frame="1"/>
              </w:rPr>
              <w:t xml:space="preserve">1.311*** </w:t>
            </w:r>
          </w:p>
          <w:p w14:paraId="3D73BA4C"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(0.272)</w:t>
            </w:r>
          </w:p>
        </w:tc>
        <w:tc>
          <w:tcPr>
            <w:tcW w:w="2835" w:type="dxa"/>
          </w:tcPr>
          <w:p w14:paraId="1BBEC9C2" w14:textId="3B33B5F5" w:rsidR="001963D4" w:rsidRPr="00F918E9" w:rsidRDefault="00F918E9"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     </w:t>
            </w:r>
            <w:r w:rsidR="001963D4" w:rsidRPr="00F918E9">
              <w:rPr>
                <w:rStyle w:val="FooterChar"/>
                <w:rFonts w:eastAsiaTheme="majorEastAsia"/>
                <w:sz w:val="22"/>
                <w:szCs w:val="22"/>
                <w:bdr w:val="none" w:sz="0" w:space="0" w:color="auto" w:frame="1"/>
              </w:rPr>
              <w:t xml:space="preserve">1.787*** </w:t>
            </w:r>
          </w:p>
          <w:p w14:paraId="014ECA48"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(0.352)</w:t>
            </w:r>
          </w:p>
        </w:tc>
      </w:tr>
      <w:tr w:rsidR="001963D4" w:rsidRPr="00335780" w14:paraId="63E065CB" w14:textId="77777777" w:rsidTr="001E1E2B">
        <w:tc>
          <w:tcPr>
            <w:tcW w:w="5954" w:type="dxa"/>
            <w:gridSpan w:val="2"/>
          </w:tcPr>
          <w:p w14:paraId="581A5170" w14:textId="77A74A5A" w:rsidR="001963D4" w:rsidRPr="00F918E9" w:rsidRDefault="001963D4" w:rsidP="001E1E2B">
            <w:pPr>
              <w:wordWrap w:val="0"/>
              <w:rPr>
                <w:rStyle w:val="FooterChar"/>
                <w:rFonts w:eastAsiaTheme="majorEastAsia"/>
                <w:b/>
                <w:bCs/>
                <w:sz w:val="22"/>
                <w:szCs w:val="22"/>
                <w:bdr w:val="none" w:sz="0" w:space="0" w:color="auto" w:frame="1"/>
              </w:rPr>
            </w:pPr>
            <w:r w:rsidRPr="00F918E9">
              <w:rPr>
                <w:rStyle w:val="FooterChar"/>
                <w:rFonts w:eastAsiaTheme="majorEastAsia"/>
                <w:b/>
                <w:bCs/>
                <w:sz w:val="22"/>
                <w:szCs w:val="22"/>
                <w:bdr w:val="none" w:sz="0" w:space="0" w:color="auto" w:frame="1"/>
              </w:rPr>
              <w:t>Actor type (ref. category</w:t>
            </w:r>
            <w:r w:rsidR="00F918E9" w:rsidRPr="00F918E9">
              <w:rPr>
                <w:rStyle w:val="FooterChar"/>
                <w:rFonts w:eastAsiaTheme="majorEastAsia"/>
                <w:b/>
                <w:bCs/>
                <w:sz w:val="22"/>
                <w:szCs w:val="22"/>
                <w:bdr w:val="none" w:sz="0" w:space="0" w:color="auto" w:frame="1"/>
              </w:rPr>
              <w:t xml:space="preserve">: </w:t>
            </w:r>
            <w:r w:rsidRPr="00F918E9">
              <w:rPr>
                <w:rStyle w:val="FooterChar"/>
                <w:rFonts w:eastAsiaTheme="majorEastAsia"/>
                <w:b/>
                <w:bCs/>
                <w:sz w:val="22"/>
                <w:szCs w:val="22"/>
                <w:bdr w:val="none" w:sz="0" w:space="0" w:color="auto" w:frame="1"/>
              </w:rPr>
              <w:t>Business)</w:t>
            </w:r>
          </w:p>
        </w:tc>
        <w:tc>
          <w:tcPr>
            <w:tcW w:w="2835" w:type="dxa"/>
          </w:tcPr>
          <w:p w14:paraId="04B30C02" w14:textId="77777777" w:rsidR="001963D4" w:rsidRPr="00F918E9" w:rsidRDefault="001963D4" w:rsidP="001E1E2B">
            <w:pPr>
              <w:wordWrap w:val="0"/>
              <w:jc w:val="center"/>
              <w:rPr>
                <w:rStyle w:val="FooterChar"/>
                <w:rFonts w:eastAsiaTheme="majorEastAsia"/>
                <w:sz w:val="22"/>
                <w:szCs w:val="22"/>
                <w:bdr w:val="none" w:sz="0" w:space="0" w:color="auto" w:frame="1"/>
              </w:rPr>
            </w:pPr>
          </w:p>
        </w:tc>
      </w:tr>
      <w:tr w:rsidR="001963D4" w:rsidRPr="00335780" w14:paraId="190A5D19" w14:textId="77777777" w:rsidTr="001E1E2B">
        <w:tc>
          <w:tcPr>
            <w:tcW w:w="3544" w:type="dxa"/>
          </w:tcPr>
          <w:p w14:paraId="32ADF803" w14:textId="77777777" w:rsidR="001963D4" w:rsidRPr="00F918E9" w:rsidRDefault="001963D4" w:rsidP="001E1E2B">
            <w:pPr>
              <w:wordWrap w:val="0"/>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Citizens</w:t>
            </w:r>
          </w:p>
        </w:tc>
        <w:tc>
          <w:tcPr>
            <w:tcW w:w="2410" w:type="dxa"/>
          </w:tcPr>
          <w:p w14:paraId="571047B5" w14:textId="31DB1EF5" w:rsidR="001963D4" w:rsidRPr="00F918E9" w:rsidRDefault="00F918E9"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  </w:t>
            </w:r>
            <w:r w:rsidR="001963D4" w:rsidRPr="00F918E9">
              <w:rPr>
                <w:rStyle w:val="FooterChar"/>
                <w:rFonts w:eastAsiaTheme="majorEastAsia"/>
                <w:sz w:val="22"/>
                <w:szCs w:val="22"/>
                <w:bdr w:val="none" w:sz="0" w:space="0" w:color="auto" w:frame="1"/>
              </w:rPr>
              <w:t xml:space="preserve">-0.805** </w:t>
            </w:r>
          </w:p>
          <w:p w14:paraId="269BC292"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(0.349)</w:t>
            </w:r>
          </w:p>
        </w:tc>
        <w:tc>
          <w:tcPr>
            <w:tcW w:w="2835" w:type="dxa"/>
          </w:tcPr>
          <w:p w14:paraId="40843062" w14:textId="2C4B5ED6" w:rsidR="001963D4" w:rsidRPr="00F918E9" w:rsidRDefault="00F918E9"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   </w:t>
            </w:r>
            <w:r w:rsidR="001963D4" w:rsidRPr="00F918E9">
              <w:rPr>
                <w:rStyle w:val="FooterChar"/>
                <w:rFonts w:eastAsiaTheme="majorEastAsia"/>
                <w:sz w:val="22"/>
                <w:szCs w:val="22"/>
                <w:bdr w:val="none" w:sz="0" w:space="0" w:color="auto" w:frame="1"/>
              </w:rPr>
              <w:t xml:space="preserve">-0.995** </w:t>
            </w:r>
          </w:p>
          <w:p w14:paraId="2A40F52C"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lang w:eastAsia="nb-NO"/>
              </w:rPr>
            </w:pPr>
            <w:r w:rsidRPr="00F918E9">
              <w:rPr>
                <w:rStyle w:val="FooterChar"/>
                <w:rFonts w:eastAsiaTheme="majorEastAsia"/>
                <w:sz w:val="22"/>
                <w:szCs w:val="22"/>
                <w:bdr w:val="none" w:sz="0" w:space="0" w:color="auto" w:frame="1"/>
              </w:rPr>
              <w:t>(0.405)</w:t>
            </w:r>
          </w:p>
        </w:tc>
      </w:tr>
      <w:tr w:rsidR="001963D4" w:rsidRPr="00335780" w14:paraId="7941020E" w14:textId="77777777" w:rsidTr="001E1E2B">
        <w:tc>
          <w:tcPr>
            <w:tcW w:w="3544" w:type="dxa"/>
          </w:tcPr>
          <w:p w14:paraId="3DA23FD4" w14:textId="77777777" w:rsidR="001963D4" w:rsidRPr="00F918E9" w:rsidRDefault="001963D4" w:rsidP="001E1E2B">
            <w:pPr>
              <w:wordWrap w:val="0"/>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Non-business</w:t>
            </w:r>
          </w:p>
        </w:tc>
        <w:tc>
          <w:tcPr>
            <w:tcW w:w="2410" w:type="dxa"/>
          </w:tcPr>
          <w:p w14:paraId="14778741" w14:textId="77777777" w:rsidR="001963D4" w:rsidRPr="00F918E9" w:rsidRDefault="001963D4" w:rsidP="001E1E2B">
            <w:pPr>
              <w:wordWrap w:val="0"/>
              <w:jc w:val="center"/>
              <w:rPr>
                <w:sz w:val="22"/>
                <w:szCs w:val="22"/>
              </w:rPr>
            </w:pPr>
            <w:r w:rsidRPr="00F918E9">
              <w:rPr>
                <w:sz w:val="22"/>
                <w:szCs w:val="22"/>
              </w:rPr>
              <w:t xml:space="preserve">-0.668 </w:t>
            </w:r>
          </w:p>
          <w:p w14:paraId="488C76EB" w14:textId="77777777" w:rsidR="001963D4" w:rsidRPr="00F918E9" w:rsidRDefault="001963D4" w:rsidP="001E1E2B">
            <w:pPr>
              <w:wordWrap w:val="0"/>
              <w:jc w:val="center"/>
              <w:rPr>
                <w:rStyle w:val="FooterChar"/>
                <w:rFonts w:eastAsiaTheme="majorEastAsia"/>
                <w:sz w:val="22"/>
                <w:szCs w:val="22"/>
              </w:rPr>
            </w:pPr>
            <w:r w:rsidRPr="00F918E9">
              <w:rPr>
                <w:sz w:val="22"/>
                <w:szCs w:val="22"/>
              </w:rPr>
              <w:t>(0.522)</w:t>
            </w:r>
          </w:p>
        </w:tc>
        <w:tc>
          <w:tcPr>
            <w:tcW w:w="2835" w:type="dxa"/>
          </w:tcPr>
          <w:p w14:paraId="4FBAF8F3" w14:textId="48C83A2D" w:rsidR="001963D4" w:rsidRPr="00F918E9" w:rsidRDefault="001963D4" w:rsidP="001E1E2B">
            <w:pPr>
              <w:jc w:val="center"/>
              <w:rPr>
                <w:sz w:val="22"/>
                <w:szCs w:val="22"/>
              </w:rPr>
            </w:pPr>
            <w:r w:rsidRPr="00F918E9">
              <w:rPr>
                <w:sz w:val="22"/>
                <w:szCs w:val="22"/>
              </w:rPr>
              <w:t>-0.681</w:t>
            </w:r>
          </w:p>
          <w:p w14:paraId="52ED6B7A" w14:textId="77777777" w:rsidR="001963D4" w:rsidRPr="00F918E9" w:rsidRDefault="001963D4" w:rsidP="001E1E2B">
            <w:pPr>
              <w:jc w:val="center"/>
              <w:rPr>
                <w:rStyle w:val="FooterChar"/>
                <w:rFonts w:eastAsiaTheme="majorEastAsia"/>
                <w:sz w:val="22"/>
                <w:szCs w:val="22"/>
              </w:rPr>
            </w:pPr>
            <w:r w:rsidRPr="00F918E9">
              <w:rPr>
                <w:sz w:val="22"/>
                <w:szCs w:val="22"/>
              </w:rPr>
              <w:t>(0.552)</w:t>
            </w:r>
          </w:p>
        </w:tc>
      </w:tr>
      <w:tr w:rsidR="001963D4" w:rsidRPr="00335780" w14:paraId="0394AC62" w14:textId="77777777" w:rsidTr="001E1E2B">
        <w:tc>
          <w:tcPr>
            <w:tcW w:w="3544" w:type="dxa"/>
          </w:tcPr>
          <w:p w14:paraId="4DF8D204"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rStyle w:val="FooterChar"/>
                <w:rFonts w:eastAsiaTheme="majorEastAsia"/>
                <w:b/>
                <w:bCs/>
                <w:sz w:val="22"/>
                <w:szCs w:val="22"/>
                <w:bdr w:val="none" w:sz="0" w:space="0" w:color="auto" w:frame="1"/>
              </w:rPr>
              <w:t>Controls</w:t>
            </w:r>
          </w:p>
        </w:tc>
        <w:tc>
          <w:tcPr>
            <w:tcW w:w="2410" w:type="dxa"/>
          </w:tcPr>
          <w:p w14:paraId="5D9DB1E7" w14:textId="77777777" w:rsidR="001963D4" w:rsidRPr="00F918E9" w:rsidRDefault="001963D4" w:rsidP="001E1E2B">
            <w:pPr>
              <w:wordWrap w:val="0"/>
              <w:jc w:val="center"/>
              <w:rPr>
                <w:sz w:val="22"/>
                <w:szCs w:val="22"/>
              </w:rPr>
            </w:pPr>
          </w:p>
        </w:tc>
        <w:tc>
          <w:tcPr>
            <w:tcW w:w="2835" w:type="dxa"/>
          </w:tcPr>
          <w:p w14:paraId="05BECB94" w14:textId="77777777" w:rsidR="001963D4" w:rsidRPr="00F918E9" w:rsidRDefault="001963D4" w:rsidP="001E1E2B">
            <w:pPr>
              <w:jc w:val="center"/>
              <w:rPr>
                <w:sz w:val="22"/>
                <w:szCs w:val="22"/>
              </w:rPr>
            </w:pPr>
          </w:p>
        </w:tc>
      </w:tr>
      <w:tr w:rsidR="001963D4" w:rsidRPr="00335780" w14:paraId="16A98DBD" w14:textId="77777777" w:rsidTr="001E1E2B">
        <w:tc>
          <w:tcPr>
            <w:tcW w:w="5954" w:type="dxa"/>
            <w:gridSpan w:val="2"/>
          </w:tcPr>
          <w:p w14:paraId="79A5E73E" w14:textId="245DB6DE" w:rsidR="001963D4" w:rsidRPr="00F918E9" w:rsidRDefault="001963D4" w:rsidP="001E1E2B">
            <w:pPr>
              <w:shd w:val="clear" w:color="auto" w:fill="FFFFFF"/>
              <w:wordWrap w:val="0"/>
              <w:rPr>
                <w:rStyle w:val="FooterChar"/>
                <w:rFonts w:eastAsiaTheme="majorEastAsia"/>
                <w:b/>
                <w:bCs/>
                <w:sz w:val="22"/>
                <w:szCs w:val="22"/>
                <w:bdr w:val="none" w:sz="0" w:space="0" w:color="auto" w:frame="1"/>
                <w:lang w:val="en-US"/>
              </w:rPr>
            </w:pPr>
            <w:r w:rsidRPr="00F918E9">
              <w:rPr>
                <w:rStyle w:val="FooterChar"/>
                <w:rFonts w:eastAsiaTheme="majorEastAsia"/>
                <w:b/>
                <w:bCs/>
                <w:sz w:val="22"/>
                <w:szCs w:val="22"/>
                <w:bdr w:val="none" w:sz="0" w:space="0" w:color="auto" w:frame="1"/>
              </w:rPr>
              <w:t>Comment demand type (ref. category</w:t>
            </w:r>
            <w:r w:rsidR="00F918E9" w:rsidRPr="00F918E9">
              <w:rPr>
                <w:rStyle w:val="FooterChar"/>
                <w:rFonts w:eastAsiaTheme="majorEastAsia"/>
                <w:b/>
                <w:bCs/>
                <w:sz w:val="22"/>
                <w:szCs w:val="22"/>
                <w:bdr w:val="none" w:sz="0" w:space="0" w:color="auto" w:frame="1"/>
              </w:rPr>
              <w:t>:</w:t>
            </w:r>
            <w:r w:rsidRPr="00F918E9">
              <w:rPr>
                <w:rStyle w:val="FooterChar"/>
                <w:rFonts w:eastAsiaTheme="majorEastAsia"/>
                <w:b/>
                <w:bCs/>
                <w:sz w:val="22"/>
                <w:szCs w:val="22"/>
                <w:bdr w:val="none" w:sz="0" w:space="0" w:color="auto" w:frame="1"/>
              </w:rPr>
              <w:t xml:space="preserve"> Reduce legislation)</w:t>
            </w:r>
          </w:p>
        </w:tc>
        <w:tc>
          <w:tcPr>
            <w:tcW w:w="2835" w:type="dxa"/>
          </w:tcPr>
          <w:p w14:paraId="6CA525D7" w14:textId="77777777" w:rsidR="001963D4" w:rsidRPr="00F918E9" w:rsidRDefault="001963D4" w:rsidP="001E1E2B">
            <w:pPr>
              <w:wordWrap w:val="0"/>
              <w:jc w:val="center"/>
              <w:rPr>
                <w:rStyle w:val="FooterChar"/>
                <w:rFonts w:eastAsiaTheme="majorEastAsia"/>
                <w:sz w:val="22"/>
                <w:szCs w:val="22"/>
                <w:bdr w:val="none" w:sz="0" w:space="0" w:color="auto" w:frame="1"/>
              </w:rPr>
            </w:pPr>
          </w:p>
        </w:tc>
      </w:tr>
      <w:tr w:rsidR="001963D4" w:rsidRPr="00335780" w14:paraId="0A88D93E" w14:textId="77777777" w:rsidTr="001E1E2B">
        <w:tc>
          <w:tcPr>
            <w:tcW w:w="3544" w:type="dxa"/>
          </w:tcPr>
          <w:p w14:paraId="01AF3D0B" w14:textId="77777777" w:rsidR="001963D4" w:rsidRPr="00F918E9" w:rsidRDefault="001963D4" w:rsidP="001E1E2B">
            <w:pPr>
              <w:wordWrap w:val="0"/>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Neutral</w:t>
            </w:r>
          </w:p>
        </w:tc>
        <w:tc>
          <w:tcPr>
            <w:tcW w:w="2410" w:type="dxa"/>
          </w:tcPr>
          <w:p w14:paraId="3AC57702"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4473616B"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0.804 </w:t>
            </w:r>
          </w:p>
          <w:p w14:paraId="196D209D"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(0.501)</w:t>
            </w:r>
          </w:p>
        </w:tc>
      </w:tr>
      <w:tr w:rsidR="001963D4" w:rsidRPr="00335780" w14:paraId="17C60306" w14:textId="77777777" w:rsidTr="001E1E2B">
        <w:tc>
          <w:tcPr>
            <w:tcW w:w="3544" w:type="dxa"/>
          </w:tcPr>
          <w:p w14:paraId="3F02C776" w14:textId="77777777" w:rsidR="001963D4" w:rsidRPr="00F918E9" w:rsidRDefault="001963D4" w:rsidP="001E1E2B">
            <w:pPr>
              <w:wordWrap w:val="0"/>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Increase</w:t>
            </w:r>
          </w:p>
        </w:tc>
        <w:tc>
          <w:tcPr>
            <w:tcW w:w="2410" w:type="dxa"/>
          </w:tcPr>
          <w:p w14:paraId="68AACC96"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7B7784B5"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-0.308 </w:t>
            </w:r>
          </w:p>
          <w:p w14:paraId="332B1B60"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(0.367)</w:t>
            </w:r>
          </w:p>
        </w:tc>
      </w:tr>
      <w:tr w:rsidR="001963D4" w:rsidRPr="00335780" w14:paraId="6F5AE046" w14:textId="77777777" w:rsidTr="001E1E2B">
        <w:tc>
          <w:tcPr>
            <w:tcW w:w="3544" w:type="dxa"/>
          </w:tcPr>
          <w:p w14:paraId="226ECC28" w14:textId="77777777" w:rsidR="001963D4" w:rsidRPr="00F918E9" w:rsidRDefault="001963D4" w:rsidP="001E1E2B">
            <w:pPr>
              <w:wordWrap w:val="0"/>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Harmonize</w:t>
            </w:r>
          </w:p>
        </w:tc>
        <w:tc>
          <w:tcPr>
            <w:tcW w:w="2410" w:type="dxa"/>
          </w:tcPr>
          <w:p w14:paraId="0F9ADF3E"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437316A7"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-0.289</w:t>
            </w:r>
          </w:p>
          <w:p w14:paraId="3138E94C"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(0.443)</w:t>
            </w:r>
          </w:p>
        </w:tc>
      </w:tr>
      <w:tr w:rsidR="001963D4" w:rsidRPr="00335780" w14:paraId="1FACC963" w14:textId="77777777" w:rsidTr="001E1E2B">
        <w:tc>
          <w:tcPr>
            <w:tcW w:w="3544" w:type="dxa"/>
          </w:tcPr>
          <w:p w14:paraId="0C5ACB34"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b/>
                <w:bCs/>
                <w:sz w:val="22"/>
                <w:szCs w:val="22"/>
              </w:rPr>
              <w:t xml:space="preserve">Negative tone </w:t>
            </w:r>
          </w:p>
        </w:tc>
        <w:tc>
          <w:tcPr>
            <w:tcW w:w="2410" w:type="dxa"/>
          </w:tcPr>
          <w:p w14:paraId="1232416A"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2D0449D7"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0.062*</w:t>
            </w:r>
          </w:p>
          <w:p w14:paraId="189177C7"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(0.033)</w:t>
            </w:r>
          </w:p>
        </w:tc>
      </w:tr>
      <w:tr w:rsidR="001963D4" w:rsidRPr="00335780" w14:paraId="7B43A749" w14:textId="77777777" w:rsidTr="001E1E2B">
        <w:tc>
          <w:tcPr>
            <w:tcW w:w="3544" w:type="dxa"/>
          </w:tcPr>
          <w:p w14:paraId="42B6A85E"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rStyle w:val="FooterChar"/>
                <w:rFonts w:eastAsiaTheme="majorEastAsia"/>
                <w:b/>
                <w:bCs/>
                <w:sz w:val="22"/>
                <w:szCs w:val="22"/>
                <w:bdr w:val="none" w:sz="0" w:space="0" w:color="auto" w:frame="1"/>
              </w:rPr>
              <w:t xml:space="preserve">Comment text complexity </w:t>
            </w:r>
          </w:p>
        </w:tc>
        <w:tc>
          <w:tcPr>
            <w:tcW w:w="2410" w:type="dxa"/>
          </w:tcPr>
          <w:p w14:paraId="7465E9F9" w14:textId="77777777" w:rsidR="001963D4" w:rsidRPr="00F918E9" w:rsidRDefault="001963D4" w:rsidP="001E1E2B">
            <w:pPr>
              <w:wordWrap w:val="0"/>
              <w:jc w:val="center"/>
              <w:rPr>
                <w:rStyle w:val="FooterChar"/>
                <w:rFonts w:eastAsiaTheme="majorEastAsia"/>
                <w:sz w:val="22"/>
                <w:szCs w:val="22"/>
                <w:bdr w:val="none" w:sz="0" w:space="0" w:color="auto" w:frame="1"/>
              </w:rPr>
            </w:pPr>
          </w:p>
          <w:p w14:paraId="04CDEEC5"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6B4DB209"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0.0001</w:t>
            </w:r>
          </w:p>
          <w:p w14:paraId="1EB4057F"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(0.013)</w:t>
            </w:r>
          </w:p>
        </w:tc>
      </w:tr>
      <w:tr w:rsidR="001963D4" w:rsidRPr="00335780" w14:paraId="1E6878E4" w14:textId="77777777" w:rsidTr="001E1E2B">
        <w:tc>
          <w:tcPr>
            <w:tcW w:w="3544" w:type="dxa"/>
          </w:tcPr>
          <w:p w14:paraId="6D7586AA"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rStyle w:val="FooterChar"/>
                <w:rFonts w:eastAsiaTheme="majorEastAsia"/>
                <w:b/>
                <w:bCs/>
                <w:sz w:val="22"/>
                <w:szCs w:val="22"/>
                <w:bdr w:val="none" w:sz="0" w:space="0" w:color="auto" w:frame="1"/>
              </w:rPr>
              <w:t>Policy topic</w:t>
            </w:r>
          </w:p>
        </w:tc>
        <w:tc>
          <w:tcPr>
            <w:tcW w:w="2410" w:type="dxa"/>
          </w:tcPr>
          <w:p w14:paraId="50BC1E5E"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5BE5EAAB" w14:textId="77777777" w:rsidR="001963D4" w:rsidRPr="00F918E9" w:rsidRDefault="001963D4" w:rsidP="001E1E2B">
            <w:pPr>
              <w:wordWrap w:val="0"/>
              <w:jc w:val="center"/>
              <w:rPr>
                <w:rStyle w:val="FooterChar"/>
                <w:rFonts w:eastAsiaTheme="majorEastAsia"/>
                <w:sz w:val="22"/>
                <w:szCs w:val="22"/>
                <w:bdr w:val="none" w:sz="0" w:space="0" w:color="auto" w:frame="1"/>
              </w:rPr>
            </w:pPr>
          </w:p>
        </w:tc>
      </w:tr>
      <w:tr w:rsidR="001963D4" w:rsidRPr="00335780" w14:paraId="777EFE7A" w14:textId="77777777" w:rsidTr="001E1E2B">
        <w:tc>
          <w:tcPr>
            <w:tcW w:w="5954" w:type="dxa"/>
            <w:gridSpan w:val="2"/>
          </w:tcPr>
          <w:p w14:paraId="28F28358" w14:textId="77777777" w:rsidR="001963D4" w:rsidRPr="00F918E9" w:rsidRDefault="001963D4" w:rsidP="001E1E2B">
            <w:pPr>
              <w:wordWrap w:val="0"/>
              <w:rPr>
                <w:rStyle w:val="FooterChar"/>
                <w:rFonts w:eastAsiaTheme="majorEastAsia"/>
                <w:sz w:val="22"/>
                <w:szCs w:val="22"/>
                <w:bdr w:val="none" w:sz="0" w:space="0" w:color="auto" w:frame="1"/>
              </w:rPr>
            </w:pPr>
            <w:r w:rsidRPr="00F918E9">
              <w:rPr>
                <w:sz w:val="22"/>
                <w:szCs w:val="22"/>
                <w:lang w:val="en-US"/>
              </w:rPr>
              <w:t>Consumer protection/product regulation</w:t>
            </w:r>
          </w:p>
        </w:tc>
        <w:tc>
          <w:tcPr>
            <w:tcW w:w="2835" w:type="dxa"/>
          </w:tcPr>
          <w:p w14:paraId="7AA58980"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1.809*</w:t>
            </w:r>
          </w:p>
          <w:p w14:paraId="3B98FF18"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(0.995)</w:t>
            </w:r>
          </w:p>
        </w:tc>
      </w:tr>
      <w:tr w:rsidR="001963D4" w:rsidRPr="00335780" w14:paraId="339A0FB0" w14:textId="77777777" w:rsidTr="001E1E2B">
        <w:tc>
          <w:tcPr>
            <w:tcW w:w="3544" w:type="dxa"/>
          </w:tcPr>
          <w:p w14:paraId="5DF58874"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sz w:val="22"/>
                <w:szCs w:val="22"/>
              </w:rPr>
              <w:t>Environment/energy</w:t>
            </w:r>
          </w:p>
        </w:tc>
        <w:tc>
          <w:tcPr>
            <w:tcW w:w="2410" w:type="dxa"/>
          </w:tcPr>
          <w:p w14:paraId="2F80A6FA"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7592A0AE"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0.347</w:t>
            </w:r>
          </w:p>
          <w:p w14:paraId="152B2794"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(0.913)</w:t>
            </w:r>
          </w:p>
        </w:tc>
      </w:tr>
      <w:tr w:rsidR="001963D4" w:rsidRPr="00335780" w14:paraId="567AD819" w14:textId="77777777" w:rsidTr="001E1E2B">
        <w:tc>
          <w:tcPr>
            <w:tcW w:w="3544" w:type="dxa"/>
          </w:tcPr>
          <w:p w14:paraId="3858B23F"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sz w:val="22"/>
                <w:szCs w:val="22"/>
              </w:rPr>
              <w:t>Social policy</w:t>
            </w:r>
            <w:r w:rsidRPr="00F918E9">
              <w:rPr>
                <w:b/>
                <w:bCs/>
                <w:sz w:val="22"/>
                <w:szCs w:val="22"/>
              </w:rPr>
              <w:t xml:space="preserve"> </w:t>
            </w:r>
          </w:p>
        </w:tc>
        <w:tc>
          <w:tcPr>
            <w:tcW w:w="2410" w:type="dxa"/>
          </w:tcPr>
          <w:p w14:paraId="3DBAF686"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48905223"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2.226**</w:t>
            </w:r>
          </w:p>
          <w:p w14:paraId="63ABF249"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(1.006)</w:t>
            </w:r>
          </w:p>
        </w:tc>
      </w:tr>
      <w:tr w:rsidR="001963D4" w:rsidRPr="00335780" w14:paraId="627B288C" w14:textId="77777777" w:rsidTr="001E1E2B">
        <w:tc>
          <w:tcPr>
            <w:tcW w:w="3544" w:type="dxa"/>
          </w:tcPr>
          <w:p w14:paraId="41C12168"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sz w:val="22"/>
                <w:szCs w:val="22"/>
              </w:rPr>
              <w:t>Institutional affairs</w:t>
            </w:r>
          </w:p>
        </w:tc>
        <w:tc>
          <w:tcPr>
            <w:tcW w:w="2410" w:type="dxa"/>
          </w:tcPr>
          <w:p w14:paraId="292B62F5"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0080121F"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1.847*</w:t>
            </w:r>
          </w:p>
          <w:p w14:paraId="4C43DCD1"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(1.062)</w:t>
            </w:r>
          </w:p>
        </w:tc>
      </w:tr>
      <w:tr w:rsidR="001963D4" w:rsidRPr="00335780" w14:paraId="299827F5" w14:textId="77777777" w:rsidTr="001E1E2B">
        <w:tc>
          <w:tcPr>
            <w:tcW w:w="3544" w:type="dxa"/>
          </w:tcPr>
          <w:p w14:paraId="29CF7A5F"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sz w:val="22"/>
                <w:szCs w:val="22"/>
              </w:rPr>
              <w:t>Single market</w:t>
            </w:r>
            <w:r w:rsidRPr="00F918E9">
              <w:rPr>
                <w:b/>
                <w:bCs/>
                <w:sz w:val="22"/>
                <w:szCs w:val="22"/>
              </w:rPr>
              <w:t xml:space="preserve"> </w:t>
            </w:r>
          </w:p>
          <w:p w14:paraId="17965D7D" w14:textId="77777777" w:rsidR="001963D4" w:rsidRPr="00F918E9" w:rsidRDefault="001963D4" w:rsidP="001E1E2B">
            <w:pPr>
              <w:wordWrap w:val="0"/>
              <w:rPr>
                <w:rStyle w:val="FooterChar"/>
                <w:rFonts w:eastAsiaTheme="majorEastAsia"/>
                <w:b/>
                <w:bCs/>
                <w:sz w:val="22"/>
                <w:szCs w:val="22"/>
                <w:bdr w:val="none" w:sz="0" w:space="0" w:color="auto" w:frame="1"/>
              </w:rPr>
            </w:pPr>
          </w:p>
        </w:tc>
        <w:tc>
          <w:tcPr>
            <w:tcW w:w="2410" w:type="dxa"/>
          </w:tcPr>
          <w:p w14:paraId="7E8D491E"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0D3AF365"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1.435                                            (0.908)</w:t>
            </w:r>
          </w:p>
        </w:tc>
      </w:tr>
      <w:tr w:rsidR="001963D4" w:rsidRPr="00335780" w14:paraId="0C5A2C58" w14:textId="77777777" w:rsidTr="001E1E2B">
        <w:tc>
          <w:tcPr>
            <w:tcW w:w="3544" w:type="dxa"/>
          </w:tcPr>
          <w:p w14:paraId="4D41B9AB" w14:textId="06668986" w:rsidR="001963D4" w:rsidRPr="00F918E9" w:rsidRDefault="001963D4" w:rsidP="001E1E2B">
            <w:pPr>
              <w:wordWrap w:val="0"/>
              <w:rPr>
                <w:rStyle w:val="FooterChar"/>
                <w:rFonts w:eastAsiaTheme="majorEastAsia"/>
                <w:b/>
                <w:bCs/>
                <w:sz w:val="22"/>
                <w:szCs w:val="22"/>
                <w:bdr w:val="none" w:sz="0" w:space="0" w:color="auto" w:frame="1"/>
              </w:rPr>
            </w:pPr>
            <w:r w:rsidRPr="00F918E9">
              <w:rPr>
                <w:sz w:val="22"/>
                <w:szCs w:val="22"/>
              </w:rPr>
              <w:t>Transport</w:t>
            </w:r>
          </w:p>
        </w:tc>
        <w:tc>
          <w:tcPr>
            <w:tcW w:w="2410" w:type="dxa"/>
          </w:tcPr>
          <w:p w14:paraId="6D7CC2E3"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664D82A3"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1.974*</w:t>
            </w:r>
          </w:p>
          <w:p w14:paraId="469990F0"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(1.066)</w:t>
            </w:r>
          </w:p>
        </w:tc>
      </w:tr>
      <w:tr w:rsidR="001963D4" w:rsidRPr="00335780" w14:paraId="6B212381" w14:textId="77777777" w:rsidTr="001E1E2B">
        <w:tc>
          <w:tcPr>
            <w:tcW w:w="3544" w:type="dxa"/>
          </w:tcPr>
          <w:p w14:paraId="7A63E7AF" w14:textId="77777777" w:rsidR="001963D4" w:rsidRPr="00F918E9" w:rsidRDefault="001963D4" w:rsidP="001E1E2B">
            <w:pPr>
              <w:wordWrap w:val="0"/>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 xml:space="preserve">Laws and human rights </w:t>
            </w:r>
          </w:p>
        </w:tc>
        <w:tc>
          <w:tcPr>
            <w:tcW w:w="2410" w:type="dxa"/>
          </w:tcPr>
          <w:p w14:paraId="65BC1BDC" w14:textId="77777777" w:rsidR="001963D4" w:rsidRPr="00F918E9" w:rsidRDefault="001963D4" w:rsidP="001E1E2B">
            <w:pPr>
              <w:wordWrap w:val="0"/>
              <w:jc w:val="center"/>
              <w:rPr>
                <w:rStyle w:val="FooterChar"/>
                <w:rFonts w:eastAsiaTheme="majorEastAsia"/>
                <w:sz w:val="22"/>
                <w:szCs w:val="22"/>
                <w:bdr w:val="none" w:sz="0" w:space="0" w:color="auto" w:frame="1"/>
              </w:rPr>
            </w:pPr>
          </w:p>
        </w:tc>
        <w:tc>
          <w:tcPr>
            <w:tcW w:w="2835" w:type="dxa"/>
          </w:tcPr>
          <w:p w14:paraId="7C85A75A"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0.594</w:t>
            </w:r>
          </w:p>
          <w:p w14:paraId="2E721F22" w14:textId="77777777" w:rsidR="001963D4" w:rsidRPr="00F918E9" w:rsidRDefault="001963D4" w:rsidP="001E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(1.003)</w:t>
            </w:r>
          </w:p>
        </w:tc>
      </w:tr>
      <w:tr w:rsidR="001963D4" w:rsidRPr="00335780" w14:paraId="53742E48" w14:textId="77777777" w:rsidTr="001E1E2B">
        <w:tc>
          <w:tcPr>
            <w:tcW w:w="3544" w:type="dxa"/>
          </w:tcPr>
          <w:p w14:paraId="715C08FE" w14:textId="77777777" w:rsidR="001963D4" w:rsidRPr="00F918E9" w:rsidRDefault="001963D4" w:rsidP="001E1E2B">
            <w:pPr>
              <w:wordWrap w:val="0"/>
              <w:rPr>
                <w:b/>
                <w:bCs/>
                <w:sz w:val="22"/>
                <w:szCs w:val="22"/>
              </w:rPr>
            </w:pPr>
            <w:r w:rsidRPr="00F918E9">
              <w:rPr>
                <w:b/>
                <w:bCs/>
                <w:sz w:val="22"/>
                <w:szCs w:val="22"/>
              </w:rPr>
              <w:t>Intercept</w:t>
            </w:r>
          </w:p>
        </w:tc>
        <w:tc>
          <w:tcPr>
            <w:tcW w:w="2410" w:type="dxa"/>
          </w:tcPr>
          <w:p w14:paraId="72D1DF4C"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-0.458</w:t>
            </w:r>
          </w:p>
          <w:p w14:paraId="78705D84"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(0.362)</w:t>
            </w:r>
          </w:p>
        </w:tc>
        <w:tc>
          <w:tcPr>
            <w:tcW w:w="2835" w:type="dxa"/>
          </w:tcPr>
          <w:p w14:paraId="09C09B59"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-1.385*</w:t>
            </w:r>
          </w:p>
          <w:p w14:paraId="3D146BB1" w14:textId="77777777" w:rsidR="001963D4" w:rsidRPr="00F918E9" w:rsidRDefault="001963D4" w:rsidP="001E1E2B">
            <w:pPr>
              <w:wordWrap w:val="0"/>
              <w:jc w:val="center"/>
              <w:rPr>
                <w:rStyle w:val="FooterChar"/>
                <w:rFonts w:eastAsiaTheme="majorEastAsia"/>
                <w:sz w:val="22"/>
                <w:szCs w:val="22"/>
                <w:bdr w:val="none" w:sz="0" w:space="0" w:color="auto" w:frame="1"/>
              </w:rPr>
            </w:pPr>
            <w:r w:rsidRPr="00F918E9">
              <w:rPr>
                <w:rStyle w:val="FooterChar"/>
                <w:rFonts w:eastAsiaTheme="majorEastAsia"/>
                <w:sz w:val="22"/>
                <w:szCs w:val="22"/>
                <w:bdr w:val="none" w:sz="0" w:space="0" w:color="auto" w:frame="1"/>
              </w:rPr>
              <w:t>(0.813)</w:t>
            </w:r>
          </w:p>
        </w:tc>
      </w:tr>
      <w:tr w:rsidR="001963D4" w:rsidRPr="00335780" w14:paraId="654AE18D" w14:textId="77777777" w:rsidTr="001E1E2B">
        <w:tc>
          <w:tcPr>
            <w:tcW w:w="3544" w:type="dxa"/>
          </w:tcPr>
          <w:p w14:paraId="6AF00B62" w14:textId="77777777" w:rsidR="001963D4" w:rsidRPr="00F918E9" w:rsidRDefault="001963D4" w:rsidP="001E1E2B">
            <w:pPr>
              <w:wordWrap w:val="0"/>
              <w:rPr>
                <w:rStyle w:val="FooterChar"/>
                <w:rFonts w:eastAsiaTheme="majorEastAsia"/>
                <w:b/>
                <w:bCs/>
                <w:color w:val="000000"/>
                <w:sz w:val="22"/>
                <w:szCs w:val="22"/>
                <w:bdr w:val="none" w:sz="0" w:space="0" w:color="auto" w:frame="1"/>
              </w:rPr>
            </w:pPr>
            <w:r w:rsidRPr="00F918E9">
              <w:rPr>
                <w:rStyle w:val="FooterChar"/>
                <w:rFonts w:eastAsiaTheme="majorEastAsia"/>
                <w:b/>
                <w:bCs/>
                <w:color w:val="000000"/>
                <w:sz w:val="22"/>
                <w:szCs w:val="22"/>
                <w:bdr w:val="none" w:sz="0" w:space="0" w:color="auto" w:frame="1"/>
              </w:rPr>
              <w:t>Log Likelihood</w:t>
            </w:r>
          </w:p>
        </w:tc>
        <w:tc>
          <w:tcPr>
            <w:tcW w:w="2410" w:type="dxa"/>
          </w:tcPr>
          <w:p w14:paraId="15F19003" w14:textId="77777777" w:rsidR="001963D4" w:rsidRPr="00F918E9" w:rsidRDefault="001963D4" w:rsidP="001E1E2B">
            <w:pPr>
              <w:wordWrap w:val="0"/>
              <w:jc w:val="center"/>
              <w:rPr>
                <w:rStyle w:val="FooterChar"/>
                <w:rFonts w:eastAsiaTheme="majorEastAsia"/>
                <w:color w:val="000000"/>
                <w:sz w:val="22"/>
                <w:szCs w:val="22"/>
                <w:bdr w:val="none" w:sz="0" w:space="0" w:color="auto" w:frame="1"/>
              </w:rPr>
            </w:pPr>
            <w:r w:rsidRPr="00F918E9">
              <w:rPr>
                <w:rStyle w:val="FooterChar"/>
                <w:rFonts w:eastAsiaTheme="majorEastAsia"/>
                <w:color w:val="000000"/>
                <w:sz w:val="22"/>
                <w:szCs w:val="22"/>
                <w:bdr w:val="none" w:sz="0" w:space="0" w:color="auto" w:frame="1"/>
              </w:rPr>
              <w:t>-174.670</w:t>
            </w:r>
          </w:p>
        </w:tc>
        <w:tc>
          <w:tcPr>
            <w:tcW w:w="2835" w:type="dxa"/>
          </w:tcPr>
          <w:p w14:paraId="6F2E7BA8" w14:textId="77777777" w:rsidR="001963D4" w:rsidRPr="00F918E9" w:rsidRDefault="001963D4" w:rsidP="001E1E2B">
            <w:pPr>
              <w:wordWrap w:val="0"/>
              <w:jc w:val="center"/>
              <w:rPr>
                <w:rStyle w:val="FooterChar"/>
                <w:rFonts w:eastAsiaTheme="majorEastAsia"/>
                <w:color w:val="000000"/>
                <w:sz w:val="22"/>
                <w:szCs w:val="22"/>
                <w:bdr w:val="none" w:sz="0" w:space="0" w:color="auto" w:frame="1"/>
              </w:rPr>
            </w:pPr>
            <w:r w:rsidRPr="00F918E9">
              <w:rPr>
                <w:rStyle w:val="FooterChar"/>
                <w:rFonts w:eastAsiaTheme="majorEastAsia"/>
                <w:color w:val="000000"/>
                <w:sz w:val="22"/>
                <w:szCs w:val="22"/>
                <w:bdr w:val="none" w:sz="0" w:space="0" w:color="auto" w:frame="1"/>
              </w:rPr>
              <w:t>-162.951</w:t>
            </w:r>
          </w:p>
        </w:tc>
      </w:tr>
      <w:tr w:rsidR="001963D4" w:rsidRPr="00335780" w14:paraId="13C29B4A" w14:textId="77777777" w:rsidTr="00F918E9">
        <w:tc>
          <w:tcPr>
            <w:tcW w:w="3544" w:type="dxa"/>
          </w:tcPr>
          <w:p w14:paraId="04BBD271" w14:textId="77777777" w:rsidR="001963D4" w:rsidRPr="00F918E9" w:rsidRDefault="001963D4" w:rsidP="001E1E2B">
            <w:pPr>
              <w:wordWrap w:val="0"/>
              <w:rPr>
                <w:rStyle w:val="FooterChar"/>
                <w:rFonts w:eastAsiaTheme="majorEastAsia"/>
                <w:b/>
                <w:bCs/>
                <w:color w:val="000000"/>
                <w:sz w:val="22"/>
                <w:szCs w:val="22"/>
                <w:bdr w:val="none" w:sz="0" w:space="0" w:color="auto" w:frame="1"/>
              </w:rPr>
            </w:pPr>
            <w:r w:rsidRPr="00F918E9">
              <w:rPr>
                <w:rStyle w:val="FooterChar"/>
                <w:rFonts w:eastAsiaTheme="majorEastAsia"/>
                <w:b/>
                <w:bCs/>
                <w:color w:val="000000"/>
                <w:sz w:val="22"/>
                <w:szCs w:val="22"/>
                <w:bdr w:val="none" w:sz="0" w:space="0" w:color="auto" w:frame="1"/>
              </w:rPr>
              <w:t>AIC</w:t>
            </w:r>
          </w:p>
        </w:tc>
        <w:tc>
          <w:tcPr>
            <w:tcW w:w="2410" w:type="dxa"/>
          </w:tcPr>
          <w:p w14:paraId="3484E1F6" w14:textId="77777777" w:rsidR="001963D4" w:rsidRPr="00F918E9" w:rsidRDefault="001963D4" w:rsidP="001E1E2B">
            <w:pPr>
              <w:wordWrap w:val="0"/>
              <w:jc w:val="center"/>
              <w:rPr>
                <w:rStyle w:val="FooterChar"/>
                <w:rFonts w:eastAsiaTheme="majorEastAsia"/>
                <w:color w:val="000000"/>
                <w:sz w:val="22"/>
                <w:szCs w:val="22"/>
                <w:bdr w:val="none" w:sz="0" w:space="0" w:color="auto" w:frame="1"/>
              </w:rPr>
            </w:pPr>
            <w:r w:rsidRPr="00F918E9">
              <w:rPr>
                <w:rStyle w:val="FooterChar"/>
                <w:rFonts w:eastAsiaTheme="majorEastAsia"/>
                <w:color w:val="000000"/>
                <w:sz w:val="22"/>
                <w:szCs w:val="22"/>
                <w:bdr w:val="none" w:sz="0" w:space="0" w:color="auto" w:frame="1"/>
              </w:rPr>
              <w:t>357.341</w:t>
            </w:r>
          </w:p>
        </w:tc>
        <w:tc>
          <w:tcPr>
            <w:tcW w:w="2835" w:type="dxa"/>
          </w:tcPr>
          <w:p w14:paraId="68DD7AF3" w14:textId="77777777" w:rsidR="001963D4" w:rsidRPr="00F918E9" w:rsidRDefault="001963D4" w:rsidP="001E1E2B">
            <w:pPr>
              <w:wordWrap w:val="0"/>
              <w:jc w:val="center"/>
              <w:rPr>
                <w:rStyle w:val="FooterChar"/>
                <w:rFonts w:eastAsiaTheme="majorEastAsia"/>
                <w:color w:val="000000"/>
                <w:sz w:val="22"/>
                <w:szCs w:val="22"/>
                <w:bdr w:val="none" w:sz="0" w:space="0" w:color="auto" w:frame="1"/>
              </w:rPr>
            </w:pPr>
            <w:r w:rsidRPr="00F918E9">
              <w:rPr>
                <w:rStyle w:val="FooterChar"/>
                <w:rFonts w:eastAsiaTheme="majorEastAsia"/>
                <w:color w:val="000000"/>
                <w:sz w:val="22"/>
                <w:szCs w:val="22"/>
                <w:bdr w:val="none" w:sz="0" w:space="0" w:color="auto" w:frame="1"/>
              </w:rPr>
              <w:t>357.902</w:t>
            </w:r>
          </w:p>
        </w:tc>
      </w:tr>
      <w:tr w:rsidR="00F918E9" w:rsidRPr="00335780" w14:paraId="42DE6B72" w14:textId="77777777" w:rsidTr="001E1E2B">
        <w:tc>
          <w:tcPr>
            <w:tcW w:w="3544" w:type="dxa"/>
            <w:tcBorders>
              <w:bottom w:val="double" w:sz="4" w:space="0" w:color="auto"/>
            </w:tcBorders>
          </w:tcPr>
          <w:p w14:paraId="471D7677" w14:textId="61385A3B" w:rsidR="00F918E9" w:rsidRPr="00F918E9" w:rsidRDefault="00F918E9" w:rsidP="00F918E9">
            <w:pPr>
              <w:wordWrap w:val="0"/>
              <w:rPr>
                <w:rStyle w:val="FooterChar"/>
                <w:rFonts w:eastAsiaTheme="majorEastAsia"/>
                <w:b/>
                <w:bCs/>
                <w:color w:val="000000"/>
                <w:sz w:val="22"/>
                <w:szCs w:val="22"/>
                <w:bdr w:val="none" w:sz="0" w:space="0" w:color="auto" w:frame="1"/>
              </w:rPr>
            </w:pPr>
            <w:r w:rsidRPr="00F918E9">
              <w:rPr>
                <w:rStyle w:val="FooterChar"/>
                <w:rFonts w:eastAsiaTheme="majorEastAsia"/>
                <w:b/>
                <w:bCs/>
                <w:color w:val="000000"/>
                <w:sz w:val="22"/>
                <w:szCs w:val="22"/>
                <w:bdr w:val="none" w:sz="0" w:space="0" w:color="auto" w:frame="1"/>
              </w:rPr>
              <w:t>N</w:t>
            </w:r>
          </w:p>
        </w:tc>
        <w:tc>
          <w:tcPr>
            <w:tcW w:w="2410" w:type="dxa"/>
            <w:tcBorders>
              <w:bottom w:val="double" w:sz="4" w:space="0" w:color="auto"/>
            </w:tcBorders>
          </w:tcPr>
          <w:p w14:paraId="50569191" w14:textId="49EA8058" w:rsidR="00F918E9" w:rsidRPr="00F918E9" w:rsidRDefault="00F918E9" w:rsidP="00F918E9">
            <w:pPr>
              <w:wordWrap w:val="0"/>
              <w:jc w:val="center"/>
              <w:rPr>
                <w:rStyle w:val="FooterChar"/>
                <w:rFonts w:eastAsiaTheme="majorEastAsia"/>
                <w:color w:val="000000"/>
                <w:sz w:val="22"/>
                <w:szCs w:val="22"/>
                <w:bdr w:val="none" w:sz="0" w:space="0" w:color="auto" w:frame="1"/>
              </w:rPr>
            </w:pPr>
            <w:r w:rsidRPr="00F918E9">
              <w:rPr>
                <w:rStyle w:val="FooterChar"/>
                <w:rFonts w:eastAsiaTheme="majorEastAsia"/>
                <w:color w:val="000000"/>
                <w:sz w:val="22"/>
                <w:szCs w:val="22"/>
                <w:bdr w:val="none" w:sz="0" w:space="0" w:color="auto" w:frame="1"/>
              </w:rPr>
              <w:t>294</w:t>
            </w:r>
          </w:p>
        </w:tc>
        <w:tc>
          <w:tcPr>
            <w:tcW w:w="2835" w:type="dxa"/>
            <w:tcBorders>
              <w:bottom w:val="double" w:sz="4" w:space="0" w:color="auto"/>
            </w:tcBorders>
          </w:tcPr>
          <w:p w14:paraId="241B3574" w14:textId="444A93EC" w:rsidR="00F918E9" w:rsidRPr="00F918E9" w:rsidRDefault="00F918E9" w:rsidP="00F918E9">
            <w:pPr>
              <w:wordWrap w:val="0"/>
              <w:jc w:val="center"/>
              <w:rPr>
                <w:rStyle w:val="FooterChar"/>
                <w:rFonts w:eastAsiaTheme="majorEastAsia"/>
                <w:color w:val="000000"/>
                <w:sz w:val="22"/>
                <w:szCs w:val="22"/>
                <w:bdr w:val="none" w:sz="0" w:space="0" w:color="auto" w:frame="1"/>
              </w:rPr>
            </w:pPr>
            <w:r w:rsidRPr="00F918E9">
              <w:rPr>
                <w:rStyle w:val="FooterChar"/>
                <w:rFonts w:eastAsiaTheme="majorEastAsia"/>
                <w:color w:val="000000"/>
                <w:sz w:val="22"/>
                <w:szCs w:val="22"/>
                <w:bdr w:val="none" w:sz="0" w:space="0" w:color="auto" w:frame="1"/>
              </w:rPr>
              <w:t>294</w:t>
            </w:r>
          </w:p>
        </w:tc>
      </w:tr>
    </w:tbl>
    <w:p w14:paraId="2BCC25A6" w14:textId="77777777" w:rsidR="001963D4" w:rsidRPr="00335780" w:rsidRDefault="001963D4" w:rsidP="001963D4">
      <w:pPr>
        <w:jc w:val="both"/>
        <w:rPr>
          <w:i/>
          <w:iCs/>
          <w:sz w:val="22"/>
          <w:szCs w:val="22"/>
          <w:lang w:val="en-US"/>
        </w:rPr>
      </w:pPr>
      <w:r w:rsidRPr="00335780">
        <w:rPr>
          <w:i/>
          <w:iCs/>
          <w:sz w:val="22"/>
          <w:szCs w:val="22"/>
        </w:rPr>
        <w:t>Note: Logistic regression model</w:t>
      </w:r>
      <w:r>
        <w:rPr>
          <w:i/>
          <w:iCs/>
          <w:sz w:val="22"/>
          <w:szCs w:val="22"/>
        </w:rPr>
        <w:t>s</w:t>
      </w:r>
      <w:r w:rsidRPr="00335780">
        <w:rPr>
          <w:i/>
          <w:iCs/>
          <w:sz w:val="22"/>
          <w:szCs w:val="22"/>
        </w:rPr>
        <w:t>. Standard errors in parentheses for regression coefficients</w:t>
      </w:r>
      <w:r>
        <w:rPr>
          <w:i/>
          <w:iCs/>
          <w:sz w:val="22"/>
          <w:szCs w:val="22"/>
          <w:lang w:val="en-US"/>
        </w:rPr>
        <w:t>.</w:t>
      </w:r>
      <w:r w:rsidRPr="00335780">
        <w:rPr>
          <w:i/>
          <w:iCs/>
          <w:sz w:val="22"/>
          <w:szCs w:val="22"/>
        </w:rPr>
        <w:t xml:space="preserve">  *p&lt;0.1; **p&lt;0.05; ***p&lt;0.01</w:t>
      </w:r>
      <w:r w:rsidRPr="00335780">
        <w:rPr>
          <w:i/>
          <w:iCs/>
          <w:sz w:val="22"/>
          <w:szCs w:val="22"/>
          <w:lang w:val="en-US"/>
        </w:rPr>
        <w:t>.</w:t>
      </w:r>
    </w:p>
    <w:p w14:paraId="51CD1AE2" w14:textId="770DFFC7" w:rsidR="001963D4" w:rsidRDefault="001963D4" w:rsidP="001963D4"/>
    <w:p w14:paraId="6F1A7D96" w14:textId="6650CCEA" w:rsidR="001F28A9" w:rsidRDefault="001F28A9" w:rsidP="001963D4"/>
    <w:p w14:paraId="44D21CBA" w14:textId="4BA4DEBE" w:rsidR="001F28A9" w:rsidRDefault="001F28A9" w:rsidP="001963D4"/>
    <w:p w14:paraId="0F01EA54" w14:textId="5787610C" w:rsidR="001F28A9" w:rsidRDefault="001F28A9" w:rsidP="001963D4"/>
    <w:p w14:paraId="684E30B0" w14:textId="77777777" w:rsidR="001F28A9" w:rsidRDefault="001F28A9" w:rsidP="001963D4"/>
    <w:p w14:paraId="60EF7BD3" w14:textId="77777777" w:rsidR="002D156A" w:rsidRDefault="002D156A" w:rsidP="001963D4">
      <w:pPr>
        <w:jc w:val="both"/>
        <w:rPr>
          <w:lang w:val="en-US"/>
        </w:rPr>
      </w:pPr>
    </w:p>
    <w:p w14:paraId="50AA52CE" w14:textId="2C1E4F19" w:rsidR="001963D4" w:rsidRPr="0046393D" w:rsidRDefault="001963D4" w:rsidP="001963D4">
      <w:pPr>
        <w:jc w:val="both"/>
        <w:rPr>
          <w:b/>
          <w:bCs/>
          <w:lang w:val="en-US"/>
        </w:rPr>
      </w:pPr>
      <w:r w:rsidRPr="0046393D">
        <w:rPr>
          <w:b/>
          <w:bCs/>
          <w:lang w:val="en-US"/>
        </w:rPr>
        <w:t xml:space="preserve">Table </w:t>
      </w:r>
      <w:r>
        <w:rPr>
          <w:b/>
          <w:bCs/>
          <w:lang w:val="en-US"/>
        </w:rPr>
        <w:t>F</w:t>
      </w:r>
      <w:r w:rsidRPr="0046393D">
        <w:rPr>
          <w:b/>
          <w:bCs/>
          <w:lang w:val="en-US"/>
        </w:rPr>
        <w:t xml:space="preserve">. Distribution of EC reply </w:t>
      </w:r>
      <w:r>
        <w:rPr>
          <w:b/>
          <w:bCs/>
          <w:lang w:val="en-US"/>
        </w:rPr>
        <w:t>categories</w:t>
      </w:r>
      <w:r w:rsidRPr="0046393D">
        <w:rPr>
          <w:b/>
          <w:bCs/>
          <w:lang w:val="en-US"/>
        </w:rPr>
        <w:t xml:space="preserve"> per comment type and stakeholder type</w:t>
      </w:r>
      <w:r>
        <w:rPr>
          <w:b/>
          <w:bCs/>
          <w:lang w:val="en-US"/>
        </w:rPr>
        <w:t xml:space="preserve"> -ENGLISH TEXTS ONLY (robustness check for </w:t>
      </w:r>
      <w:r w:rsidR="005D79E8">
        <w:rPr>
          <w:b/>
          <w:bCs/>
          <w:lang w:val="en-US"/>
        </w:rPr>
        <w:t>Table</w:t>
      </w:r>
      <w:r>
        <w:rPr>
          <w:b/>
          <w:bCs/>
          <w:lang w:val="en-US"/>
        </w:rPr>
        <w:t xml:space="preserve"> 3 in </w:t>
      </w:r>
      <w:r w:rsidR="00F918E9">
        <w:rPr>
          <w:b/>
          <w:bCs/>
          <w:lang w:val="en-US"/>
        </w:rPr>
        <w:t>the article)</w:t>
      </w:r>
      <w:r>
        <w:rPr>
          <w:b/>
          <w:bCs/>
          <w:lang w:val="en-US"/>
        </w:rPr>
        <w:t xml:space="preserve"> </w:t>
      </w:r>
    </w:p>
    <w:tbl>
      <w:tblPr>
        <w:tblStyle w:val="TableGrid"/>
        <w:tblW w:w="9209" w:type="dxa"/>
        <w:jc w:val="center"/>
        <w:tblLook w:val="04A0" w:firstRow="1" w:lastRow="0" w:firstColumn="1" w:lastColumn="0" w:noHBand="0" w:noVBand="1"/>
      </w:tblPr>
      <w:tblGrid>
        <w:gridCol w:w="2405"/>
        <w:gridCol w:w="1701"/>
        <w:gridCol w:w="1701"/>
        <w:gridCol w:w="1701"/>
        <w:gridCol w:w="1701"/>
      </w:tblGrid>
      <w:tr w:rsidR="001963D4" w:rsidRPr="00194AE9" w14:paraId="640B60D2" w14:textId="77777777" w:rsidTr="001E1E2B">
        <w:trPr>
          <w:jc w:val="center"/>
        </w:trPr>
        <w:tc>
          <w:tcPr>
            <w:tcW w:w="2405" w:type="dxa"/>
            <w:tcBorders>
              <w:left w:val="nil"/>
              <w:bottom w:val="single" w:sz="4" w:space="0" w:color="auto"/>
              <w:right w:val="nil"/>
              <w:tl2br w:val="single" w:sz="4" w:space="0" w:color="auto"/>
            </w:tcBorders>
          </w:tcPr>
          <w:p w14:paraId="31379110" w14:textId="205B6BBD" w:rsidR="001963D4" w:rsidRPr="00F918E9" w:rsidRDefault="001963D4" w:rsidP="00F918E9">
            <w:pPr>
              <w:jc w:val="center"/>
              <w:rPr>
                <w:b/>
                <w:bCs/>
                <w:sz w:val="22"/>
                <w:szCs w:val="22"/>
                <w:lang w:val="en-US"/>
              </w:rPr>
            </w:pPr>
            <w:r w:rsidRPr="00F918E9">
              <w:rPr>
                <w:b/>
                <w:bCs/>
                <w:sz w:val="22"/>
                <w:szCs w:val="22"/>
                <w:lang w:val="en-US"/>
              </w:rPr>
              <w:t>EC reply</w:t>
            </w:r>
          </w:p>
          <w:p w14:paraId="3BC4DFB1" w14:textId="77777777" w:rsidR="001963D4" w:rsidRPr="00F918E9" w:rsidRDefault="001963D4" w:rsidP="00F918E9">
            <w:pPr>
              <w:jc w:val="center"/>
              <w:rPr>
                <w:sz w:val="22"/>
                <w:szCs w:val="22"/>
                <w:lang w:val="en-US"/>
              </w:rPr>
            </w:pPr>
          </w:p>
          <w:p w14:paraId="0AC64AB7" w14:textId="77777777" w:rsidR="001963D4" w:rsidRPr="00F918E9" w:rsidRDefault="001963D4" w:rsidP="00F918E9">
            <w:pPr>
              <w:jc w:val="center"/>
              <w:rPr>
                <w:b/>
                <w:bCs/>
                <w:sz w:val="22"/>
                <w:szCs w:val="22"/>
                <w:lang w:val="en-US"/>
              </w:rPr>
            </w:pPr>
            <w:r w:rsidRPr="00F918E9">
              <w:rPr>
                <w:b/>
                <w:bCs/>
                <w:sz w:val="22"/>
                <w:szCs w:val="22"/>
                <w:lang w:val="en-US"/>
              </w:rPr>
              <w:t>Comment</w:t>
            </w:r>
          </w:p>
        </w:tc>
        <w:tc>
          <w:tcPr>
            <w:tcW w:w="1701" w:type="dxa"/>
            <w:tcBorders>
              <w:left w:val="nil"/>
              <w:bottom w:val="single" w:sz="4" w:space="0" w:color="auto"/>
              <w:right w:val="nil"/>
            </w:tcBorders>
          </w:tcPr>
          <w:p w14:paraId="742D17E8" w14:textId="77777777" w:rsidR="001963D4" w:rsidRPr="00F918E9" w:rsidRDefault="001963D4" w:rsidP="00F918E9">
            <w:pPr>
              <w:jc w:val="center"/>
              <w:rPr>
                <w:b/>
                <w:bCs/>
                <w:sz w:val="22"/>
                <w:szCs w:val="22"/>
                <w:lang w:val="en-US"/>
              </w:rPr>
            </w:pPr>
            <w:r w:rsidRPr="00F918E9">
              <w:rPr>
                <w:b/>
                <w:bCs/>
                <w:sz w:val="22"/>
                <w:szCs w:val="22"/>
                <w:lang w:val="en-US"/>
              </w:rPr>
              <w:t>Adoption</w:t>
            </w:r>
          </w:p>
        </w:tc>
        <w:tc>
          <w:tcPr>
            <w:tcW w:w="1701" w:type="dxa"/>
            <w:tcBorders>
              <w:left w:val="nil"/>
              <w:bottom w:val="single" w:sz="4" w:space="0" w:color="auto"/>
              <w:right w:val="nil"/>
            </w:tcBorders>
          </w:tcPr>
          <w:p w14:paraId="00FB1FCA" w14:textId="77777777" w:rsidR="001963D4" w:rsidRPr="00F918E9" w:rsidRDefault="001963D4" w:rsidP="00F918E9">
            <w:pPr>
              <w:jc w:val="center"/>
              <w:rPr>
                <w:b/>
                <w:bCs/>
                <w:sz w:val="22"/>
                <w:szCs w:val="22"/>
                <w:lang w:val="en-US"/>
              </w:rPr>
            </w:pPr>
            <w:r w:rsidRPr="00F918E9">
              <w:rPr>
                <w:b/>
                <w:bCs/>
                <w:sz w:val="22"/>
                <w:szCs w:val="22"/>
                <w:lang w:val="en-US"/>
              </w:rPr>
              <w:t>Competence</w:t>
            </w:r>
          </w:p>
        </w:tc>
        <w:tc>
          <w:tcPr>
            <w:tcW w:w="1701" w:type="dxa"/>
            <w:tcBorders>
              <w:left w:val="nil"/>
              <w:bottom w:val="single" w:sz="4" w:space="0" w:color="auto"/>
              <w:right w:val="nil"/>
            </w:tcBorders>
          </w:tcPr>
          <w:p w14:paraId="3CFF2947" w14:textId="77777777" w:rsidR="001963D4" w:rsidRPr="00F918E9" w:rsidRDefault="001963D4" w:rsidP="00F918E9">
            <w:pPr>
              <w:jc w:val="center"/>
              <w:rPr>
                <w:b/>
                <w:bCs/>
                <w:sz w:val="22"/>
                <w:szCs w:val="22"/>
                <w:lang w:val="en-US"/>
              </w:rPr>
            </w:pPr>
            <w:r w:rsidRPr="00F918E9">
              <w:rPr>
                <w:b/>
                <w:bCs/>
                <w:sz w:val="22"/>
                <w:szCs w:val="22"/>
                <w:lang w:val="en-US"/>
              </w:rPr>
              <w:t>Procedural</w:t>
            </w:r>
          </w:p>
        </w:tc>
        <w:tc>
          <w:tcPr>
            <w:tcW w:w="1701" w:type="dxa"/>
            <w:tcBorders>
              <w:left w:val="nil"/>
              <w:bottom w:val="single" w:sz="4" w:space="0" w:color="auto"/>
              <w:right w:val="nil"/>
            </w:tcBorders>
          </w:tcPr>
          <w:p w14:paraId="23DF58AB" w14:textId="6E410700" w:rsidR="001963D4" w:rsidRPr="00F918E9" w:rsidRDefault="001963D4" w:rsidP="00F918E9">
            <w:pPr>
              <w:jc w:val="center"/>
              <w:rPr>
                <w:b/>
                <w:bCs/>
                <w:sz w:val="22"/>
                <w:szCs w:val="22"/>
                <w:lang w:val="en-US"/>
              </w:rPr>
            </w:pPr>
            <w:r w:rsidRPr="00F918E9">
              <w:rPr>
                <w:b/>
                <w:bCs/>
                <w:sz w:val="22"/>
                <w:szCs w:val="22"/>
                <w:lang w:val="en-US"/>
              </w:rPr>
              <w:t>Policy</w:t>
            </w:r>
          </w:p>
          <w:p w14:paraId="4A596F30" w14:textId="77777777" w:rsidR="001963D4" w:rsidRPr="00F918E9" w:rsidRDefault="001963D4" w:rsidP="00F918E9">
            <w:pPr>
              <w:jc w:val="center"/>
              <w:rPr>
                <w:b/>
                <w:bCs/>
                <w:sz w:val="22"/>
                <w:szCs w:val="22"/>
                <w:lang w:val="en-US"/>
              </w:rPr>
            </w:pPr>
            <w:r w:rsidRPr="00F918E9">
              <w:rPr>
                <w:b/>
                <w:bCs/>
                <w:sz w:val="22"/>
                <w:szCs w:val="22"/>
                <w:lang w:val="en-US"/>
              </w:rPr>
              <w:t>substantive</w:t>
            </w:r>
          </w:p>
        </w:tc>
      </w:tr>
      <w:tr w:rsidR="001963D4" w:rsidRPr="00194AE9" w14:paraId="152D726F" w14:textId="77777777" w:rsidTr="001E1E2B">
        <w:trPr>
          <w:jc w:val="center"/>
        </w:trPr>
        <w:tc>
          <w:tcPr>
            <w:tcW w:w="2405" w:type="dxa"/>
            <w:tcBorders>
              <w:top w:val="single" w:sz="4" w:space="0" w:color="auto"/>
              <w:left w:val="nil"/>
              <w:bottom w:val="nil"/>
              <w:right w:val="nil"/>
              <w:tl2br w:val="nil"/>
            </w:tcBorders>
          </w:tcPr>
          <w:p w14:paraId="238E5712" w14:textId="4FB686EE" w:rsidR="001963D4" w:rsidRPr="00F918E9" w:rsidRDefault="001963D4" w:rsidP="00F918E9">
            <w:pPr>
              <w:jc w:val="center"/>
              <w:rPr>
                <w:sz w:val="22"/>
                <w:szCs w:val="22"/>
                <w:lang w:val="en-US"/>
              </w:rPr>
            </w:pPr>
            <w:r w:rsidRPr="00F918E9">
              <w:rPr>
                <w:sz w:val="22"/>
                <w:szCs w:val="22"/>
                <w:lang w:val="en-US"/>
              </w:rPr>
              <w:t>Opinion-based</w:t>
            </w:r>
          </w:p>
        </w:tc>
        <w:tc>
          <w:tcPr>
            <w:tcW w:w="1701" w:type="dxa"/>
            <w:tcBorders>
              <w:top w:val="single" w:sz="4" w:space="0" w:color="auto"/>
              <w:left w:val="nil"/>
              <w:bottom w:val="nil"/>
              <w:right w:val="nil"/>
            </w:tcBorders>
          </w:tcPr>
          <w:p w14:paraId="26AF0DE8" w14:textId="77777777" w:rsidR="001963D4" w:rsidRPr="00F918E9" w:rsidRDefault="001963D4" w:rsidP="00F918E9">
            <w:pPr>
              <w:jc w:val="center"/>
              <w:rPr>
                <w:sz w:val="22"/>
                <w:szCs w:val="22"/>
                <w:lang w:val="en-US"/>
              </w:rPr>
            </w:pPr>
            <w:r w:rsidRPr="00F918E9">
              <w:rPr>
                <w:sz w:val="22"/>
                <w:szCs w:val="22"/>
                <w:lang w:val="en-US"/>
              </w:rPr>
              <w:t>0 (0.0%)</w:t>
            </w:r>
          </w:p>
        </w:tc>
        <w:tc>
          <w:tcPr>
            <w:tcW w:w="1701" w:type="dxa"/>
            <w:tcBorders>
              <w:top w:val="single" w:sz="4" w:space="0" w:color="auto"/>
              <w:left w:val="nil"/>
              <w:bottom w:val="nil"/>
              <w:right w:val="nil"/>
            </w:tcBorders>
          </w:tcPr>
          <w:p w14:paraId="24B531E2" w14:textId="77777777" w:rsidR="001963D4" w:rsidRPr="00F918E9" w:rsidRDefault="001963D4" w:rsidP="00F918E9">
            <w:pPr>
              <w:jc w:val="center"/>
              <w:rPr>
                <w:sz w:val="22"/>
                <w:szCs w:val="22"/>
                <w:lang w:val="en-US"/>
              </w:rPr>
            </w:pPr>
            <w:r w:rsidRPr="00F918E9">
              <w:rPr>
                <w:sz w:val="22"/>
                <w:szCs w:val="22"/>
                <w:lang w:val="en-US"/>
              </w:rPr>
              <w:t>23 (59.0%)</w:t>
            </w:r>
          </w:p>
        </w:tc>
        <w:tc>
          <w:tcPr>
            <w:tcW w:w="1701" w:type="dxa"/>
            <w:tcBorders>
              <w:top w:val="single" w:sz="4" w:space="0" w:color="auto"/>
              <w:left w:val="nil"/>
              <w:bottom w:val="nil"/>
              <w:right w:val="nil"/>
            </w:tcBorders>
          </w:tcPr>
          <w:p w14:paraId="56477235" w14:textId="77777777" w:rsidR="001963D4" w:rsidRPr="00F918E9" w:rsidRDefault="001963D4" w:rsidP="00F918E9">
            <w:pPr>
              <w:jc w:val="center"/>
              <w:rPr>
                <w:sz w:val="22"/>
                <w:szCs w:val="22"/>
                <w:lang w:val="en-US"/>
              </w:rPr>
            </w:pPr>
            <w:r w:rsidRPr="00F918E9">
              <w:rPr>
                <w:sz w:val="22"/>
                <w:szCs w:val="22"/>
                <w:lang w:val="en-US"/>
              </w:rPr>
              <w:t>12 (31.0%)</w:t>
            </w:r>
          </w:p>
        </w:tc>
        <w:tc>
          <w:tcPr>
            <w:tcW w:w="1701" w:type="dxa"/>
            <w:tcBorders>
              <w:top w:val="single" w:sz="4" w:space="0" w:color="auto"/>
              <w:left w:val="nil"/>
              <w:bottom w:val="nil"/>
              <w:right w:val="nil"/>
            </w:tcBorders>
          </w:tcPr>
          <w:p w14:paraId="0DF5438F" w14:textId="77777777" w:rsidR="001963D4" w:rsidRPr="00F918E9" w:rsidRDefault="001963D4" w:rsidP="00F918E9">
            <w:pPr>
              <w:jc w:val="center"/>
              <w:rPr>
                <w:sz w:val="22"/>
                <w:szCs w:val="22"/>
                <w:lang w:val="en-US"/>
              </w:rPr>
            </w:pPr>
            <w:r w:rsidRPr="00F918E9">
              <w:rPr>
                <w:sz w:val="22"/>
                <w:szCs w:val="22"/>
                <w:lang w:val="en-US"/>
              </w:rPr>
              <w:t>4 (10.0%)</w:t>
            </w:r>
          </w:p>
        </w:tc>
      </w:tr>
      <w:tr w:rsidR="001963D4" w:rsidRPr="00194AE9" w14:paraId="25414E89" w14:textId="77777777" w:rsidTr="001E1E2B">
        <w:trPr>
          <w:jc w:val="center"/>
        </w:trPr>
        <w:tc>
          <w:tcPr>
            <w:tcW w:w="2405" w:type="dxa"/>
            <w:tcBorders>
              <w:top w:val="nil"/>
              <w:left w:val="nil"/>
              <w:bottom w:val="nil"/>
              <w:right w:val="nil"/>
              <w:tl2br w:val="nil"/>
            </w:tcBorders>
          </w:tcPr>
          <w:p w14:paraId="0B8BC99E" w14:textId="77777777" w:rsidR="001963D4" w:rsidRPr="00F918E9" w:rsidRDefault="001963D4" w:rsidP="00F918E9">
            <w:pPr>
              <w:jc w:val="center"/>
              <w:rPr>
                <w:sz w:val="22"/>
                <w:szCs w:val="22"/>
                <w:lang w:val="en-US"/>
              </w:rPr>
            </w:pPr>
            <w:r w:rsidRPr="00F918E9">
              <w:rPr>
                <w:sz w:val="22"/>
                <w:szCs w:val="22"/>
                <w:lang w:val="en-US"/>
              </w:rPr>
              <w:t>Evidence-based</w:t>
            </w:r>
          </w:p>
        </w:tc>
        <w:tc>
          <w:tcPr>
            <w:tcW w:w="1701" w:type="dxa"/>
            <w:tcBorders>
              <w:top w:val="nil"/>
              <w:left w:val="nil"/>
              <w:bottom w:val="nil"/>
              <w:right w:val="nil"/>
            </w:tcBorders>
          </w:tcPr>
          <w:p w14:paraId="0CC27C35" w14:textId="77777777" w:rsidR="001963D4" w:rsidRPr="00F918E9" w:rsidRDefault="001963D4" w:rsidP="00F918E9">
            <w:pPr>
              <w:jc w:val="center"/>
              <w:rPr>
                <w:sz w:val="22"/>
                <w:szCs w:val="22"/>
                <w:lang w:val="en-US"/>
              </w:rPr>
            </w:pPr>
            <w:r w:rsidRPr="00F918E9">
              <w:rPr>
                <w:sz w:val="22"/>
                <w:szCs w:val="22"/>
                <w:lang w:val="en-US"/>
              </w:rPr>
              <w:t>13 (18.1%)</w:t>
            </w:r>
          </w:p>
        </w:tc>
        <w:tc>
          <w:tcPr>
            <w:tcW w:w="1701" w:type="dxa"/>
            <w:tcBorders>
              <w:top w:val="nil"/>
              <w:left w:val="nil"/>
              <w:bottom w:val="nil"/>
              <w:right w:val="nil"/>
            </w:tcBorders>
          </w:tcPr>
          <w:p w14:paraId="1C23AD83" w14:textId="77777777" w:rsidR="001963D4" w:rsidRPr="00F918E9" w:rsidRDefault="001963D4" w:rsidP="00F918E9">
            <w:pPr>
              <w:jc w:val="center"/>
              <w:rPr>
                <w:sz w:val="22"/>
                <w:szCs w:val="22"/>
                <w:lang w:val="en-US"/>
              </w:rPr>
            </w:pPr>
            <w:r w:rsidRPr="00F918E9">
              <w:rPr>
                <w:sz w:val="22"/>
                <w:szCs w:val="22"/>
                <w:lang w:val="en-US"/>
              </w:rPr>
              <w:t>20 (27.8%)</w:t>
            </w:r>
          </w:p>
        </w:tc>
        <w:tc>
          <w:tcPr>
            <w:tcW w:w="1701" w:type="dxa"/>
            <w:tcBorders>
              <w:top w:val="nil"/>
              <w:left w:val="nil"/>
              <w:bottom w:val="nil"/>
              <w:right w:val="nil"/>
            </w:tcBorders>
          </w:tcPr>
          <w:p w14:paraId="1FC42D2B" w14:textId="77777777" w:rsidR="001963D4" w:rsidRPr="00F918E9" w:rsidRDefault="001963D4" w:rsidP="00F918E9">
            <w:pPr>
              <w:jc w:val="center"/>
              <w:rPr>
                <w:sz w:val="22"/>
                <w:szCs w:val="22"/>
                <w:lang w:val="en-US"/>
              </w:rPr>
            </w:pPr>
            <w:r w:rsidRPr="00F918E9">
              <w:rPr>
                <w:sz w:val="22"/>
                <w:szCs w:val="22"/>
                <w:lang w:val="en-US"/>
              </w:rPr>
              <w:t>23 (31.9%)</w:t>
            </w:r>
          </w:p>
        </w:tc>
        <w:tc>
          <w:tcPr>
            <w:tcW w:w="1701" w:type="dxa"/>
            <w:tcBorders>
              <w:top w:val="nil"/>
              <w:left w:val="nil"/>
              <w:bottom w:val="nil"/>
              <w:right w:val="nil"/>
            </w:tcBorders>
          </w:tcPr>
          <w:p w14:paraId="44059566" w14:textId="77777777" w:rsidR="001963D4" w:rsidRPr="00F918E9" w:rsidRDefault="001963D4" w:rsidP="00F918E9">
            <w:pPr>
              <w:jc w:val="center"/>
              <w:rPr>
                <w:sz w:val="22"/>
                <w:szCs w:val="22"/>
                <w:lang w:val="en-US"/>
              </w:rPr>
            </w:pPr>
            <w:r w:rsidRPr="00F918E9">
              <w:rPr>
                <w:sz w:val="22"/>
                <w:szCs w:val="22"/>
                <w:lang w:val="en-US"/>
              </w:rPr>
              <w:t>16 (22.2%)</w:t>
            </w:r>
          </w:p>
        </w:tc>
      </w:tr>
      <w:tr w:rsidR="001963D4" w:rsidRPr="00194AE9" w14:paraId="5DD84F8A" w14:textId="77777777" w:rsidTr="001E1E2B">
        <w:trPr>
          <w:jc w:val="center"/>
        </w:trPr>
        <w:tc>
          <w:tcPr>
            <w:tcW w:w="2405" w:type="dxa"/>
            <w:tcBorders>
              <w:top w:val="nil"/>
              <w:left w:val="nil"/>
              <w:bottom w:val="nil"/>
              <w:right w:val="nil"/>
              <w:tl2br w:val="nil"/>
            </w:tcBorders>
          </w:tcPr>
          <w:p w14:paraId="556EA77F" w14:textId="28634316" w:rsidR="001963D4" w:rsidRPr="00F918E9" w:rsidRDefault="001963D4" w:rsidP="00F918E9">
            <w:pPr>
              <w:jc w:val="center"/>
              <w:rPr>
                <w:b/>
                <w:bCs/>
                <w:sz w:val="22"/>
                <w:szCs w:val="22"/>
                <w:lang w:val="en-US"/>
              </w:rPr>
            </w:pPr>
            <w:r w:rsidRPr="00F918E9">
              <w:rPr>
                <w:b/>
                <w:bCs/>
                <w:sz w:val="22"/>
                <w:szCs w:val="22"/>
                <w:lang w:val="en-US"/>
              </w:rPr>
              <w:t>Stakeholder</w:t>
            </w:r>
          </w:p>
        </w:tc>
        <w:tc>
          <w:tcPr>
            <w:tcW w:w="1701" w:type="dxa"/>
            <w:tcBorders>
              <w:top w:val="nil"/>
              <w:left w:val="nil"/>
              <w:bottom w:val="nil"/>
              <w:right w:val="nil"/>
            </w:tcBorders>
          </w:tcPr>
          <w:p w14:paraId="111CA927" w14:textId="77777777" w:rsidR="001963D4" w:rsidRPr="00F918E9" w:rsidRDefault="001963D4" w:rsidP="00F918E9">
            <w:pPr>
              <w:jc w:val="center"/>
              <w:rPr>
                <w:sz w:val="22"/>
                <w:szCs w:val="22"/>
                <w:lang w:val="en-US"/>
              </w:rPr>
            </w:pPr>
          </w:p>
        </w:tc>
        <w:tc>
          <w:tcPr>
            <w:tcW w:w="1701" w:type="dxa"/>
            <w:tcBorders>
              <w:top w:val="nil"/>
              <w:left w:val="nil"/>
              <w:bottom w:val="nil"/>
              <w:right w:val="nil"/>
            </w:tcBorders>
          </w:tcPr>
          <w:p w14:paraId="1391F3DE" w14:textId="77777777" w:rsidR="001963D4" w:rsidRPr="00F918E9" w:rsidRDefault="001963D4" w:rsidP="00F918E9">
            <w:pPr>
              <w:jc w:val="center"/>
              <w:rPr>
                <w:sz w:val="22"/>
                <w:szCs w:val="22"/>
                <w:lang w:val="en-US"/>
              </w:rPr>
            </w:pPr>
          </w:p>
        </w:tc>
        <w:tc>
          <w:tcPr>
            <w:tcW w:w="1701" w:type="dxa"/>
            <w:tcBorders>
              <w:top w:val="nil"/>
              <w:left w:val="nil"/>
              <w:bottom w:val="nil"/>
              <w:right w:val="nil"/>
            </w:tcBorders>
          </w:tcPr>
          <w:p w14:paraId="6145560D" w14:textId="77777777" w:rsidR="001963D4" w:rsidRPr="00F918E9" w:rsidRDefault="001963D4" w:rsidP="00F918E9">
            <w:pPr>
              <w:jc w:val="center"/>
              <w:rPr>
                <w:sz w:val="22"/>
                <w:szCs w:val="22"/>
                <w:lang w:val="en-US"/>
              </w:rPr>
            </w:pPr>
          </w:p>
        </w:tc>
        <w:tc>
          <w:tcPr>
            <w:tcW w:w="1701" w:type="dxa"/>
            <w:tcBorders>
              <w:top w:val="nil"/>
              <w:left w:val="nil"/>
              <w:bottom w:val="nil"/>
              <w:right w:val="nil"/>
            </w:tcBorders>
          </w:tcPr>
          <w:p w14:paraId="3C0318B9" w14:textId="77777777" w:rsidR="001963D4" w:rsidRPr="00F918E9" w:rsidRDefault="001963D4" w:rsidP="00F918E9">
            <w:pPr>
              <w:jc w:val="center"/>
              <w:rPr>
                <w:sz w:val="22"/>
                <w:szCs w:val="22"/>
                <w:lang w:val="en-US"/>
              </w:rPr>
            </w:pPr>
          </w:p>
        </w:tc>
      </w:tr>
      <w:tr w:rsidR="001963D4" w:rsidRPr="00194AE9" w14:paraId="790525AF" w14:textId="77777777" w:rsidTr="001E1E2B">
        <w:trPr>
          <w:jc w:val="center"/>
        </w:trPr>
        <w:tc>
          <w:tcPr>
            <w:tcW w:w="2405" w:type="dxa"/>
            <w:tcBorders>
              <w:top w:val="nil"/>
              <w:left w:val="nil"/>
              <w:bottom w:val="nil"/>
              <w:right w:val="nil"/>
              <w:tl2br w:val="nil"/>
            </w:tcBorders>
          </w:tcPr>
          <w:p w14:paraId="4E705545" w14:textId="031168AE" w:rsidR="001963D4" w:rsidRPr="00F918E9" w:rsidRDefault="001963D4" w:rsidP="00F918E9">
            <w:pPr>
              <w:jc w:val="center"/>
              <w:rPr>
                <w:sz w:val="22"/>
                <w:szCs w:val="22"/>
                <w:lang w:val="en-US"/>
              </w:rPr>
            </w:pPr>
            <w:r w:rsidRPr="00F918E9">
              <w:rPr>
                <w:sz w:val="22"/>
                <w:szCs w:val="22"/>
                <w:lang w:val="en-US"/>
              </w:rPr>
              <w:t>Business</w:t>
            </w:r>
          </w:p>
        </w:tc>
        <w:tc>
          <w:tcPr>
            <w:tcW w:w="1701" w:type="dxa"/>
            <w:tcBorders>
              <w:top w:val="nil"/>
              <w:left w:val="nil"/>
              <w:bottom w:val="nil"/>
              <w:right w:val="nil"/>
            </w:tcBorders>
          </w:tcPr>
          <w:p w14:paraId="468426BC" w14:textId="77777777" w:rsidR="001963D4" w:rsidRPr="00F918E9" w:rsidRDefault="001963D4" w:rsidP="00F918E9">
            <w:pPr>
              <w:jc w:val="center"/>
              <w:rPr>
                <w:sz w:val="22"/>
                <w:szCs w:val="22"/>
                <w:lang w:val="en-US"/>
              </w:rPr>
            </w:pPr>
            <w:r w:rsidRPr="00F918E9">
              <w:rPr>
                <w:sz w:val="22"/>
                <w:szCs w:val="22"/>
                <w:lang w:val="en-US"/>
              </w:rPr>
              <w:t>8 (25.8%)</w:t>
            </w:r>
          </w:p>
        </w:tc>
        <w:tc>
          <w:tcPr>
            <w:tcW w:w="1701" w:type="dxa"/>
            <w:tcBorders>
              <w:top w:val="nil"/>
              <w:left w:val="nil"/>
              <w:bottom w:val="nil"/>
              <w:right w:val="nil"/>
            </w:tcBorders>
          </w:tcPr>
          <w:p w14:paraId="56CEDF00" w14:textId="77777777" w:rsidR="001963D4" w:rsidRPr="00F918E9" w:rsidRDefault="001963D4" w:rsidP="00F918E9">
            <w:pPr>
              <w:jc w:val="center"/>
              <w:rPr>
                <w:sz w:val="22"/>
                <w:szCs w:val="22"/>
                <w:lang w:val="en-US"/>
              </w:rPr>
            </w:pPr>
            <w:r w:rsidRPr="00F918E9">
              <w:rPr>
                <w:sz w:val="22"/>
                <w:szCs w:val="22"/>
                <w:lang w:val="en-US"/>
              </w:rPr>
              <w:t>8 (25.8%)</w:t>
            </w:r>
          </w:p>
        </w:tc>
        <w:tc>
          <w:tcPr>
            <w:tcW w:w="1701" w:type="dxa"/>
            <w:tcBorders>
              <w:top w:val="nil"/>
              <w:left w:val="nil"/>
              <w:bottom w:val="nil"/>
              <w:right w:val="nil"/>
            </w:tcBorders>
          </w:tcPr>
          <w:p w14:paraId="594DE1A2" w14:textId="77777777" w:rsidR="001963D4" w:rsidRPr="00F918E9" w:rsidRDefault="001963D4" w:rsidP="00F918E9">
            <w:pPr>
              <w:jc w:val="center"/>
              <w:rPr>
                <w:sz w:val="22"/>
                <w:szCs w:val="22"/>
                <w:lang w:val="en-US"/>
              </w:rPr>
            </w:pPr>
            <w:r w:rsidRPr="00F918E9">
              <w:rPr>
                <w:sz w:val="22"/>
                <w:szCs w:val="22"/>
                <w:lang w:val="en-US"/>
              </w:rPr>
              <w:t>11 (35.5%)</w:t>
            </w:r>
          </w:p>
        </w:tc>
        <w:tc>
          <w:tcPr>
            <w:tcW w:w="1701" w:type="dxa"/>
            <w:tcBorders>
              <w:top w:val="nil"/>
              <w:left w:val="nil"/>
              <w:bottom w:val="nil"/>
              <w:right w:val="nil"/>
            </w:tcBorders>
          </w:tcPr>
          <w:p w14:paraId="1BD5ED81" w14:textId="77777777" w:rsidR="001963D4" w:rsidRPr="00F918E9" w:rsidRDefault="001963D4" w:rsidP="00F918E9">
            <w:pPr>
              <w:jc w:val="center"/>
              <w:rPr>
                <w:sz w:val="22"/>
                <w:szCs w:val="22"/>
                <w:lang w:val="en-US"/>
              </w:rPr>
            </w:pPr>
            <w:r w:rsidRPr="00F918E9">
              <w:rPr>
                <w:sz w:val="22"/>
                <w:szCs w:val="22"/>
                <w:lang w:val="en-US"/>
              </w:rPr>
              <w:t>4 (12.9%)</w:t>
            </w:r>
          </w:p>
        </w:tc>
      </w:tr>
      <w:tr w:rsidR="001963D4" w:rsidRPr="00194AE9" w14:paraId="315099C8" w14:textId="77777777" w:rsidTr="001E1E2B">
        <w:trPr>
          <w:jc w:val="center"/>
        </w:trPr>
        <w:tc>
          <w:tcPr>
            <w:tcW w:w="2405" w:type="dxa"/>
            <w:tcBorders>
              <w:top w:val="nil"/>
              <w:left w:val="nil"/>
              <w:bottom w:val="nil"/>
              <w:right w:val="nil"/>
              <w:tl2br w:val="nil"/>
            </w:tcBorders>
          </w:tcPr>
          <w:p w14:paraId="558390C7" w14:textId="77777777" w:rsidR="001963D4" w:rsidRPr="00F918E9" w:rsidRDefault="001963D4" w:rsidP="00F918E9">
            <w:pPr>
              <w:jc w:val="center"/>
              <w:rPr>
                <w:sz w:val="22"/>
                <w:szCs w:val="22"/>
                <w:lang w:val="en-US"/>
              </w:rPr>
            </w:pPr>
            <w:r w:rsidRPr="00F918E9">
              <w:rPr>
                <w:sz w:val="22"/>
                <w:szCs w:val="22"/>
                <w:lang w:val="en-US"/>
              </w:rPr>
              <w:t>Citizens</w:t>
            </w:r>
          </w:p>
        </w:tc>
        <w:tc>
          <w:tcPr>
            <w:tcW w:w="1701" w:type="dxa"/>
            <w:tcBorders>
              <w:top w:val="nil"/>
              <w:left w:val="nil"/>
              <w:bottom w:val="nil"/>
              <w:right w:val="nil"/>
            </w:tcBorders>
          </w:tcPr>
          <w:p w14:paraId="3355F2D8" w14:textId="77777777" w:rsidR="001963D4" w:rsidRPr="00F918E9" w:rsidRDefault="001963D4" w:rsidP="00F918E9">
            <w:pPr>
              <w:jc w:val="center"/>
              <w:rPr>
                <w:sz w:val="22"/>
                <w:szCs w:val="22"/>
                <w:lang w:val="en-US"/>
              </w:rPr>
            </w:pPr>
            <w:r w:rsidRPr="00F918E9">
              <w:rPr>
                <w:sz w:val="22"/>
                <w:szCs w:val="22"/>
                <w:lang w:val="en-US"/>
              </w:rPr>
              <w:t>3 (4.0%)</w:t>
            </w:r>
          </w:p>
        </w:tc>
        <w:tc>
          <w:tcPr>
            <w:tcW w:w="1701" w:type="dxa"/>
            <w:tcBorders>
              <w:top w:val="nil"/>
              <w:left w:val="nil"/>
              <w:bottom w:val="nil"/>
              <w:right w:val="nil"/>
            </w:tcBorders>
          </w:tcPr>
          <w:p w14:paraId="03520610" w14:textId="77777777" w:rsidR="001963D4" w:rsidRPr="00F918E9" w:rsidRDefault="001963D4" w:rsidP="00F918E9">
            <w:pPr>
              <w:jc w:val="center"/>
              <w:rPr>
                <w:sz w:val="22"/>
                <w:szCs w:val="22"/>
                <w:lang w:val="en-US"/>
              </w:rPr>
            </w:pPr>
            <w:r w:rsidRPr="00F918E9">
              <w:rPr>
                <w:sz w:val="22"/>
                <w:szCs w:val="22"/>
                <w:lang w:val="en-US"/>
              </w:rPr>
              <w:t>31 (45.0%)</w:t>
            </w:r>
          </w:p>
        </w:tc>
        <w:tc>
          <w:tcPr>
            <w:tcW w:w="1701" w:type="dxa"/>
            <w:tcBorders>
              <w:top w:val="nil"/>
              <w:left w:val="nil"/>
              <w:bottom w:val="nil"/>
              <w:right w:val="nil"/>
            </w:tcBorders>
          </w:tcPr>
          <w:p w14:paraId="7CBF5320" w14:textId="77777777" w:rsidR="001963D4" w:rsidRPr="00F918E9" w:rsidRDefault="001963D4" w:rsidP="00F918E9">
            <w:pPr>
              <w:jc w:val="center"/>
              <w:rPr>
                <w:sz w:val="22"/>
                <w:szCs w:val="22"/>
                <w:lang w:val="en-US"/>
              </w:rPr>
            </w:pPr>
            <w:r w:rsidRPr="00F918E9">
              <w:rPr>
                <w:sz w:val="22"/>
                <w:szCs w:val="22"/>
                <w:lang w:val="en-US"/>
              </w:rPr>
              <w:t>21 (30.0%)</w:t>
            </w:r>
          </w:p>
        </w:tc>
        <w:tc>
          <w:tcPr>
            <w:tcW w:w="1701" w:type="dxa"/>
            <w:tcBorders>
              <w:top w:val="nil"/>
              <w:left w:val="nil"/>
              <w:bottom w:val="nil"/>
              <w:right w:val="nil"/>
            </w:tcBorders>
          </w:tcPr>
          <w:p w14:paraId="52E4DF1F" w14:textId="77777777" w:rsidR="001963D4" w:rsidRPr="00F918E9" w:rsidRDefault="001963D4" w:rsidP="00F918E9">
            <w:pPr>
              <w:jc w:val="center"/>
              <w:rPr>
                <w:sz w:val="22"/>
                <w:szCs w:val="22"/>
                <w:lang w:val="en-US"/>
              </w:rPr>
            </w:pPr>
            <w:r w:rsidRPr="00F918E9">
              <w:rPr>
                <w:sz w:val="22"/>
                <w:szCs w:val="22"/>
                <w:lang w:val="en-US"/>
              </w:rPr>
              <w:t>14 (20.0%)</w:t>
            </w:r>
          </w:p>
        </w:tc>
      </w:tr>
      <w:tr w:rsidR="001963D4" w:rsidRPr="00194AE9" w14:paraId="26D05DCC" w14:textId="77777777" w:rsidTr="001E1E2B">
        <w:trPr>
          <w:jc w:val="center"/>
        </w:trPr>
        <w:tc>
          <w:tcPr>
            <w:tcW w:w="2405" w:type="dxa"/>
            <w:tcBorders>
              <w:top w:val="nil"/>
              <w:left w:val="nil"/>
              <w:right w:val="nil"/>
              <w:tl2br w:val="nil"/>
            </w:tcBorders>
          </w:tcPr>
          <w:p w14:paraId="7C28483F" w14:textId="4DE98BD7" w:rsidR="001963D4" w:rsidRPr="00F918E9" w:rsidRDefault="001963D4" w:rsidP="00F918E9">
            <w:pPr>
              <w:jc w:val="center"/>
              <w:rPr>
                <w:sz w:val="22"/>
                <w:szCs w:val="22"/>
                <w:lang w:val="en-US"/>
              </w:rPr>
            </w:pPr>
            <w:r w:rsidRPr="00F918E9">
              <w:rPr>
                <w:sz w:val="22"/>
                <w:szCs w:val="22"/>
                <w:lang w:val="en-US"/>
              </w:rPr>
              <w:t>Non-business</w:t>
            </w:r>
          </w:p>
        </w:tc>
        <w:tc>
          <w:tcPr>
            <w:tcW w:w="1701" w:type="dxa"/>
            <w:tcBorders>
              <w:top w:val="nil"/>
              <w:left w:val="nil"/>
              <w:right w:val="nil"/>
            </w:tcBorders>
          </w:tcPr>
          <w:p w14:paraId="30689ABD" w14:textId="77777777" w:rsidR="001963D4" w:rsidRPr="00F918E9" w:rsidRDefault="001963D4" w:rsidP="00F918E9">
            <w:pPr>
              <w:jc w:val="center"/>
              <w:rPr>
                <w:sz w:val="22"/>
                <w:szCs w:val="22"/>
                <w:lang w:val="en-US"/>
              </w:rPr>
            </w:pPr>
            <w:r w:rsidRPr="00F918E9">
              <w:rPr>
                <w:sz w:val="22"/>
                <w:szCs w:val="22"/>
                <w:lang w:val="en-US"/>
              </w:rPr>
              <w:t>2 (18.2%)</w:t>
            </w:r>
          </w:p>
        </w:tc>
        <w:tc>
          <w:tcPr>
            <w:tcW w:w="1701" w:type="dxa"/>
            <w:tcBorders>
              <w:top w:val="nil"/>
              <w:left w:val="nil"/>
              <w:right w:val="nil"/>
            </w:tcBorders>
          </w:tcPr>
          <w:p w14:paraId="38051642" w14:textId="77777777" w:rsidR="001963D4" w:rsidRPr="00F918E9" w:rsidRDefault="001963D4" w:rsidP="00F918E9">
            <w:pPr>
              <w:jc w:val="center"/>
              <w:rPr>
                <w:sz w:val="22"/>
                <w:szCs w:val="22"/>
                <w:lang w:val="en-US"/>
              </w:rPr>
            </w:pPr>
            <w:r w:rsidRPr="00F918E9">
              <w:rPr>
                <w:sz w:val="22"/>
                <w:szCs w:val="22"/>
                <w:lang w:val="en-US"/>
              </w:rPr>
              <w:t>4 (36.4%)</w:t>
            </w:r>
          </w:p>
        </w:tc>
        <w:tc>
          <w:tcPr>
            <w:tcW w:w="1701" w:type="dxa"/>
            <w:tcBorders>
              <w:top w:val="nil"/>
              <w:left w:val="nil"/>
              <w:right w:val="nil"/>
            </w:tcBorders>
          </w:tcPr>
          <w:p w14:paraId="3633B466" w14:textId="77777777" w:rsidR="001963D4" w:rsidRPr="00F918E9" w:rsidRDefault="001963D4" w:rsidP="00F918E9">
            <w:pPr>
              <w:jc w:val="center"/>
              <w:rPr>
                <w:sz w:val="22"/>
                <w:szCs w:val="22"/>
                <w:lang w:val="en-US"/>
              </w:rPr>
            </w:pPr>
            <w:r w:rsidRPr="00F918E9">
              <w:rPr>
                <w:sz w:val="22"/>
                <w:szCs w:val="22"/>
                <w:lang w:val="en-US"/>
              </w:rPr>
              <w:t>3 (27.3%)</w:t>
            </w:r>
          </w:p>
        </w:tc>
        <w:tc>
          <w:tcPr>
            <w:tcW w:w="1701" w:type="dxa"/>
            <w:tcBorders>
              <w:top w:val="nil"/>
              <w:left w:val="nil"/>
              <w:right w:val="nil"/>
            </w:tcBorders>
          </w:tcPr>
          <w:p w14:paraId="789C7F66" w14:textId="77777777" w:rsidR="001963D4" w:rsidRPr="00F918E9" w:rsidRDefault="001963D4" w:rsidP="00F918E9">
            <w:pPr>
              <w:jc w:val="center"/>
              <w:rPr>
                <w:sz w:val="22"/>
                <w:szCs w:val="22"/>
                <w:lang w:val="en-US"/>
              </w:rPr>
            </w:pPr>
            <w:r w:rsidRPr="00F918E9">
              <w:rPr>
                <w:sz w:val="22"/>
                <w:szCs w:val="22"/>
                <w:lang w:val="en-US"/>
              </w:rPr>
              <w:t>2 (18.2%)</w:t>
            </w:r>
          </w:p>
        </w:tc>
      </w:tr>
    </w:tbl>
    <w:p w14:paraId="4C9EB4C2" w14:textId="77777777" w:rsidR="001963D4" w:rsidRDefault="001963D4" w:rsidP="002D156A">
      <w:pPr>
        <w:jc w:val="both"/>
        <w:rPr>
          <w:b/>
          <w:bCs/>
          <w:lang w:val="en-US"/>
        </w:rPr>
      </w:pPr>
    </w:p>
    <w:p w14:paraId="2AE20600" w14:textId="52EBE6AB" w:rsidR="001963D4" w:rsidRPr="003200C3" w:rsidRDefault="002D156A" w:rsidP="001963D4">
      <w:pPr>
        <w:jc w:val="both"/>
        <w:rPr>
          <w:b/>
          <w:bCs/>
          <w:lang w:val="en-US"/>
        </w:rPr>
      </w:pPr>
      <w:r w:rsidRPr="003200C3">
        <w:rPr>
          <w:b/>
          <w:bCs/>
          <w:lang w:val="en-US"/>
        </w:rPr>
        <w:t>Table</w:t>
      </w:r>
      <w:r>
        <w:rPr>
          <w:b/>
          <w:bCs/>
          <w:lang w:val="en-US"/>
        </w:rPr>
        <w:t xml:space="preserve"> </w:t>
      </w:r>
      <w:r w:rsidR="001963D4">
        <w:rPr>
          <w:b/>
          <w:bCs/>
          <w:lang w:val="en-US"/>
        </w:rPr>
        <w:t>G</w:t>
      </w:r>
      <w:r>
        <w:rPr>
          <w:b/>
          <w:bCs/>
          <w:lang w:val="en-US"/>
        </w:rPr>
        <w:t>:</w:t>
      </w:r>
      <w:r w:rsidRPr="003200C3">
        <w:rPr>
          <w:b/>
          <w:bCs/>
          <w:lang w:val="en-US"/>
        </w:rPr>
        <w:t xml:space="preserve"> Explaining the probability of getting an EC reply indicating</w:t>
      </w:r>
      <w:r>
        <w:rPr>
          <w:b/>
          <w:bCs/>
          <w:lang w:val="en-US"/>
        </w:rPr>
        <w:t xml:space="preserve"> comment</w:t>
      </w:r>
      <w:r w:rsidRPr="003200C3">
        <w:rPr>
          <w:b/>
          <w:bCs/>
          <w:lang w:val="en-US"/>
        </w:rPr>
        <w:t xml:space="preserve"> </w:t>
      </w:r>
      <w:r>
        <w:rPr>
          <w:b/>
          <w:bCs/>
          <w:lang w:val="en-US"/>
        </w:rPr>
        <w:t>consideration for</w:t>
      </w:r>
      <w:r w:rsidRPr="003200C3">
        <w:rPr>
          <w:b/>
          <w:bCs/>
          <w:lang w:val="en-US"/>
        </w:rPr>
        <w:t xml:space="preserve"> the REFIT programme</w:t>
      </w:r>
      <w:r>
        <w:rPr>
          <w:b/>
          <w:bCs/>
          <w:lang w:val="en-US"/>
        </w:rPr>
        <w:t xml:space="preserve"> (adoption) </w:t>
      </w:r>
      <w:r w:rsidR="001963D4">
        <w:rPr>
          <w:b/>
          <w:bCs/>
          <w:lang w:val="en-US"/>
        </w:rPr>
        <w:t xml:space="preserve">– ENGLISH TEXTS ONLY </w:t>
      </w:r>
      <w:r w:rsidR="007F05CF">
        <w:rPr>
          <w:b/>
          <w:bCs/>
          <w:lang w:val="en-US"/>
        </w:rPr>
        <w:t>(</w:t>
      </w:r>
      <w:r w:rsidR="00F918E9">
        <w:rPr>
          <w:b/>
          <w:bCs/>
          <w:lang w:val="en-US"/>
        </w:rPr>
        <w:t>r</w:t>
      </w:r>
      <w:r w:rsidR="007F05CF">
        <w:rPr>
          <w:b/>
          <w:bCs/>
          <w:lang w:val="en-US"/>
        </w:rPr>
        <w:t>obustness</w:t>
      </w:r>
      <w:r w:rsidR="001963D4">
        <w:rPr>
          <w:b/>
          <w:bCs/>
          <w:lang w:val="en-US"/>
        </w:rPr>
        <w:t xml:space="preserve"> check for T</w:t>
      </w:r>
      <w:r>
        <w:rPr>
          <w:b/>
          <w:bCs/>
          <w:lang w:val="en-US"/>
        </w:rPr>
        <w:t>able 4 in main manuscript)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92"/>
        <w:gridCol w:w="2086"/>
        <w:gridCol w:w="2848"/>
      </w:tblGrid>
      <w:tr w:rsidR="001963D4" w14:paraId="585A92A7" w14:textId="77777777" w:rsidTr="00F918E9">
        <w:trPr>
          <w:tblCellSpacing w:w="15" w:type="dxa"/>
        </w:trPr>
        <w:tc>
          <w:tcPr>
            <w:tcW w:w="8966" w:type="dxa"/>
            <w:gridSpan w:val="3"/>
            <w:tcBorders>
              <w:bottom w:val="single" w:sz="6" w:space="0" w:color="000000"/>
            </w:tcBorders>
            <w:vAlign w:val="center"/>
            <w:hideMark/>
          </w:tcPr>
          <w:p w14:paraId="3C0CF688" w14:textId="77777777" w:rsidR="001963D4" w:rsidRDefault="001963D4" w:rsidP="001E1E2B">
            <w:pPr>
              <w:rPr>
                <w:sz w:val="20"/>
                <w:szCs w:val="20"/>
              </w:rPr>
            </w:pPr>
          </w:p>
        </w:tc>
      </w:tr>
      <w:tr w:rsidR="001963D4" w14:paraId="1E09BBAA" w14:textId="77777777" w:rsidTr="00F918E9">
        <w:trPr>
          <w:tblCellSpacing w:w="15" w:type="dxa"/>
        </w:trPr>
        <w:tc>
          <w:tcPr>
            <w:tcW w:w="0" w:type="auto"/>
            <w:vAlign w:val="center"/>
            <w:hideMark/>
          </w:tcPr>
          <w:p w14:paraId="25B8E2F1" w14:textId="5DD7B88F" w:rsidR="001963D4" w:rsidRPr="00F918E9" w:rsidRDefault="001963D4" w:rsidP="001E1E2B">
            <w:pPr>
              <w:rPr>
                <w:b/>
                <w:bCs/>
                <w:sz w:val="22"/>
                <w:szCs w:val="22"/>
              </w:rPr>
            </w:pPr>
          </w:p>
        </w:tc>
        <w:tc>
          <w:tcPr>
            <w:tcW w:w="2005" w:type="dxa"/>
            <w:vAlign w:val="center"/>
            <w:hideMark/>
          </w:tcPr>
          <w:p w14:paraId="40E6FBF6" w14:textId="77777777" w:rsidR="001963D4" w:rsidRPr="00F918E9" w:rsidRDefault="001963D4" w:rsidP="001E1E2B">
            <w:pPr>
              <w:jc w:val="center"/>
              <w:rPr>
                <w:b/>
                <w:bCs/>
                <w:sz w:val="22"/>
                <w:szCs w:val="22"/>
              </w:rPr>
            </w:pPr>
            <w:r w:rsidRPr="00F918E9">
              <w:rPr>
                <w:b/>
                <w:bCs/>
                <w:sz w:val="22"/>
                <w:szCs w:val="22"/>
              </w:rPr>
              <w:t>Model 3</w:t>
            </w:r>
          </w:p>
        </w:tc>
        <w:tc>
          <w:tcPr>
            <w:tcW w:w="2734" w:type="dxa"/>
            <w:vAlign w:val="center"/>
            <w:hideMark/>
          </w:tcPr>
          <w:p w14:paraId="785CDFFC" w14:textId="77777777" w:rsidR="001963D4" w:rsidRPr="00F918E9" w:rsidRDefault="001963D4" w:rsidP="001E1E2B">
            <w:pPr>
              <w:jc w:val="center"/>
              <w:rPr>
                <w:b/>
                <w:bCs/>
                <w:sz w:val="22"/>
                <w:szCs w:val="22"/>
              </w:rPr>
            </w:pPr>
            <w:r w:rsidRPr="00F918E9">
              <w:rPr>
                <w:b/>
                <w:bCs/>
                <w:sz w:val="22"/>
                <w:szCs w:val="22"/>
              </w:rPr>
              <w:t>Model 4</w:t>
            </w:r>
          </w:p>
        </w:tc>
      </w:tr>
      <w:tr w:rsidR="001963D4" w14:paraId="6BCB01AD" w14:textId="77777777" w:rsidTr="00F918E9">
        <w:trPr>
          <w:tblCellSpacing w:w="15" w:type="dxa"/>
        </w:trPr>
        <w:tc>
          <w:tcPr>
            <w:tcW w:w="8966" w:type="dxa"/>
            <w:gridSpan w:val="3"/>
            <w:tcBorders>
              <w:bottom w:val="single" w:sz="6" w:space="0" w:color="000000"/>
            </w:tcBorders>
            <w:vAlign w:val="center"/>
            <w:hideMark/>
          </w:tcPr>
          <w:p w14:paraId="767118A2" w14:textId="77777777" w:rsidR="001963D4" w:rsidRPr="00F918E9" w:rsidRDefault="001963D4" w:rsidP="001E1E2B">
            <w:pPr>
              <w:jc w:val="center"/>
              <w:rPr>
                <w:sz w:val="22"/>
                <w:szCs w:val="22"/>
              </w:rPr>
            </w:pPr>
          </w:p>
        </w:tc>
      </w:tr>
      <w:tr w:rsidR="001963D4" w14:paraId="13F7C6FC" w14:textId="77777777" w:rsidTr="00F918E9">
        <w:trPr>
          <w:tblCellSpacing w:w="15" w:type="dxa"/>
        </w:trPr>
        <w:tc>
          <w:tcPr>
            <w:tcW w:w="0" w:type="auto"/>
            <w:vAlign w:val="center"/>
            <w:hideMark/>
          </w:tcPr>
          <w:p w14:paraId="660C2961" w14:textId="77777777" w:rsidR="001963D4" w:rsidRPr="00F918E9" w:rsidRDefault="001963D4" w:rsidP="001E1E2B">
            <w:pPr>
              <w:rPr>
                <w:b/>
                <w:bCs/>
                <w:sz w:val="22"/>
                <w:szCs w:val="22"/>
              </w:rPr>
            </w:pPr>
            <w:r w:rsidRPr="00F918E9">
              <w:rPr>
                <w:b/>
                <w:bCs/>
                <w:sz w:val="22"/>
                <w:szCs w:val="22"/>
              </w:rPr>
              <w:t>Evidence-based comment</w:t>
            </w:r>
          </w:p>
        </w:tc>
        <w:tc>
          <w:tcPr>
            <w:tcW w:w="2005" w:type="dxa"/>
            <w:vAlign w:val="center"/>
            <w:hideMark/>
          </w:tcPr>
          <w:p w14:paraId="7B9C5EDA" w14:textId="77777777" w:rsidR="001963D4" w:rsidRPr="00F918E9" w:rsidRDefault="001963D4" w:rsidP="00F918E9">
            <w:pPr>
              <w:jc w:val="center"/>
              <w:rPr>
                <w:sz w:val="22"/>
                <w:szCs w:val="22"/>
                <w:vertAlign w:val="superscript"/>
              </w:rPr>
            </w:pPr>
            <w:r w:rsidRPr="00F918E9">
              <w:rPr>
                <w:sz w:val="22"/>
                <w:szCs w:val="22"/>
              </w:rPr>
              <w:t>2.444</w:t>
            </w:r>
            <w:r w:rsidRPr="00F918E9">
              <w:rPr>
                <w:sz w:val="22"/>
                <w:szCs w:val="22"/>
                <w:vertAlign w:val="superscript"/>
              </w:rPr>
              <w:t>*</w:t>
            </w:r>
          </w:p>
          <w:p w14:paraId="38EFD1A0" w14:textId="77777777" w:rsidR="001963D4" w:rsidRPr="00F918E9" w:rsidRDefault="001963D4" w:rsidP="00F918E9">
            <w:pPr>
              <w:jc w:val="center"/>
              <w:rPr>
                <w:sz w:val="22"/>
                <w:szCs w:val="22"/>
              </w:rPr>
            </w:pPr>
            <w:r w:rsidRPr="00F918E9">
              <w:rPr>
                <w:sz w:val="22"/>
                <w:szCs w:val="22"/>
              </w:rPr>
              <w:t>(1.437)</w:t>
            </w:r>
          </w:p>
        </w:tc>
        <w:tc>
          <w:tcPr>
            <w:tcW w:w="2734" w:type="dxa"/>
            <w:vAlign w:val="center"/>
            <w:hideMark/>
          </w:tcPr>
          <w:p w14:paraId="6349A77D" w14:textId="77777777" w:rsidR="001963D4" w:rsidRPr="00F918E9" w:rsidRDefault="001963D4" w:rsidP="00F918E9">
            <w:pPr>
              <w:jc w:val="center"/>
              <w:rPr>
                <w:sz w:val="22"/>
                <w:szCs w:val="22"/>
              </w:rPr>
            </w:pPr>
            <w:r w:rsidRPr="00F918E9">
              <w:rPr>
                <w:sz w:val="22"/>
                <w:szCs w:val="22"/>
              </w:rPr>
              <w:t>1.438</w:t>
            </w:r>
          </w:p>
          <w:p w14:paraId="1BAB4160" w14:textId="77777777" w:rsidR="001963D4" w:rsidRPr="00F918E9" w:rsidRDefault="001963D4" w:rsidP="00F918E9">
            <w:pPr>
              <w:jc w:val="center"/>
              <w:rPr>
                <w:sz w:val="22"/>
                <w:szCs w:val="22"/>
              </w:rPr>
            </w:pPr>
            <w:r w:rsidRPr="00F918E9">
              <w:rPr>
                <w:sz w:val="22"/>
                <w:szCs w:val="22"/>
              </w:rPr>
              <w:t>(1.220)</w:t>
            </w:r>
          </w:p>
        </w:tc>
      </w:tr>
      <w:tr w:rsidR="001963D4" w14:paraId="67935BD9" w14:textId="77777777" w:rsidTr="00F918E9">
        <w:trPr>
          <w:tblCellSpacing w:w="15" w:type="dxa"/>
        </w:trPr>
        <w:tc>
          <w:tcPr>
            <w:tcW w:w="0" w:type="auto"/>
            <w:vAlign w:val="center"/>
          </w:tcPr>
          <w:p w14:paraId="2399737C" w14:textId="3153E4D5" w:rsidR="001963D4" w:rsidRPr="00F918E9" w:rsidRDefault="001963D4" w:rsidP="001E1E2B">
            <w:pPr>
              <w:rPr>
                <w:sz w:val="22"/>
                <w:szCs w:val="22"/>
              </w:rPr>
            </w:pPr>
            <w:r w:rsidRPr="00F918E9">
              <w:rPr>
                <w:rStyle w:val="FooterChar"/>
                <w:rFonts w:eastAsiaTheme="majorEastAsia"/>
                <w:b/>
                <w:bCs/>
                <w:sz w:val="22"/>
                <w:szCs w:val="22"/>
                <w:bdr w:val="none" w:sz="0" w:space="0" w:color="auto" w:frame="1"/>
              </w:rPr>
              <w:t>Stakeholder type (ref.</w:t>
            </w:r>
            <w:r w:rsidR="00F918E9" w:rsidRPr="00F918E9">
              <w:rPr>
                <w:rStyle w:val="FooterChar"/>
                <w:rFonts w:eastAsiaTheme="majorEastAsia"/>
                <w:b/>
                <w:bCs/>
                <w:sz w:val="22"/>
                <w:szCs w:val="22"/>
                <w:bdr w:val="none" w:sz="0" w:space="0" w:color="auto" w:frame="1"/>
              </w:rPr>
              <w:t xml:space="preserve"> category</w:t>
            </w:r>
            <w:r w:rsidRPr="00F918E9">
              <w:rPr>
                <w:rStyle w:val="FooterChar"/>
                <w:rFonts w:eastAsiaTheme="majorEastAsia"/>
                <w:b/>
                <w:bCs/>
                <w:sz w:val="22"/>
                <w:szCs w:val="22"/>
                <w:bdr w:val="none" w:sz="0" w:space="0" w:color="auto" w:frame="1"/>
              </w:rPr>
              <w:t>: Business)</w:t>
            </w:r>
          </w:p>
        </w:tc>
        <w:tc>
          <w:tcPr>
            <w:tcW w:w="2005" w:type="dxa"/>
            <w:vAlign w:val="center"/>
          </w:tcPr>
          <w:p w14:paraId="50F02FE4" w14:textId="77777777" w:rsidR="001963D4" w:rsidRPr="00F918E9" w:rsidRDefault="001963D4" w:rsidP="00F918E9">
            <w:pPr>
              <w:jc w:val="center"/>
              <w:rPr>
                <w:sz w:val="22"/>
                <w:szCs w:val="22"/>
              </w:rPr>
            </w:pPr>
          </w:p>
        </w:tc>
        <w:tc>
          <w:tcPr>
            <w:tcW w:w="2734" w:type="dxa"/>
            <w:vAlign w:val="center"/>
          </w:tcPr>
          <w:p w14:paraId="296A217C" w14:textId="77777777" w:rsidR="001963D4" w:rsidRPr="00F918E9" w:rsidRDefault="001963D4" w:rsidP="00F918E9">
            <w:pPr>
              <w:jc w:val="center"/>
              <w:rPr>
                <w:sz w:val="22"/>
                <w:szCs w:val="22"/>
              </w:rPr>
            </w:pPr>
          </w:p>
        </w:tc>
      </w:tr>
      <w:tr w:rsidR="001963D4" w14:paraId="1E77605D" w14:textId="77777777" w:rsidTr="00F918E9">
        <w:trPr>
          <w:tblCellSpacing w:w="15" w:type="dxa"/>
        </w:trPr>
        <w:tc>
          <w:tcPr>
            <w:tcW w:w="0" w:type="auto"/>
            <w:vAlign w:val="center"/>
            <w:hideMark/>
          </w:tcPr>
          <w:p w14:paraId="1B3790D1" w14:textId="77777777" w:rsidR="001963D4" w:rsidRPr="00F918E9" w:rsidRDefault="001963D4" w:rsidP="001E1E2B">
            <w:pPr>
              <w:rPr>
                <w:sz w:val="22"/>
                <w:szCs w:val="22"/>
              </w:rPr>
            </w:pPr>
            <w:r w:rsidRPr="00F918E9">
              <w:rPr>
                <w:sz w:val="22"/>
                <w:szCs w:val="22"/>
              </w:rPr>
              <w:t>Citizen</w:t>
            </w:r>
          </w:p>
        </w:tc>
        <w:tc>
          <w:tcPr>
            <w:tcW w:w="2005" w:type="dxa"/>
            <w:vAlign w:val="center"/>
            <w:hideMark/>
          </w:tcPr>
          <w:p w14:paraId="3DBB5481" w14:textId="77777777" w:rsidR="001963D4" w:rsidRPr="00F918E9" w:rsidRDefault="001963D4" w:rsidP="00F918E9">
            <w:pPr>
              <w:jc w:val="center"/>
              <w:rPr>
                <w:sz w:val="22"/>
                <w:szCs w:val="22"/>
                <w:vertAlign w:val="superscript"/>
              </w:rPr>
            </w:pPr>
            <w:r w:rsidRPr="00F918E9">
              <w:rPr>
                <w:sz w:val="22"/>
                <w:szCs w:val="22"/>
              </w:rPr>
              <w:t>-1.413</w:t>
            </w:r>
            <w:r w:rsidRPr="00F918E9">
              <w:rPr>
                <w:sz w:val="22"/>
                <w:szCs w:val="22"/>
                <w:vertAlign w:val="superscript"/>
              </w:rPr>
              <w:t>**</w:t>
            </w:r>
          </w:p>
          <w:p w14:paraId="56A5A3A4" w14:textId="77777777" w:rsidR="001963D4" w:rsidRPr="00F918E9" w:rsidRDefault="001963D4" w:rsidP="00F918E9">
            <w:pPr>
              <w:jc w:val="center"/>
              <w:rPr>
                <w:sz w:val="22"/>
                <w:szCs w:val="22"/>
              </w:rPr>
            </w:pPr>
            <w:r w:rsidRPr="00F918E9">
              <w:rPr>
                <w:sz w:val="22"/>
                <w:szCs w:val="22"/>
              </w:rPr>
              <w:t>(0.690)</w:t>
            </w:r>
          </w:p>
        </w:tc>
        <w:tc>
          <w:tcPr>
            <w:tcW w:w="2734" w:type="dxa"/>
            <w:vAlign w:val="center"/>
            <w:hideMark/>
          </w:tcPr>
          <w:p w14:paraId="2B83AF0F" w14:textId="3EFD014B" w:rsidR="001963D4" w:rsidRPr="00F918E9" w:rsidRDefault="001963D4" w:rsidP="00F918E9">
            <w:pPr>
              <w:jc w:val="center"/>
              <w:rPr>
                <w:sz w:val="22"/>
                <w:szCs w:val="22"/>
              </w:rPr>
            </w:pPr>
            <w:r w:rsidRPr="00F918E9">
              <w:rPr>
                <w:sz w:val="22"/>
                <w:szCs w:val="22"/>
              </w:rPr>
              <w:t>0.163</w:t>
            </w:r>
          </w:p>
          <w:p w14:paraId="75DF9C2D" w14:textId="0B27658D" w:rsidR="001963D4" w:rsidRPr="00F918E9" w:rsidRDefault="001963D4" w:rsidP="00F918E9">
            <w:pPr>
              <w:jc w:val="center"/>
              <w:rPr>
                <w:sz w:val="22"/>
                <w:szCs w:val="22"/>
              </w:rPr>
            </w:pPr>
            <w:r w:rsidRPr="00F918E9">
              <w:rPr>
                <w:sz w:val="22"/>
                <w:szCs w:val="22"/>
              </w:rPr>
              <w:t>(0.940)</w:t>
            </w:r>
          </w:p>
        </w:tc>
      </w:tr>
      <w:tr w:rsidR="001963D4" w14:paraId="48B02DEA" w14:textId="77777777" w:rsidTr="00F918E9">
        <w:trPr>
          <w:tblCellSpacing w:w="15" w:type="dxa"/>
        </w:trPr>
        <w:tc>
          <w:tcPr>
            <w:tcW w:w="0" w:type="auto"/>
            <w:vAlign w:val="center"/>
            <w:hideMark/>
          </w:tcPr>
          <w:p w14:paraId="64B8868E" w14:textId="77777777" w:rsidR="001963D4" w:rsidRPr="00F918E9" w:rsidRDefault="001963D4" w:rsidP="001E1E2B">
            <w:pPr>
              <w:rPr>
                <w:sz w:val="22"/>
                <w:szCs w:val="22"/>
              </w:rPr>
            </w:pPr>
            <w:r w:rsidRPr="00F918E9">
              <w:rPr>
                <w:sz w:val="22"/>
                <w:szCs w:val="22"/>
              </w:rPr>
              <w:t>Non-business org.</w:t>
            </w:r>
          </w:p>
        </w:tc>
        <w:tc>
          <w:tcPr>
            <w:tcW w:w="2005" w:type="dxa"/>
            <w:vAlign w:val="center"/>
            <w:hideMark/>
          </w:tcPr>
          <w:p w14:paraId="160EED53" w14:textId="77777777" w:rsidR="001963D4" w:rsidRPr="00F918E9" w:rsidRDefault="001963D4" w:rsidP="00F918E9">
            <w:pPr>
              <w:jc w:val="center"/>
              <w:rPr>
                <w:sz w:val="22"/>
                <w:szCs w:val="22"/>
              </w:rPr>
            </w:pPr>
            <w:r w:rsidRPr="00F918E9">
              <w:rPr>
                <w:sz w:val="22"/>
                <w:szCs w:val="22"/>
              </w:rPr>
              <w:t>0.089</w:t>
            </w:r>
          </w:p>
          <w:p w14:paraId="55B346AB" w14:textId="77777777" w:rsidR="001963D4" w:rsidRPr="00F918E9" w:rsidRDefault="001963D4" w:rsidP="00F918E9">
            <w:pPr>
              <w:jc w:val="center"/>
              <w:rPr>
                <w:sz w:val="22"/>
                <w:szCs w:val="22"/>
              </w:rPr>
            </w:pPr>
            <w:r w:rsidRPr="00F918E9">
              <w:rPr>
                <w:sz w:val="22"/>
                <w:szCs w:val="22"/>
              </w:rPr>
              <w:t>(0.887)</w:t>
            </w:r>
          </w:p>
        </w:tc>
        <w:tc>
          <w:tcPr>
            <w:tcW w:w="2734" w:type="dxa"/>
            <w:vAlign w:val="center"/>
            <w:hideMark/>
          </w:tcPr>
          <w:p w14:paraId="59AAECD4" w14:textId="016F9AC2" w:rsidR="001963D4" w:rsidRPr="00F918E9" w:rsidRDefault="001963D4" w:rsidP="00F918E9">
            <w:pPr>
              <w:jc w:val="center"/>
              <w:rPr>
                <w:sz w:val="22"/>
                <w:szCs w:val="22"/>
              </w:rPr>
            </w:pPr>
            <w:r w:rsidRPr="00F918E9">
              <w:rPr>
                <w:sz w:val="22"/>
                <w:szCs w:val="22"/>
              </w:rPr>
              <w:t>1.799</w:t>
            </w:r>
          </w:p>
          <w:p w14:paraId="0D4C71A3" w14:textId="77777777" w:rsidR="001963D4" w:rsidRPr="00F918E9" w:rsidRDefault="001963D4" w:rsidP="00F918E9">
            <w:pPr>
              <w:jc w:val="center"/>
              <w:rPr>
                <w:sz w:val="22"/>
                <w:szCs w:val="22"/>
              </w:rPr>
            </w:pPr>
            <w:r w:rsidRPr="00F918E9">
              <w:rPr>
                <w:sz w:val="22"/>
                <w:szCs w:val="22"/>
              </w:rPr>
              <w:t>(1.161)</w:t>
            </w:r>
          </w:p>
        </w:tc>
      </w:tr>
      <w:tr w:rsidR="001963D4" w14:paraId="150E5950" w14:textId="77777777" w:rsidTr="00F918E9">
        <w:trPr>
          <w:tblCellSpacing w:w="15" w:type="dxa"/>
        </w:trPr>
        <w:tc>
          <w:tcPr>
            <w:tcW w:w="0" w:type="auto"/>
            <w:vAlign w:val="center"/>
          </w:tcPr>
          <w:p w14:paraId="29DE5096" w14:textId="77777777" w:rsidR="001963D4" w:rsidRPr="00F918E9" w:rsidRDefault="001963D4" w:rsidP="001E1E2B">
            <w:pPr>
              <w:rPr>
                <w:b/>
                <w:bCs/>
                <w:sz w:val="22"/>
                <w:szCs w:val="22"/>
              </w:rPr>
            </w:pPr>
            <w:r w:rsidRPr="00F918E9">
              <w:rPr>
                <w:b/>
                <w:bCs/>
                <w:sz w:val="22"/>
                <w:szCs w:val="22"/>
              </w:rPr>
              <w:t>Controls</w:t>
            </w:r>
          </w:p>
        </w:tc>
        <w:tc>
          <w:tcPr>
            <w:tcW w:w="2005" w:type="dxa"/>
            <w:vAlign w:val="center"/>
          </w:tcPr>
          <w:p w14:paraId="50C65785" w14:textId="77777777" w:rsidR="001963D4" w:rsidRPr="00F918E9" w:rsidRDefault="001963D4" w:rsidP="001E1E2B">
            <w:pPr>
              <w:rPr>
                <w:sz w:val="22"/>
                <w:szCs w:val="22"/>
              </w:rPr>
            </w:pPr>
          </w:p>
        </w:tc>
        <w:tc>
          <w:tcPr>
            <w:tcW w:w="2734" w:type="dxa"/>
            <w:vAlign w:val="center"/>
          </w:tcPr>
          <w:p w14:paraId="641858AA" w14:textId="77777777" w:rsidR="001963D4" w:rsidRPr="00F918E9" w:rsidRDefault="001963D4" w:rsidP="001E1E2B">
            <w:pPr>
              <w:jc w:val="center"/>
              <w:rPr>
                <w:sz w:val="22"/>
                <w:szCs w:val="22"/>
              </w:rPr>
            </w:pPr>
          </w:p>
        </w:tc>
      </w:tr>
      <w:tr w:rsidR="00F918E9" w14:paraId="66048A22" w14:textId="77777777" w:rsidTr="00F918E9">
        <w:trPr>
          <w:tblCellSpacing w:w="15" w:type="dxa"/>
        </w:trPr>
        <w:tc>
          <w:tcPr>
            <w:tcW w:w="8966" w:type="dxa"/>
            <w:gridSpan w:val="3"/>
          </w:tcPr>
          <w:p w14:paraId="412C92B2" w14:textId="70524CDB" w:rsidR="00F918E9" w:rsidRPr="00F918E9" w:rsidRDefault="00F918E9" w:rsidP="00F918E9">
            <w:pPr>
              <w:rPr>
                <w:sz w:val="22"/>
                <w:szCs w:val="22"/>
              </w:rPr>
            </w:pPr>
            <w:r w:rsidRPr="00F918E9">
              <w:rPr>
                <w:rStyle w:val="FooterChar"/>
                <w:rFonts w:eastAsiaTheme="majorEastAsia"/>
                <w:b/>
                <w:bCs/>
                <w:sz w:val="22"/>
                <w:szCs w:val="22"/>
                <w:bdr w:val="none" w:sz="0" w:space="0" w:color="auto" w:frame="1"/>
              </w:rPr>
              <w:t>Comment demand type (ref. category: Reduce legislation)</w:t>
            </w:r>
          </w:p>
        </w:tc>
      </w:tr>
      <w:tr w:rsidR="001963D4" w14:paraId="186E4189" w14:textId="77777777" w:rsidTr="00F918E9">
        <w:trPr>
          <w:tblCellSpacing w:w="15" w:type="dxa"/>
        </w:trPr>
        <w:tc>
          <w:tcPr>
            <w:tcW w:w="0" w:type="auto"/>
            <w:vAlign w:val="center"/>
            <w:hideMark/>
          </w:tcPr>
          <w:p w14:paraId="57342187" w14:textId="77777777" w:rsidR="001963D4" w:rsidRPr="00F918E9" w:rsidRDefault="001963D4" w:rsidP="001E1E2B">
            <w:pPr>
              <w:rPr>
                <w:sz w:val="22"/>
                <w:szCs w:val="22"/>
              </w:rPr>
            </w:pPr>
            <w:r w:rsidRPr="00F918E9">
              <w:rPr>
                <w:sz w:val="22"/>
                <w:szCs w:val="22"/>
              </w:rPr>
              <w:t>Neutral</w:t>
            </w:r>
          </w:p>
        </w:tc>
        <w:tc>
          <w:tcPr>
            <w:tcW w:w="2005" w:type="dxa"/>
            <w:vAlign w:val="center"/>
            <w:hideMark/>
          </w:tcPr>
          <w:p w14:paraId="05F71675" w14:textId="77777777" w:rsidR="001963D4" w:rsidRPr="00F918E9" w:rsidRDefault="001963D4" w:rsidP="001E1E2B">
            <w:pPr>
              <w:rPr>
                <w:sz w:val="22"/>
                <w:szCs w:val="22"/>
              </w:rPr>
            </w:pPr>
          </w:p>
        </w:tc>
        <w:tc>
          <w:tcPr>
            <w:tcW w:w="2734" w:type="dxa"/>
            <w:vAlign w:val="center"/>
            <w:hideMark/>
          </w:tcPr>
          <w:p w14:paraId="732534E2" w14:textId="77777777" w:rsidR="001963D4" w:rsidRPr="00F918E9" w:rsidRDefault="001963D4" w:rsidP="00F918E9">
            <w:pPr>
              <w:jc w:val="center"/>
              <w:rPr>
                <w:sz w:val="22"/>
                <w:szCs w:val="22"/>
              </w:rPr>
            </w:pPr>
            <w:r w:rsidRPr="00F918E9">
              <w:rPr>
                <w:sz w:val="22"/>
                <w:szCs w:val="22"/>
              </w:rPr>
              <w:t>-2.870*</w:t>
            </w:r>
          </w:p>
          <w:p w14:paraId="756AACA6" w14:textId="77777777" w:rsidR="001963D4" w:rsidRPr="00F918E9" w:rsidRDefault="001963D4" w:rsidP="00F918E9">
            <w:pPr>
              <w:jc w:val="center"/>
              <w:rPr>
                <w:sz w:val="22"/>
                <w:szCs w:val="22"/>
              </w:rPr>
            </w:pPr>
            <w:r w:rsidRPr="00F918E9">
              <w:rPr>
                <w:sz w:val="22"/>
                <w:szCs w:val="22"/>
              </w:rPr>
              <w:t>(0.939)</w:t>
            </w:r>
          </w:p>
        </w:tc>
      </w:tr>
      <w:tr w:rsidR="001963D4" w14:paraId="20A8B248" w14:textId="77777777" w:rsidTr="00F918E9">
        <w:trPr>
          <w:tblCellSpacing w:w="15" w:type="dxa"/>
        </w:trPr>
        <w:tc>
          <w:tcPr>
            <w:tcW w:w="0" w:type="auto"/>
            <w:vAlign w:val="center"/>
            <w:hideMark/>
          </w:tcPr>
          <w:p w14:paraId="58D4E788" w14:textId="77777777" w:rsidR="001963D4" w:rsidRPr="00F918E9" w:rsidRDefault="001963D4" w:rsidP="001E1E2B">
            <w:pPr>
              <w:rPr>
                <w:sz w:val="22"/>
                <w:szCs w:val="22"/>
              </w:rPr>
            </w:pPr>
            <w:r w:rsidRPr="00F918E9">
              <w:rPr>
                <w:sz w:val="22"/>
                <w:szCs w:val="22"/>
              </w:rPr>
              <w:t>Increase</w:t>
            </w:r>
          </w:p>
        </w:tc>
        <w:tc>
          <w:tcPr>
            <w:tcW w:w="2005" w:type="dxa"/>
            <w:vAlign w:val="center"/>
            <w:hideMark/>
          </w:tcPr>
          <w:p w14:paraId="7AC3202C" w14:textId="77777777" w:rsidR="001963D4" w:rsidRPr="00F918E9" w:rsidRDefault="001963D4" w:rsidP="001E1E2B">
            <w:pPr>
              <w:rPr>
                <w:sz w:val="22"/>
                <w:szCs w:val="22"/>
              </w:rPr>
            </w:pPr>
          </w:p>
        </w:tc>
        <w:tc>
          <w:tcPr>
            <w:tcW w:w="2734" w:type="dxa"/>
            <w:vAlign w:val="center"/>
            <w:hideMark/>
          </w:tcPr>
          <w:p w14:paraId="2AB63B09" w14:textId="77777777" w:rsidR="001963D4" w:rsidRPr="00F918E9" w:rsidRDefault="001963D4" w:rsidP="00F918E9">
            <w:pPr>
              <w:jc w:val="center"/>
              <w:rPr>
                <w:sz w:val="22"/>
                <w:szCs w:val="22"/>
                <w:vertAlign w:val="superscript"/>
              </w:rPr>
            </w:pPr>
            <w:r w:rsidRPr="00F918E9">
              <w:rPr>
                <w:sz w:val="22"/>
                <w:szCs w:val="22"/>
              </w:rPr>
              <w:t>-2.246</w:t>
            </w:r>
            <w:r w:rsidRPr="00F918E9">
              <w:rPr>
                <w:sz w:val="22"/>
                <w:szCs w:val="22"/>
                <w:vertAlign w:val="superscript"/>
              </w:rPr>
              <w:t>***</w:t>
            </w:r>
          </w:p>
          <w:p w14:paraId="2C039645" w14:textId="77777777" w:rsidR="001963D4" w:rsidRPr="00F918E9" w:rsidRDefault="001963D4" w:rsidP="00F918E9">
            <w:pPr>
              <w:jc w:val="center"/>
              <w:rPr>
                <w:sz w:val="22"/>
                <w:szCs w:val="22"/>
              </w:rPr>
            </w:pPr>
            <w:r w:rsidRPr="00F918E9">
              <w:rPr>
                <w:sz w:val="22"/>
                <w:szCs w:val="22"/>
              </w:rPr>
              <w:t>(0.939)</w:t>
            </w:r>
          </w:p>
        </w:tc>
      </w:tr>
      <w:tr w:rsidR="001963D4" w14:paraId="01147CE0" w14:textId="77777777" w:rsidTr="00F918E9">
        <w:trPr>
          <w:tblCellSpacing w:w="15" w:type="dxa"/>
        </w:trPr>
        <w:tc>
          <w:tcPr>
            <w:tcW w:w="0" w:type="auto"/>
            <w:vAlign w:val="center"/>
            <w:hideMark/>
          </w:tcPr>
          <w:p w14:paraId="02CC2623" w14:textId="77777777" w:rsidR="001963D4" w:rsidRPr="00F918E9" w:rsidRDefault="001963D4" w:rsidP="001E1E2B">
            <w:pPr>
              <w:rPr>
                <w:sz w:val="22"/>
                <w:szCs w:val="22"/>
              </w:rPr>
            </w:pPr>
            <w:r w:rsidRPr="00F918E9">
              <w:rPr>
                <w:sz w:val="22"/>
                <w:szCs w:val="22"/>
              </w:rPr>
              <w:t>Harmonize</w:t>
            </w:r>
          </w:p>
        </w:tc>
        <w:tc>
          <w:tcPr>
            <w:tcW w:w="2005" w:type="dxa"/>
            <w:vAlign w:val="center"/>
            <w:hideMark/>
          </w:tcPr>
          <w:p w14:paraId="6CDFC61C" w14:textId="77777777" w:rsidR="001963D4" w:rsidRPr="00F918E9" w:rsidRDefault="001963D4" w:rsidP="001E1E2B">
            <w:pPr>
              <w:rPr>
                <w:sz w:val="22"/>
                <w:szCs w:val="22"/>
              </w:rPr>
            </w:pPr>
          </w:p>
        </w:tc>
        <w:tc>
          <w:tcPr>
            <w:tcW w:w="2734" w:type="dxa"/>
            <w:vAlign w:val="center"/>
            <w:hideMark/>
          </w:tcPr>
          <w:p w14:paraId="5FBFFF42" w14:textId="77777777" w:rsidR="001963D4" w:rsidRPr="00F918E9" w:rsidRDefault="001963D4" w:rsidP="00F918E9">
            <w:pPr>
              <w:jc w:val="center"/>
              <w:rPr>
                <w:sz w:val="22"/>
                <w:szCs w:val="22"/>
                <w:vertAlign w:val="superscript"/>
              </w:rPr>
            </w:pPr>
            <w:r w:rsidRPr="00F918E9">
              <w:rPr>
                <w:sz w:val="22"/>
                <w:szCs w:val="22"/>
              </w:rPr>
              <w:t>-1.118</w:t>
            </w:r>
          </w:p>
          <w:p w14:paraId="63B064B6" w14:textId="77777777" w:rsidR="001963D4" w:rsidRPr="00F918E9" w:rsidRDefault="001963D4" w:rsidP="00F918E9">
            <w:pPr>
              <w:jc w:val="center"/>
              <w:rPr>
                <w:sz w:val="22"/>
                <w:szCs w:val="22"/>
              </w:rPr>
            </w:pPr>
            <w:r w:rsidRPr="00F918E9">
              <w:rPr>
                <w:sz w:val="22"/>
                <w:szCs w:val="22"/>
              </w:rPr>
              <w:t>(0.893)</w:t>
            </w:r>
          </w:p>
        </w:tc>
      </w:tr>
      <w:tr w:rsidR="001963D4" w14:paraId="2EBC42FE" w14:textId="77777777" w:rsidTr="00F918E9">
        <w:trPr>
          <w:tblCellSpacing w:w="15" w:type="dxa"/>
        </w:trPr>
        <w:tc>
          <w:tcPr>
            <w:tcW w:w="0" w:type="auto"/>
            <w:vAlign w:val="center"/>
            <w:hideMark/>
          </w:tcPr>
          <w:p w14:paraId="0A07604A" w14:textId="77777777" w:rsidR="001963D4" w:rsidRPr="00F918E9" w:rsidRDefault="001963D4" w:rsidP="001E1E2B">
            <w:pPr>
              <w:rPr>
                <w:b/>
                <w:bCs/>
                <w:sz w:val="22"/>
                <w:szCs w:val="22"/>
              </w:rPr>
            </w:pPr>
            <w:r w:rsidRPr="00F918E9">
              <w:rPr>
                <w:b/>
                <w:bCs/>
                <w:sz w:val="22"/>
                <w:szCs w:val="22"/>
              </w:rPr>
              <w:t>Negative tone</w:t>
            </w:r>
          </w:p>
        </w:tc>
        <w:tc>
          <w:tcPr>
            <w:tcW w:w="2005" w:type="dxa"/>
            <w:vAlign w:val="center"/>
            <w:hideMark/>
          </w:tcPr>
          <w:p w14:paraId="5805B23A" w14:textId="77777777" w:rsidR="001963D4" w:rsidRPr="00F918E9" w:rsidRDefault="001963D4" w:rsidP="001E1E2B">
            <w:pPr>
              <w:rPr>
                <w:sz w:val="22"/>
                <w:szCs w:val="22"/>
              </w:rPr>
            </w:pPr>
          </w:p>
        </w:tc>
        <w:tc>
          <w:tcPr>
            <w:tcW w:w="2734" w:type="dxa"/>
            <w:vAlign w:val="center"/>
            <w:hideMark/>
          </w:tcPr>
          <w:p w14:paraId="6D933B03" w14:textId="3190B15C" w:rsidR="001963D4" w:rsidRPr="00F918E9" w:rsidRDefault="001963D4" w:rsidP="00F918E9">
            <w:pPr>
              <w:jc w:val="center"/>
              <w:rPr>
                <w:sz w:val="22"/>
                <w:szCs w:val="22"/>
              </w:rPr>
            </w:pPr>
            <w:r w:rsidRPr="00F918E9">
              <w:rPr>
                <w:sz w:val="22"/>
                <w:szCs w:val="22"/>
              </w:rPr>
              <w:t>-0.119</w:t>
            </w:r>
          </w:p>
          <w:p w14:paraId="444BE5D0" w14:textId="77777777" w:rsidR="001963D4" w:rsidRPr="00F918E9" w:rsidRDefault="001963D4" w:rsidP="00F918E9">
            <w:pPr>
              <w:jc w:val="center"/>
              <w:rPr>
                <w:sz w:val="22"/>
                <w:szCs w:val="22"/>
              </w:rPr>
            </w:pPr>
            <w:r w:rsidRPr="00F918E9">
              <w:rPr>
                <w:sz w:val="22"/>
                <w:szCs w:val="22"/>
              </w:rPr>
              <w:t>(0.076)</w:t>
            </w:r>
          </w:p>
        </w:tc>
      </w:tr>
      <w:tr w:rsidR="001963D4" w14:paraId="7DABDEA4" w14:textId="77777777" w:rsidTr="00F918E9">
        <w:trPr>
          <w:tblCellSpacing w:w="15" w:type="dxa"/>
        </w:trPr>
        <w:tc>
          <w:tcPr>
            <w:tcW w:w="0" w:type="auto"/>
            <w:vAlign w:val="center"/>
            <w:hideMark/>
          </w:tcPr>
          <w:p w14:paraId="0762C95E" w14:textId="77777777" w:rsidR="001963D4" w:rsidRPr="00F918E9" w:rsidRDefault="001963D4" w:rsidP="001E1E2B">
            <w:pPr>
              <w:rPr>
                <w:b/>
                <w:bCs/>
                <w:sz w:val="22"/>
                <w:szCs w:val="22"/>
              </w:rPr>
            </w:pPr>
            <w:r w:rsidRPr="00F918E9">
              <w:rPr>
                <w:b/>
                <w:bCs/>
                <w:sz w:val="22"/>
                <w:szCs w:val="22"/>
              </w:rPr>
              <w:t>Comment text complexity</w:t>
            </w:r>
          </w:p>
        </w:tc>
        <w:tc>
          <w:tcPr>
            <w:tcW w:w="2005" w:type="dxa"/>
            <w:vAlign w:val="center"/>
            <w:hideMark/>
          </w:tcPr>
          <w:p w14:paraId="73D3CC60" w14:textId="77777777" w:rsidR="001963D4" w:rsidRPr="00F918E9" w:rsidRDefault="001963D4" w:rsidP="001E1E2B">
            <w:pPr>
              <w:rPr>
                <w:sz w:val="22"/>
                <w:szCs w:val="22"/>
              </w:rPr>
            </w:pPr>
          </w:p>
        </w:tc>
        <w:tc>
          <w:tcPr>
            <w:tcW w:w="2734" w:type="dxa"/>
            <w:vAlign w:val="center"/>
            <w:hideMark/>
          </w:tcPr>
          <w:p w14:paraId="1F5465AE" w14:textId="16F0E8B2" w:rsidR="001963D4" w:rsidRPr="00F918E9" w:rsidRDefault="001963D4" w:rsidP="00F918E9">
            <w:pPr>
              <w:jc w:val="center"/>
              <w:rPr>
                <w:sz w:val="22"/>
                <w:szCs w:val="22"/>
              </w:rPr>
            </w:pPr>
            <w:r w:rsidRPr="00F918E9">
              <w:rPr>
                <w:sz w:val="22"/>
                <w:szCs w:val="22"/>
              </w:rPr>
              <w:t>-0.022</w:t>
            </w:r>
          </w:p>
          <w:p w14:paraId="03CD7FC8" w14:textId="77777777" w:rsidR="001963D4" w:rsidRPr="00F918E9" w:rsidRDefault="001963D4" w:rsidP="00F918E9">
            <w:pPr>
              <w:jc w:val="center"/>
              <w:rPr>
                <w:sz w:val="22"/>
                <w:szCs w:val="22"/>
              </w:rPr>
            </w:pPr>
            <w:r w:rsidRPr="00F918E9">
              <w:rPr>
                <w:sz w:val="22"/>
                <w:szCs w:val="22"/>
              </w:rPr>
              <w:t>(0.032)</w:t>
            </w:r>
          </w:p>
        </w:tc>
      </w:tr>
      <w:tr w:rsidR="001963D4" w14:paraId="4983A6BA" w14:textId="77777777" w:rsidTr="00F918E9">
        <w:trPr>
          <w:tblCellSpacing w:w="15" w:type="dxa"/>
        </w:trPr>
        <w:tc>
          <w:tcPr>
            <w:tcW w:w="0" w:type="auto"/>
            <w:vAlign w:val="center"/>
          </w:tcPr>
          <w:p w14:paraId="45892241" w14:textId="77777777" w:rsidR="001963D4" w:rsidRPr="00F918E9" w:rsidRDefault="001963D4" w:rsidP="001E1E2B">
            <w:pPr>
              <w:rPr>
                <w:b/>
                <w:bCs/>
                <w:sz w:val="22"/>
                <w:szCs w:val="22"/>
              </w:rPr>
            </w:pPr>
            <w:r w:rsidRPr="00F918E9">
              <w:rPr>
                <w:b/>
                <w:bCs/>
                <w:sz w:val="22"/>
                <w:szCs w:val="22"/>
              </w:rPr>
              <w:t>Policy topic</w:t>
            </w:r>
          </w:p>
        </w:tc>
        <w:tc>
          <w:tcPr>
            <w:tcW w:w="2005" w:type="dxa"/>
            <w:vAlign w:val="center"/>
          </w:tcPr>
          <w:p w14:paraId="38F3E803" w14:textId="77777777" w:rsidR="001963D4" w:rsidRPr="00F918E9" w:rsidRDefault="001963D4" w:rsidP="001E1E2B">
            <w:pPr>
              <w:rPr>
                <w:sz w:val="22"/>
                <w:szCs w:val="22"/>
              </w:rPr>
            </w:pPr>
          </w:p>
        </w:tc>
        <w:tc>
          <w:tcPr>
            <w:tcW w:w="2734" w:type="dxa"/>
            <w:vAlign w:val="center"/>
          </w:tcPr>
          <w:p w14:paraId="0018911D" w14:textId="77777777" w:rsidR="001963D4" w:rsidRPr="00F918E9" w:rsidRDefault="001963D4" w:rsidP="001E1E2B">
            <w:pPr>
              <w:jc w:val="center"/>
              <w:rPr>
                <w:sz w:val="22"/>
                <w:szCs w:val="22"/>
              </w:rPr>
            </w:pPr>
          </w:p>
        </w:tc>
      </w:tr>
      <w:tr w:rsidR="001963D4" w14:paraId="01FFB085" w14:textId="77777777" w:rsidTr="00F918E9">
        <w:trPr>
          <w:tblCellSpacing w:w="15" w:type="dxa"/>
        </w:trPr>
        <w:tc>
          <w:tcPr>
            <w:tcW w:w="0" w:type="auto"/>
            <w:vAlign w:val="center"/>
            <w:hideMark/>
          </w:tcPr>
          <w:p w14:paraId="5AA01951" w14:textId="77777777" w:rsidR="001963D4" w:rsidRPr="00F918E9" w:rsidRDefault="001963D4" w:rsidP="001E1E2B">
            <w:pPr>
              <w:rPr>
                <w:sz w:val="22"/>
                <w:szCs w:val="22"/>
              </w:rPr>
            </w:pPr>
            <w:r w:rsidRPr="00F918E9">
              <w:rPr>
                <w:sz w:val="22"/>
                <w:szCs w:val="22"/>
                <w:lang w:val="en-US"/>
              </w:rPr>
              <w:t>Consumer protection/product regulation</w:t>
            </w:r>
          </w:p>
        </w:tc>
        <w:tc>
          <w:tcPr>
            <w:tcW w:w="2005" w:type="dxa"/>
            <w:vAlign w:val="center"/>
            <w:hideMark/>
          </w:tcPr>
          <w:p w14:paraId="4AF8278B" w14:textId="77777777" w:rsidR="001963D4" w:rsidRPr="00F918E9" w:rsidRDefault="001963D4" w:rsidP="001E1E2B">
            <w:pPr>
              <w:rPr>
                <w:sz w:val="22"/>
                <w:szCs w:val="22"/>
              </w:rPr>
            </w:pPr>
          </w:p>
        </w:tc>
        <w:tc>
          <w:tcPr>
            <w:tcW w:w="2734" w:type="dxa"/>
            <w:vAlign w:val="center"/>
            <w:hideMark/>
          </w:tcPr>
          <w:p w14:paraId="2D11E7A6" w14:textId="77777777" w:rsidR="001963D4" w:rsidRPr="00F918E9" w:rsidRDefault="001963D4" w:rsidP="00F918E9">
            <w:pPr>
              <w:jc w:val="center"/>
              <w:rPr>
                <w:sz w:val="22"/>
                <w:szCs w:val="22"/>
              </w:rPr>
            </w:pPr>
            <w:r w:rsidRPr="00F918E9">
              <w:rPr>
                <w:sz w:val="22"/>
                <w:szCs w:val="22"/>
              </w:rPr>
              <w:t>1.221</w:t>
            </w:r>
          </w:p>
          <w:p w14:paraId="22F09137" w14:textId="77777777" w:rsidR="001963D4" w:rsidRPr="00F918E9" w:rsidRDefault="001963D4" w:rsidP="00F918E9">
            <w:pPr>
              <w:jc w:val="center"/>
              <w:rPr>
                <w:sz w:val="22"/>
                <w:szCs w:val="22"/>
              </w:rPr>
            </w:pPr>
            <w:r w:rsidRPr="00F918E9">
              <w:rPr>
                <w:sz w:val="22"/>
                <w:szCs w:val="22"/>
              </w:rPr>
              <w:t>(1.991)</w:t>
            </w:r>
          </w:p>
        </w:tc>
      </w:tr>
      <w:tr w:rsidR="001963D4" w14:paraId="3E9B8C35" w14:textId="77777777" w:rsidTr="00F918E9">
        <w:trPr>
          <w:tblCellSpacing w:w="15" w:type="dxa"/>
        </w:trPr>
        <w:tc>
          <w:tcPr>
            <w:tcW w:w="0" w:type="auto"/>
            <w:vAlign w:val="center"/>
            <w:hideMark/>
          </w:tcPr>
          <w:p w14:paraId="49238102" w14:textId="77777777" w:rsidR="001963D4" w:rsidRPr="00F918E9" w:rsidRDefault="001963D4" w:rsidP="001E1E2B">
            <w:pPr>
              <w:rPr>
                <w:sz w:val="22"/>
                <w:szCs w:val="22"/>
              </w:rPr>
            </w:pPr>
            <w:r w:rsidRPr="00F918E9">
              <w:rPr>
                <w:sz w:val="22"/>
                <w:szCs w:val="22"/>
              </w:rPr>
              <w:t>Environment/energy</w:t>
            </w:r>
          </w:p>
        </w:tc>
        <w:tc>
          <w:tcPr>
            <w:tcW w:w="2005" w:type="dxa"/>
            <w:vAlign w:val="center"/>
            <w:hideMark/>
          </w:tcPr>
          <w:p w14:paraId="72190763" w14:textId="77777777" w:rsidR="001963D4" w:rsidRPr="00F918E9" w:rsidRDefault="001963D4" w:rsidP="001E1E2B">
            <w:pPr>
              <w:rPr>
                <w:sz w:val="22"/>
                <w:szCs w:val="22"/>
              </w:rPr>
            </w:pPr>
          </w:p>
        </w:tc>
        <w:tc>
          <w:tcPr>
            <w:tcW w:w="2734" w:type="dxa"/>
            <w:vAlign w:val="center"/>
            <w:hideMark/>
          </w:tcPr>
          <w:p w14:paraId="453D53C1" w14:textId="77777777" w:rsidR="001963D4" w:rsidRPr="00F918E9" w:rsidRDefault="001963D4" w:rsidP="00F918E9">
            <w:pPr>
              <w:jc w:val="center"/>
              <w:rPr>
                <w:sz w:val="22"/>
                <w:szCs w:val="22"/>
              </w:rPr>
            </w:pPr>
            <w:r w:rsidRPr="00F918E9">
              <w:rPr>
                <w:sz w:val="22"/>
                <w:szCs w:val="22"/>
              </w:rPr>
              <w:t>0.781</w:t>
            </w:r>
          </w:p>
          <w:p w14:paraId="5CC2F771" w14:textId="77777777" w:rsidR="001963D4" w:rsidRPr="00F918E9" w:rsidRDefault="001963D4" w:rsidP="00F918E9">
            <w:pPr>
              <w:jc w:val="center"/>
              <w:rPr>
                <w:sz w:val="22"/>
                <w:szCs w:val="22"/>
              </w:rPr>
            </w:pPr>
            <w:r w:rsidRPr="00F918E9">
              <w:rPr>
                <w:sz w:val="22"/>
                <w:szCs w:val="22"/>
              </w:rPr>
              <w:t>(2.238)</w:t>
            </w:r>
          </w:p>
        </w:tc>
      </w:tr>
      <w:tr w:rsidR="001963D4" w14:paraId="75826191" w14:textId="77777777" w:rsidTr="00F918E9">
        <w:trPr>
          <w:tblCellSpacing w:w="15" w:type="dxa"/>
        </w:trPr>
        <w:tc>
          <w:tcPr>
            <w:tcW w:w="0" w:type="auto"/>
            <w:vAlign w:val="center"/>
            <w:hideMark/>
          </w:tcPr>
          <w:p w14:paraId="705EA524" w14:textId="77777777" w:rsidR="001963D4" w:rsidRPr="00F918E9" w:rsidRDefault="001963D4" w:rsidP="001E1E2B">
            <w:pPr>
              <w:rPr>
                <w:sz w:val="22"/>
                <w:szCs w:val="22"/>
              </w:rPr>
            </w:pPr>
            <w:r w:rsidRPr="00F918E9">
              <w:rPr>
                <w:sz w:val="22"/>
                <w:szCs w:val="22"/>
              </w:rPr>
              <w:t>Social policy</w:t>
            </w:r>
          </w:p>
        </w:tc>
        <w:tc>
          <w:tcPr>
            <w:tcW w:w="2005" w:type="dxa"/>
            <w:vAlign w:val="center"/>
            <w:hideMark/>
          </w:tcPr>
          <w:p w14:paraId="79F258C0" w14:textId="77777777" w:rsidR="001963D4" w:rsidRPr="00F918E9" w:rsidRDefault="001963D4" w:rsidP="001E1E2B">
            <w:pPr>
              <w:rPr>
                <w:sz w:val="22"/>
                <w:szCs w:val="22"/>
              </w:rPr>
            </w:pPr>
          </w:p>
        </w:tc>
        <w:tc>
          <w:tcPr>
            <w:tcW w:w="2734" w:type="dxa"/>
            <w:vAlign w:val="center"/>
            <w:hideMark/>
          </w:tcPr>
          <w:p w14:paraId="6143B58F" w14:textId="77777777" w:rsidR="001963D4" w:rsidRPr="00F918E9" w:rsidRDefault="001963D4" w:rsidP="00F918E9">
            <w:pPr>
              <w:jc w:val="center"/>
              <w:rPr>
                <w:sz w:val="22"/>
                <w:szCs w:val="22"/>
              </w:rPr>
            </w:pPr>
            <w:r w:rsidRPr="00F918E9">
              <w:rPr>
                <w:sz w:val="22"/>
                <w:szCs w:val="22"/>
              </w:rPr>
              <w:t>-0.205</w:t>
            </w:r>
          </w:p>
          <w:p w14:paraId="7D9919DE" w14:textId="77777777" w:rsidR="001963D4" w:rsidRPr="00F918E9" w:rsidRDefault="001963D4" w:rsidP="00F918E9">
            <w:pPr>
              <w:jc w:val="center"/>
              <w:rPr>
                <w:sz w:val="22"/>
                <w:szCs w:val="22"/>
              </w:rPr>
            </w:pPr>
            <w:r w:rsidRPr="00F918E9">
              <w:rPr>
                <w:sz w:val="22"/>
                <w:szCs w:val="22"/>
              </w:rPr>
              <w:t>(2.840)</w:t>
            </w:r>
          </w:p>
        </w:tc>
      </w:tr>
      <w:tr w:rsidR="001963D4" w14:paraId="7EE9E5F1" w14:textId="77777777" w:rsidTr="00F918E9">
        <w:trPr>
          <w:tblCellSpacing w:w="15" w:type="dxa"/>
        </w:trPr>
        <w:tc>
          <w:tcPr>
            <w:tcW w:w="0" w:type="auto"/>
            <w:vAlign w:val="center"/>
            <w:hideMark/>
          </w:tcPr>
          <w:p w14:paraId="25E5E4B3" w14:textId="77777777" w:rsidR="001963D4" w:rsidRPr="00F918E9" w:rsidRDefault="001963D4" w:rsidP="001E1E2B">
            <w:pPr>
              <w:rPr>
                <w:sz w:val="22"/>
                <w:szCs w:val="22"/>
              </w:rPr>
            </w:pPr>
            <w:r w:rsidRPr="00F918E9">
              <w:rPr>
                <w:sz w:val="22"/>
                <w:szCs w:val="22"/>
              </w:rPr>
              <w:t>Institutional affairs</w:t>
            </w:r>
          </w:p>
        </w:tc>
        <w:tc>
          <w:tcPr>
            <w:tcW w:w="2005" w:type="dxa"/>
            <w:vAlign w:val="center"/>
            <w:hideMark/>
          </w:tcPr>
          <w:p w14:paraId="7F836597" w14:textId="77777777" w:rsidR="001963D4" w:rsidRPr="00F918E9" w:rsidRDefault="001963D4" w:rsidP="001E1E2B">
            <w:pPr>
              <w:rPr>
                <w:sz w:val="22"/>
                <w:szCs w:val="22"/>
              </w:rPr>
            </w:pPr>
          </w:p>
        </w:tc>
        <w:tc>
          <w:tcPr>
            <w:tcW w:w="2734" w:type="dxa"/>
            <w:vAlign w:val="center"/>
            <w:hideMark/>
          </w:tcPr>
          <w:p w14:paraId="6EDD4564" w14:textId="77777777" w:rsidR="001963D4" w:rsidRPr="00F918E9" w:rsidRDefault="001963D4" w:rsidP="00F918E9">
            <w:pPr>
              <w:jc w:val="center"/>
              <w:rPr>
                <w:sz w:val="22"/>
                <w:szCs w:val="22"/>
              </w:rPr>
            </w:pPr>
            <w:r w:rsidRPr="00F918E9">
              <w:rPr>
                <w:sz w:val="22"/>
                <w:szCs w:val="22"/>
              </w:rPr>
              <w:t>-0.085</w:t>
            </w:r>
          </w:p>
          <w:p w14:paraId="39BC1121" w14:textId="77777777" w:rsidR="001963D4" w:rsidRPr="00F918E9" w:rsidRDefault="001963D4" w:rsidP="00F918E9">
            <w:pPr>
              <w:jc w:val="center"/>
              <w:rPr>
                <w:sz w:val="22"/>
                <w:szCs w:val="22"/>
              </w:rPr>
            </w:pPr>
            <w:r w:rsidRPr="00F918E9">
              <w:rPr>
                <w:sz w:val="22"/>
                <w:szCs w:val="22"/>
              </w:rPr>
              <w:t>(2.348)</w:t>
            </w:r>
          </w:p>
        </w:tc>
      </w:tr>
      <w:tr w:rsidR="001963D4" w14:paraId="3763D6DC" w14:textId="77777777" w:rsidTr="00F918E9">
        <w:trPr>
          <w:tblCellSpacing w:w="15" w:type="dxa"/>
        </w:trPr>
        <w:tc>
          <w:tcPr>
            <w:tcW w:w="0" w:type="auto"/>
            <w:vAlign w:val="center"/>
            <w:hideMark/>
          </w:tcPr>
          <w:p w14:paraId="6E274F46" w14:textId="77777777" w:rsidR="001963D4" w:rsidRPr="00F918E9" w:rsidRDefault="001963D4" w:rsidP="001E1E2B">
            <w:pPr>
              <w:wordWrap w:val="0"/>
              <w:rPr>
                <w:rStyle w:val="FooterChar"/>
                <w:rFonts w:eastAsiaTheme="majorEastAsia"/>
                <w:b/>
                <w:bCs/>
                <w:sz w:val="22"/>
                <w:szCs w:val="22"/>
                <w:bdr w:val="none" w:sz="0" w:space="0" w:color="auto" w:frame="1"/>
              </w:rPr>
            </w:pPr>
            <w:r w:rsidRPr="00F918E9">
              <w:rPr>
                <w:sz w:val="22"/>
                <w:szCs w:val="22"/>
              </w:rPr>
              <w:t>Single market</w:t>
            </w:r>
            <w:r w:rsidRPr="00F918E9">
              <w:rPr>
                <w:b/>
                <w:bCs/>
                <w:sz w:val="22"/>
                <w:szCs w:val="22"/>
              </w:rPr>
              <w:t xml:space="preserve"> </w:t>
            </w:r>
          </w:p>
          <w:p w14:paraId="75193307" w14:textId="77777777" w:rsidR="001963D4" w:rsidRPr="00F918E9" w:rsidRDefault="001963D4" w:rsidP="001E1E2B">
            <w:pPr>
              <w:rPr>
                <w:sz w:val="22"/>
                <w:szCs w:val="22"/>
              </w:rPr>
            </w:pPr>
          </w:p>
        </w:tc>
        <w:tc>
          <w:tcPr>
            <w:tcW w:w="2005" w:type="dxa"/>
            <w:vAlign w:val="center"/>
            <w:hideMark/>
          </w:tcPr>
          <w:p w14:paraId="62C78475" w14:textId="77777777" w:rsidR="001963D4" w:rsidRPr="00F918E9" w:rsidRDefault="001963D4" w:rsidP="001E1E2B">
            <w:pPr>
              <w:rPr>
                <w:sz w:val="22"/>
                <w:szCs w:val="22"/>
              </w:rPr>
            </w:pPr>
          </w:p>
        </w:tc>
        <w:tc>
          <w:tcPr>
            <w:tcW w:w="2734" w:type="dxa"/>
            <w:vAlign w:val="center"/>
            <w:hideMark/>
          </w:tcPr>
          <w:p w14:paraId="1B317285" w14:textId="77777777" w:rsidR="001963D4" w:rsidRPr="00F918E9" w:rsidRDefault="001963D4" w:rsidP="00F918E9">
            <w:pPr>
              <w:jc w:val="center"/>
              <w:rPr>
                <w:sz w:val="22"/>
                <w:szCs w:val="22"/>
              </w:rPr>
            </w:pPr>
            <w:r w:rsidRPr="00F918E9">
              <w:rPr>
                <w:sz w:val="22"/>
                <w:szCs w:val="22"/>
              </w:rPr>
              <w:t>1.331</w:t>
            </w:r>
          </w:p>
          <w:p w14:paraId="53030F03" w14:textId="77777777" w:rsidR="001963D4" w:rsidRPr="00F918E9" w:rsidRDefault="001963D4" w:rsidP="00F918E9">
            <w:pPr>
              <w:jc w:val="center"/>
              <w:rPr>
                <w:sz w:val="22"/>
                <w:szCs w:val="22"/>
              </w:rPr>
            </w:pPr>
            <w:r w:rsidRPr="00F918E9">
              <w:rPr>
                <w:sz w:val="22"/>
                <w:szCs w:val="22"/>
              </w:rPr>
              <w:t>(2.125)</w:t>
            </w:r>
          </w:p>
        </w:tc>
      </w:tr>
      <w:tr w:rsidR="001963D4" w14:paraId="51A765B6" w14:textId="77777777" w:rsidTr="00F918E9">
        <w:trPr>
          <w:tblCellSpacing w:w="15" w:type="dxa"/>
        </w:trPr>
        <w:tc>
          <w:tcPr>
            <w:tcW w:w="0" w:type="auto"/>
            <w:vAlign w:val="center"/>
            <w:hideMark/>
          </w:tcPr>
          <w:p w14:paraId="0C367790" w14:textId="053534BC" w:rsidR="001963D4" w:rsidRPr="00F918E9" w:rsidRDefault="001963D4" w:rsidP="001E1E2B">
            <w:pPr>
              <w:rPr>
                <w:sz w:val="22"/>
                <w:szCs w:val="22"/>
              </w:rPr>
            </w:pPr>
            <w:r w:rsidRPr="00F918E9">
              <w:rPr>
                <w:sz w:val="22"/>
                <w:szCs w:val="22"/>
              </w:rPr>
              <w:t>Transpor</w:t>
            </w:r>
            <w:r w:rsidR="00DB3040" w:rsidRPr="00F918E9">
              <w:rPr>
                <w:sz w:val="22"/>
                <w:szCs w:val="22"/>
              </w:rPr>
              <w:t>t</w:t>
            </w:r>
          </w:p>
        </w:tc>
        <w:tc>
          <w:tcPr>
            <w:tcW w:w="2005" w:type="dxa"/>
            <w:vAlign w:val="center"/>
            <w:hideMark/>
          </w:tcPr>
          <w:p w14:paraId="20958749" w14:textId="77777777" w:rsidR="001963D4" w:rsidRPr="00F918E9" w:rsidRDefault="001963D4" w:rsidP="001E1E2B">
            <w:pPr>
              <w:rPr>
                <w:sz w:val="22"/>
                <w:szCs w:val="22"/>
              </w:rPr>
            </w:pPr>
          </w:p>
        </w:tc>
        <w:tc>
          <w:tcPr>
            <w:tcW w:w="2734" w:type="dxa"/>
            <w:vAlign w:val="center"/>
            <w:hideMark/>
          </w:tcPr>
          <w:p w14:paraId="2373C94C" w14:textId="77777777" w:rsidR="001963D4" w:rsidRPr="00F918E9" w:rsidRDefault="001963D4" w:rsidP="00F918E9">
            <w:pPr>
              <w:jc w:val="center"/>
              <w:rPr>
                <w:sz w:val="22"/>
                <w:szCs w:val="22"/>
              </w:rPr>
            </w:pPr>
            <w:r w:rsidRPr="00F918E9">
              <w:rPr>
                <w:sz w:val="22"/>
                <w:szCs w:val="22"/>
              </w:rPr>
              <w:t>0.318</w:t>
            </w:r>
          </w:p>
          <w:p w14:paraId="2BFE30EB" w14:textId="77777777" w:rsidR="001963D4" w:rsidRPr="00F918E9" w:rsidRDefault="001963D4" w:rsidP="00F918E9">
            <w:pPr>
              <w:jc w:val="center"/>
              <w:rPr>
                <w:sz w:val="22"/>
                <w:szCs w:val="22"/>
              </w:rPr>
            </w:pPr>
            <w:r w:rsidRPr="00F918E9">
              <w:rPr>
                <w:sz w:val="22"/>
                <w:szCs w:val="22"/>
              </w:rPr>
              <w:t>(2.462)</w:t>
            </w:r>
          </w:p>
        </w:tc>
      </w:tr>
      <w:tr w:rsidR="001963D4" w14:paraId="366F3134" w14:textId="77777777" w:rsidTr="00F918E9">
        <w:trPr>
          <w:tblCellSpacing w:w="15" w:type="dxa"/>
        </w:trPr>
        <w:tc>
          <w:tcPr>
            <w:tcW w:w="0" w:type="auto"/>
            <w:vAlign w:val="center"/>
            <w:hideMark/>
          </w:tcPr>
          <w:p w14:paraId="1DF5D5C1" w14:textId="77777777" w:rsidR="001963D4" w:rsidRPr="00F918E9" w:rsidRDefault="001963D4" w:rsidP="001E1E2B">
            <w:pPr>
              <w:rPr>
                <w:sz w:val="22"/>
                <w:szCs w:val="22"/>
              </w:rPr>
            </w:pPr>
            <w:r w:rsidRPr="00F918E9">
              <w:rPr>
                <w:rStyle w:val="FooterChar"/>
                <w:rFonts w:eastAsiaTheme="majorEastAsia"/>
                <w:sz w:val="22"/>
                <w:szCs w:val="22"/>
                <w:bdr w:val="none" w:sz="0" w:space="0" w:color="auto" w:frame="1"/>
              </w:rPr>
              <w:t>Laws and human rights</w:t>
            </w:r>
          </w:p>
        </w:tc>
        <w:tc>
          <w:tcPr>
            <w:tcW w:w="2005" w:type="dxa"/>
            <w:vAlign w:val="center"/>
            <w:hideMark/>
          </w:tcPr>
          <w:p w14:paraId="7B161065" w14:textId="77777777" w:rsidR="001963D4" w:rsidRPr="00F918E9" w:rsidRDefault="001963D4" w:rsidP="001E1E2B">
            <w:pPr>
              <w:rPr>
                <w:sz w:val="22"/>
                <w:szCs w:val="22"/>
              </w:rPr>
            </w:pPr>
          </w:p>
        </w:tc>
        <w:tc>
          <w:tcPr>
            <w:tcW w:w="2734" w:type="dxa"/>
            <w:vAlign w:val="center"/>
            <w:hideMark/>
          </w:tcPr>
          <w:p w14:paraId="187FF73E" w14:textId="77777777" w:rsidR="001963D4" w:rsidRPr="00F918E9" w:rsidRDefault="001963D4" w:rsidP="00F918E9">
            <w:pPr>
              <w:jc w:val="center"/>
              <w:rPr>
                <w:sz w:val="22"/>
                <w:szCs w:val="22"/>
              </w:rPr>
            </w:pPr>
            <w:r w:rsidRPr="00F918E9">
              <w:rPr>
                <w:sz w:val="22"/>
                <w:szCs w:val="22"/>
              </w:rPr>
              <w:t>1.373</w:t>
            </w:r>
          </w:p>
          <w:p w14:paraId="003CC571" w14:textId="77777777" w:rsidR="001963D4" w:rsidRPr="00F918E9" w:rsidRDefault="001963D4" w:rsidP="00F918E9">
            <w:pPr>
              <w:jc w:val="center"/>
              <w:rPr>
                <w:sz w:val="22"/>
                <w:szCs w:val="22"/>
              </w:rPr>
            </w:pPr>
            <w:r w:rsidRPr="00F918E9">
              <w:rPr>
                <w:sz w:val="22"/>
                <w:szCs w:val="22"/>
              </w:rPr>
              <w:t>(2.503)</w:t>
            </w:r>
          </w:p>
        </w:tc>
      </w:tr>
      <w:tr w:rsidR="001963D4" w14:paraId="40CE027D" w14:textId="77777777" w:rsidTr="00F918E9">
        <w:trPr>
          <w:tblCellSpacing w:w="15" w:type="dxa"/>
        </w:trPr>
        <w:tc>
          <w:tcPr>
            <w:tcW w:w="0" w:type="auto"/>
            <w:vAlign w:val="center"/>
            <w:hideMark/>
          </w:tcPr>
          <w:p w14:paraId="62BF77B9" w14:textId="77777777" w:rsidR="001963D4" w:rsidRPr="00F918E9" w:rsidRDefault="001963D4" w:rsidP="001E1E2B">
            <w:pPr>
              <w:rPr>
                <w:b/>
                <w:bCs/>
                <w:sz w:val="22"/>
                <w:szCs w:val="22"/>
              </w:rPr>
            </w:pPr>
            <w:r w:rsidRPr="00F918E9">
              <w:rPr>
                <w:b/>
                <w:bCs/>
                <w:sz w:val="22"/>
                <w:szCs w:val="22"/>
              </w:rPr>
              <w:t>Intercept</w:t>
            </w:r>
          </w:p>
        </w:tc>
        <w:tc>
          <w:tcPr>
            <w:tcW w:w="2005" w:type="dxa"/>
            <w:vAlign w:val="center"/>
            <w:hideMark/>
          </w:tcPr>
          <w:p w14:paraId="6660E8A5" w14:textId="77777777" w:rsidR="001963D4" w:rsidRPr="00F918E9" w:rsidRDefault="001963D4" w:rsidP="001E1E2B">
            <w:pPr>
              <w:jc w:val="center"/>
              <w:rPr>
                <w:sz w:val="22"/>
                <w:szCs w:val="22"/>
                <w:vertAlign w:val="superscript"/>
              </w:rPr>
            </w:pPr>
            <w:r w:rsidRPr="00F918E9">
              <w:rPr>
                <w:sz w:val="22"/>
                <w:szCs w:val="22"/>
              </w:rPr>
              <w:t>-3.325</w:t>
            </w:r>
            <w:r w:rsidRPr="00F918E9">
              <w:rPr>
                <w:sz w:val="22"/>
                <w:szCs w:val="22"/>
                <w:vertAlign w:val="superscript"/>
              </w:rPr>
              <w:t>**</w:t>
            </w:r>
          </w:p>
          <w:p w14:paraId="2EC9E61F" w14:textId="77777777" w:rsidR="001963D4" w:rsidRPr="00F918E9" w:rsidRDefault="001963D4" w:rsidP="001E1E2B">
            <w:pPr>
              <w:jc w:val="center"/>
              <w:rPr>
                <w:sz w:val="22"/>
                <w:szCs w:val="22"/>
              </w:rPr>
            </w:pPr>
            <w:r w:rsidRPr="00F918E9">
              <w:rPr>
                <w:sz w:val="22"/>
                <w:szCs w:val="22"/>
              </w:rPr>
              <w:t>(1.471)</w:t>
            </w:r>
          </w:p>
        </w:tc>
        <w:tc>
          <w:tcPr>
            <w:tcW w:w="2734" w:type="dxa"/>
            <w:vAlign w:val="center"/>
            <w:hideMark/>
          </w:tcPr>
          <w:p w14:paraId="128E077C" w14:textId="77777777" w:rsidR="001963D4" w:rsidRPr="00F918E9" w:rsidRDefault="001963D4" w:rsidP="001E1E2B">
            <w:pPr>
              <w:jc w:val="center"/>
              <w:rPr>
                <w:sz w:val="22"/>
                <w:szCs w:val="22"/>
              </w:rPr>
            </w:pPr>
            <w:r w:rsidRPr="00F918E9">
              <w:rPr>
                <w:sz w:val="22"/>
                <w:szCs w:val="22"/>
              </w:rPr>
              <w:t>-3.128</w:t>
            </w:r>
          </w:p>
          <w:p w14:paraId="6DC1D9D0" w14:textId="77777777" w:rsidR="001963D4" w:rsidRPr="00F918E9" w:rsidRDefault="001963D4" w:rsidP="001E1E2B">
            <w:pPr>
              <w:jc w:val="center"/>
              <w:rPr>
                <w:sz w:val="22"/>
                <w:szCs w:val="22"/>
              </w:rPr>
            </w:pPr>
            <w:r w:rsidRPr="00F918E9">
              <w:rPr>
                <w:sz w:val="22"/>
                <w:szCs w:val="22"/>
              </w:rPr>
              <w:t>(2.025)</w:t>
            </w:r>
          </w:p>
        </w:tc>
      </w:tr>
      <w:tr w:rsidR="001963D4" w14:paraId="46E05EA1" w14:textId="77777777" w:rsidTr="00F918E9">
        <w:trPr>
          <w:tblCellSpacing w:w="15" w:type="dxa"/>
        </w:trPr>
        <w:tc>
          <w:tcPr>
            <w:tcW w:w="0" w:type="auto"/>
            <w:vAlign w:val="center"/>
            <w:hideMark/>
          </w:tcPr>
          <w:p w14:paraId="7C4C4C0A" w14:textId="77777777" w:rsidR="001963D4" w:rsidRPr="00F918E9" w:rsidRDefault="001963D4" w:rsidP="001E1E2B">
            <w:pPr>
              <w:rPr>
                <w:b/>
                <w:bCs/>
                <w:sz w:val="22"/>
                <w:szCs w:val="22"/>
              </w:rPr>
            </w:pPr>
            <w:r w:rsidRPr="00F918E9">
              <w:rPr>
                <w:b/>
                <w:bCs/>
                <w:sz w:val="22"/>
                <w:szCs w:val="22"/>
              </w:rPr>
              <w:t>Log-Likelihood</w:t>
            </w:r>
          </w:p>
        </w:tc>
        <w:tc>
          <w:tcPr>
            <w:tcW w:w="2005" w:type="dxa"/>
            <w:vAlign w:val="center"/>
            <w:hideMark/>
          </w:tcPr>
          <w:p w14:paraId="160E24C1" w14:textId="77777777" w:rsidR="001963D4" w:rsidRPr="00F918E9" w:rsidRDefault="001963D4" w:rsidP="001E1E2B">
            <w:pPr>
              <w:jc w:val="center"/>
              <w:rPr>
                <w:sz w:val="22"/>
                <w:szCs w:val="22"/>
              </w:rPr>
            </w:pPr>
            <w:r w:rsidRPr="00F918E9">
              <w:rPr>
                <w:sz w:val="22"/>
                <w:szCs w:val="22"/>
              </w:rPr>
              <w:t>-31.931</w:t>
            </w:r>
          </w:p>
        </w:tc>
        <w:tc>
          <w:tcPr>
            <w:tcW w:w="2734" w:type="dxa"/>
            <w:vAlign w:val="center"/>
            <w:hideMark/>
          </w:tcPr>
          <w:p w14:paraId="37A4C32D" w14:textId="77777777" w:rsidR="001963D4" w:rsidRPr="00F918E9" w:rsidRDefault="001963D4" w:rsidP="001E1E2B">
            <w:pPr>
              <w:jc w:val="center"/>
              <w:rPr>
                <w:sz w:val="22"/>
                <w:szCs w:val="22"/>
              </w:rPr>
            </w:pPr>
            <w:r w:rsidRPr="00F918E9">
              <w:rPr>
                <w:sz w:val="22"/>
                <w:szCs w:val="22"/>
              </w:rPr>
              <w:t>-24.734</w:t>
            </w:r>
          </w:p>
        </w:tc>
      </w:tr>
      <w:tr w:rsidR="001963D4" w14:paraId="0F717857" w14:textId="77777777" w:rsidTr="00F918E9">
        <w:trPr>
          <w:tblCellSpacing w:w="15" w:type="dxa"/>
        </w:trPr>
        <w:tc>
          <w:tcPr>
            <w:tcW w:w="0" w:type="auto"/>
            <w:vAlign w:val="center"/>
            <w:hideMark/>
          </w:tcPr>
          <w:p w14:paraId="289B12B1" w14:textId="77777777" w:rsidR="001963D4" w:rsidRPr="00F918E9" w:rsidRDefault="001963D4" w:rsidP="001E1E2B">
            <w:pPr>
              <w:rPr>
                <w:b/>
                <w:bCs/>
                <w:sz w:val="22"/>
                <w:szCs w:val="22"/>
              </w:rPr>
            </w:pPr>
            <w:r w:rsidRPr="00F918E9">
              <w:rPr>
                <w:b/>
                <w:bCs/>
                <w:sz w:val="22"/>
                <w:szCs w:val="22"/>
              </w:rPr>
              <w:t>AIC</w:t>
            </w:r>
          </w:p>
        </w:tc>
        <w:tc>
          <w:tcPr>
            <w:tcW w:w="2005" w:type="dxa"/>
            <w:vAlign w:val="center"/>
            <w:hideMark/>
          </w:tcPr>
          <w:p w14:paraId="6028DFB9" w14:textId="77777777" w:rsidR="001963D4" w:rsidRPr="00F918E9" w:rsidRDefault="001963D4" w:rsidP="001E1E2B">
            <w:pPr>
              <w:jc w:val="center"/>
              <w:rPr>
                <w:sz w:val="22"/>
                <w:szCs w:val="22"/>
              </w:rPr>
            </w:pPr>
            <w:r w:rsidRPr="00F918E9">
              <w:rPr>
                <w:sz w:val="22"/>
                <w:szCs w:val="22"/>
              </w:rPr>
              <w:t>71.862</w:t>
            </w:r>
          </w:p>
        </w:tc>
        <w:tc>
          <w:tcPr>
            <w:tcW w:w="2734" w:type="dxa"/>
            <w:vAlign w:val="center"/>
            <w:hideMark/>
          </w:tcPr>
          <w:p w14:paraId="1B1BAABB" w14:textId="77777777" w:rsidR="001963D4" w:rsidRPr="00F918E9" w:rsidRDefault="001963D4" w:rsidP="001E1E2B">
            <w:pPr>
              <w:jc w:val="center"/>
              <w:rPr>
                <w:sz w:val="22"/>
                <w:szCs w:val="22"/>
              </w:rPr>
            </w:pPr>
            <w:r w:rsidRPr="00F918E9">
              <w:rPr>
                <w:sz w:val="22"/>
                <w:szCs w:val="22"/>
              </w:rPr>
              <w:t>81.468</w:t>
            </w:r>
          </w:p>
        </w:tc>
      </w:tr>
      <w:tr w:rsidR="00F918E9" w14:paraId="0ABC1340" w14:textId="77777777" w:rsidTr="00F918E9">
        <w:trPr>
          <w:tblCellSpacing w:w="15" w:type="dxa"/>
        </w:trPr>
        <w:tc>
          <w:tcPr>
            <w:tcW w:w="0" w:type="auto"/>
            <w:vAlign w:val="center"/>
          </w:tcPr>
          <w:p w14:paraId="24FBA0E0" w14:textId="196F1354" w:rsidR="00F918E9" w:rsidRPr="00F918E9" w:rsidRDefault="00F918E9" w:rsidP="00F918E9">
            <w:pPr>
              <w:rPr>
                <w:b/>
                <w:bCs/>
                <w:sz w:val="22"/>
                <w:szCs w:val="22"/>
              </w:rPr>
            </w:pPr>
            <w:r w:rsidRPr="00F918E9">
              <w:rPr>
                <w:b/>
                <w:bCs/>
                <w:sz w:val="22"/>
                <w:szCs w:val="22"/>
              </w:rPr>
              <w:t>N</w:t>
            </w:r>
          </w:p>
        </w:tc>
        <w:tc>
          <w:tcPr>
            <w:tcW w:w="2005" w:type="dxa"/>
            <w:vAlign w:val="center"/>
          </w:tcPr>
          <w:p w14:paraId="64576D9E" w14:textId="55453BEE" w:rsidR="00F918E9" w:rsidRPr="00F918E9" w:rsidRDefault="00F918E9" w:rsidP="00F918E9">
            <w:pPr>
              <w:jc w:val="center"/>
              <w:rPr>
                <w:sz w:val="22"/>
                <w:szCs w:val="22"/>
              </w:rPr>
            </w:pPr>
            <w:r w:rsidRPr="00F918E9">
              <w:rPr>
                <w:sz w:val="22"/>
                <w:szCs w:val="22"/>
              </w:rPr>
              <w:t>111</w:t>
            </w:r>
          </w:p>
        </w:tc>
        <w:tc>
          <w:tcPr>
            <w:tcW w:w="2734" w:type="dxa"/>
            <w:vAlign w:val="center"/>
          </w:tcPr>
          <w:p w14:paraId="091521BD" w14:textId="5C190D6E" w:rsidR="00F918E9" w:rsidRPr="00F918E9" w:rsidRDefault="00F918E9" w:rsidP="00F918E9">
            <w:pPr>
              <w:jc w:val="center"/>
              <w:rPr>
                <w:sz w:val="22"/>
                <w:szCs w:val="22"/>
              </w:rPr>
            </w:pPr>
            <w:r w:rsidRPr="00F918E9">
              <w:rPr>
                <w:sz w:val="22"/>
                <w:szCs w:val="22"/>
              </w:rPr>
              <w:t>111</w:t>
            </w:r>
          </w:p>
        </w:tc>
      </w:tr>
      <w:tr w:rsidR="001963D4" w14:paraId="351B01CD" w14:textId="77777777" w:rsidTr="00F918E9">
        <w:trPr>
          <w:tblCellSpacing w:w="15" w:type="dxa"/>
        </w:trPr>
        <w:tc>
          <w:tcPr>
            <w:tcW w:w="8966" w:type="dxa"/>
            <w:gridSpan w:val="3"/>
            <w:tcBorders>
              <w:bottom w:val="single" w:sz="6" w:space="0" w:color="000000"/>
            </w:tcBorders>
            <w:vAlign w:val="center"/>
            <w:hideMark/>
          </w:tcPr>
          <w:p w14:paraId="0F22621F" w14:textId="77777777" w:rsidR="001963D4" w:rsidRDefault="001963D4" w:rsidP="001E1E2B">
            <w:pPr>
              <w:jc w:val="center"/>
            </w:pPr>
          </w:p>
        </w:tc>
      </w:tr>
    </w:tbl>
    <w:p w14:paraId="6820D456" w14:textId="77777777" w:rsidR="001963D4" w:rsidRPr="00D71561" w:rsidRDefault="001963D4" w:rsidP="001963D4">
      <w:pPr>
        <w:jc w:val="both"/>
        <w:rPr>
          <w:i/>
          <w:iCs/>
          <w:sz w:val="22"/>
          <w:szCs w:val="22"/>
          <w:lang w:val="en-US"/>
        </w:rPr>
      </w:pPr>
      <w:r w:rsidRPr="003576DF">
        <w:rPr>
          <w:i/>
          <w:iCs/>
          <w:lang w:val="en-US"/>
        </w:rPr>
        <w:t>Note: Penalized maximum likelihood logistic regressio</w:t>
      </w:r>
      <w:r>
        <w:rPr>
          <w:i/>
          <w:iCs/>
          <w:lang w:val="en-US"/>
        </w:rPr>
        <w:t>ns</w:t>
      </w:r>
      <w:r w:rsidRPr="003576DF">
        <w:rPr>
          <w:i/>
          <w:iCs/>
          <w:lang w:val="en-US"/>
        </w:rPr>
        <w:t>.</w:t>
      </w:r>
      <w:r>
        <w:rPr>
          <w:i/>
          <w:iCs/>
          <w:lang w:val="en-US"/>
        </w:rPr>
        <w:t xml:space="preserve"> </w:t>
      </w:r>
      <w:r w:rsidRPr="003576DF">
        <w:rPr>
          <w:i/>
          <w:iCs/>
          <w:lang w:val="en-US"/>
        </w:rPr>
        <w:t>Standards errors in parentheses.</w:t>
      </w:r>
      <w:r>
        <w:rPr>
          <w:i/>
          <w:iCs/>
          <w:lang w:val="en-US"/>
        </w:rPr>
        <w:t xml:space="preserve"> </w:t>
      </w:r>
      <w:r w:rsidRPr="003576DF">
        <w:rPr>
          <w:i/>
          <w:iCs/>
          <w:sz w:val="22"/>
          <w:szCs w:val="22"/>
        </w:rPr>
        <w:t>*p&lt;0.1;**p&lt;0.05;***p&lt;0.01</w:t>
      </w:r>
      <w:r>
        <w:rPr>
          <w:i/>
          <w:iCs/>
          <w:sz w:val="22"/>
          <w:szCs w:val="22"/>
          <w:lang w:val="en-US"/>
        </w:rPr>
        <w:t>.</w:t>
      </w:r>
    </w:p>
    <w:p w14:paraId="4E7ED04B" w14:textId="77777777" w:rsidR="001963D4" w:rsidRPr="009E66DE" w:rsidRDefault="001963D4" w:rsidP="001963D4">
      <w:pPr>
        <w:rPr>
          <w:lang w:val="en-US"/>
        </w:rPr>
      </w:pPr>
    </w:p>
    <w:p w14:paraId="072ED65B" w14:textId="77777777" w:rsidR="001963D4" w:rsidRPr="003200C3" w:rsidRDefault="001963D4" w:rsidP="002D156A">
      <w:pPr>
        <w:jc w:val="both"/>
        <w:rPr>
          <w:b/>
          <w:bCs/>
          <w:lang w:val="en-US"/>
        </w:rPr>
      </w:pPr>
    </w:p>
    <w:p w14:paraId="41871D9C" w14:textId="77777777" w:rsidR="002D156A" w:rsidRDefault="002D156A" w:rsidP="0002098E">
      <w:pPr>
        <w:rPr>
          <w:b/>
          <w:bCs/>
          <w:lang w:val="en-US"/>
        </w:rPr>
      </w:pPr>
    </w:p>
    <w:sectPr w:rsidR="002D156A">
      <w:footerReference w:type="even"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220D" w14:textId="77777777" w:rsidR="00E7088D" w:rsidRDefault="00E7088D" w:rsidP="007E37D5">
      <w:r>
        <w:separator/>
      </w:r>
    </w:p>
  </w:endnote>
  <w:endnote w:type="continuationSeparator" w:id="0">
    <w:p w14:paraId="5676C940" w14:textId="77777777" w:rsidR="00E7088D" w:rsidRDefault="00E7088D" w:rsidP="007E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0334228"/>
      <w:docPartObj>
        <w:docPartGallery w:val="Page Numbers (Bottom of Page)"/>
        <w:docPartUnique/>
      </w:docPartObj>
    </w:sdtPr>
    <w:sdtEndPr>
      <w:rPr>
        <w:rStyle w:val="PageNumber"/>
      </w:rPr>
    </w:sdtEndPr>
    <w:sdtContent>
      <w:p w14:paraId="086A1A09" w14:textId="5913D382" w:rsidR="007E37D5" w:rsidRDefault="007E37D5" w:rsidP="0046563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8A4447" w14:textId="77777777" w:rsidR="007E37D5" w:rsidRDefault="007E37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005363"/>
      <w:docPartObj>
        <w:docPartGallery w:val="Page Numbers (Bottom of Page)"/>
        <w:docPartUnique/>
      </w:docPartObj>
    </w:sdtPr>
    <w:sdtEndPr>
      <w:rPr>
        <w:rStyle w:val="PageNumber"/>
      </w:rPr>
    </w:sdtEndPr>
    <w:sdtContent>
      <w:p w14:paraId="3FC35C2F" w14:textId="36090175" w:rsidR="007E37D5" w:rsidRDefault="007E37D5" w:rsidP="0046563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F392EC1" w14:textId="77777777" w:rsidR="007E37D5" w:rsidRDefault="007E37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9AABA" w14:textId="77777777" w:rsidR="00E7088D" w:rsidRDefault="00E7088D" w:rsidP="007E37D5">
      <w:r>
        <w:separator/>
      </w:r>
    </w:p>
  </w:footnote>
  <w:footnote w:type="continuationSeparator" w:id="0">
    <w:p w14:paraId="59778231" w14:textId="77777777" w:rsidR="00E7088D" w:rsidRDefault="00E7088D" w:rsidP="007E37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98E"/>
    <w:rsid w:val="00004A33"/>
    <w:rsid w:val="0001451B"/>
    <w:rsid w:val="0002098E"/>
    <w:rsid w:val="0003429A"/>
    <w:rsid w:val="00076E46"/>
    <w:rsid w:val="000C6E69"/>
    <w:rsid w:val="001963D4"/>
    <w:rsid w:val="001F0C25"/>
    <w:rsid w:val="001F28A9"/>
    <w:rsid w:val="0026600A"/>
    <w:rsid w:val="002A64E5"/>
    <w:rsid w:val="002D156A"/>
    <w:rsid w:val="0047489C"/>
    <w:rsid w:val="005D79E8"/>
    <w:rsid w:val="005F7F0D"/>
    <w:rsid w:val="00645A7B"/>
    <w:rsid w:val="006A759F"/>
    <w:rsid w:val="006D4B58"/>
    <w:rsid w:val="007B4B53"/>
    <w:rsid w:val="007E37D5"/>
    <w:rsid w:val="007F05CF"/>
    <w:rsid w:val="008B43B1"/>
    <w:rsid w:val="008E6676"/>
    <w:rsid w:val="00B620FE"/>
    <w:rsid w:val="00C656F8"/>
    <w:rsid w:val="00DB3040"/>
    <w:rsid w:val="00E7088D"/>
    <w:rsid w:val="00F918E9"/>
    <w:rsid w:val="00FF036B"/>
    <w:rsid w:val="00FF0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7A84"/>
  <w15:chartTrackingRefBased/>
  <w15:docId w15:val="{FB22D440-8910-CE48-818E-24E6199F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98E"/>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02098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2098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098E"/>
    <w:rPr>
      <w:rFonts w:asciiTheme="majorHAnsi" w:eastAsiaTheme="majorEastAsia" w:hAnsiTheme="majorHAnsi" w:cstheme="majorBidi"/>
      <w:color w:val="2F5496" w:themeColor="accent1" w:themeShade="BF"/>
      <w:sz w:val="32"/>
      <w:szCs w:val="32"/>
      <w:lang w:eastAsia="en-GB"/>
    </w:rPr>
  </w:style>
  <w:style w:type="character" w:customStyle="1" w:styleId="Heading2Char">
    <w:name w:val="Heading 2 Char"/>
    <w:basedOn w:val="DefaultParagraphFont"/>
    <w:link w:val="Heading2"/>
    <w:uiPriority w:val="9"/>
    <w:semiHidden/>
    <w:rsid w:val="0002098E"/>
    <w:rPr>
      <w:rFonts w:asciiTheme="majorHAnsi" w:eastAsiaTheme="majorEastAsia" w:hAnsiTheme="majorHAnsi" w:cstheme="majorBidi"/>
      <w:color w:val="2F5496" w:themeColor="accent1" w:themeShade="BF"/>
      <w:sz w:val="26"/>
      <w:szCs w:val="26"/>
      <w:lang w:eastAsia="en-GB"/>
    </w:rPr>
  </w:style>
  <w:style w:type="character" w:customStyle="1" w:styleId="FootnoteTextChar">
    <w:name w:val="Footnote Text Char"/>
    <w:basedOn w:val="DefaultParagraphFont"/>
    <w:link w:val="FootnoteText"/>
    <w:uiPriority w:val="99"/>
    <w:semiHidden/>
    <w:rsid w:val="0002098E"/>
    <w:rPr>
      <w:sz w:val="20"/>
      <w:szCs w:val="20"/>
      <w:lang w:val="nb-NO"/>
    </w:rPr>
  </w:style>
  <w:style w:type="paragraph" w:styleId="FootnoteText">
    <w:name w:val="footnote text"/>
    <w:basedOn w:val="Normal"/>
    <w:link w:val="FootnoteTextChar"/>
    <w:uiPriority w:val="99"/>
    <w:semiHidden/>
    <w:unhideWhenUsed/>
    <w:rsid w:val="0002098E"/>
    <w:rPr>
      <w:rFonts w:asciiTheme="minorHAnsi" w:eastAsiaTheme="minorHAnsi" w:hAnsiTheme="minorHAnsi" w:cstheme="minorBidi"/>
      <w:sz w:val="20"/>
      <w:szCs w:val="20"/>
      <w:lang w:val="nb-NO" w:eastAsia="en-US"/>
    </w:rPr>
  </w:style>
  <w:style w:type="character" w:customStyle="1" w:styleId="FootnoteTextChar1">
    <w:name w:val="Footnote Text Char1"/>
    <w:basedOn w:val="DefaultParagraphFont"/>
    <w:uiPriority w:val="99"/>
    <w:semiHidden/>
    <w:rsid w:val="0002098E"/>
    <w:rPr>
      <w:rFonts w:ascii="Times New Roman" w:eastAsia="Times New Roman" w:hAnsi="Times New Roman" w:cs="Times New Roman"/>
      <w:sz w:val="20"/>
      <w:szCs w:val="20"/>
      <w:lang w:eastAsia="en-GB"/>
    </w:rPr>
  </w:style>
  <w:style w:type="character" w:customStyle="1" w:styleId="HTMLPreformattedChar">
    <w:name w:val="HTML Preformatted Char"/>
    <w:basedOn w:val="DefaultParagraphFont"/>
    <w:link w:val="HTMLPreformatted"/>
    <w:uiPriority w:val="99"/>
    <w:rsid w:val="0002098E"/>
    <w:rPr>
      <w:rFonts w:ascii="Courier New" w:eastAsia="Times New Roman" w:hAnsi="Courier New" w:cs="Courier New"/>
      <w:sz w:val="20"/>
      <w:szCs w:val="20"/>
      <w:lang w:val="nb-NO" w:eastAsia="nb-NO"/>
    </w:rPr>
  </w:style>
  <w:style w:type="paragraph" w:styleId="HTMLPreformatted">
    <w:name w:val="HTML Preformatted"/>
    <w:basedOn w:val="Normal"/>
    <w:link w:val="HTMLPreformattedChar"/>
    <w:uiPriority w:val="99"/>
    <w:unhideWhenUsed/>
    <w:rsid w:val="00020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nb-NO" w:eastAsia="nb-NO"/>
    </w:rPr>
  </w:style>
  <w:style w:type="character" w:customStyle="1" w:styleId="HTMLPreformattedChar1">
    <w:name w:val="HTML Preformatted Char1"/>
    <w:basedOn w:val="DefaultParagraphFont"/>
    <w:uiPriority w:val="99"/>
    <w:semiHidden/>
    <w:rsid w:val="0002098E"/>
    <w:rPr>
      <w:rFonts w:ascii="Consolas" w:eastAsia="Times New Roman" w:hAnsi="Consolas" w:cs="Consolas"/>
      <w:sz w:val="20"/>
      <w:szCs w:val="20"/>
      <w:lang w:eastAsia="en-GB"/>
    </w:rPr>
  </w:style>
  <w:style w:type="character" w:customStyle="1" w:styleId="HeaderChar">
    <w:name w:val="Header Char"/>
    <w:basedOn w:val="DefaultParagraphFont"/>
    <w:link w:val="Header"/>
    <w:uiPriority w:val="99"/>
    <w:rsid w:val="0002098E"/>
  </w:style>
  <w:style w:type="paragraph" w:styleId="Header">
    <w:name w:val="header"/>
    <w:basedOn w:val="Normal"/>
    <w:link w:val="HeaderChar"/>
    <w:uiPriority w:val="99"/>
    <w:unhideWhenUsed/>
    <w:rsid w:val="0002098E"/>
    <w:pPr>
      <w:tabs>
        <w:tab w:val="center" w:pos="4513"/>
        <w:tab w:val="right" w:pos="9026"/>
      </w:tabs>
    </w:pPr>
    <w:rPr>
      <w:rFonts w:asciiTheme="minorHAnsi" w:eastAsiaTheme="minorHAnsi" w:hAnsiTheme="minorHAnsi" w:cstheme="minorBidi"/>
      <w:lang w:eastAsia="en-US"/>
    </w:rPr>
  </w:style>
  <w:style w:type="character" w:customStyle="1" w:styleId="HeaderChar1">
    <w:name w:val="Header Char1"/>
    <w:basedOn w:val="DefaultParagraphFont"/>
    <w:uiPriority w:val="99"/>
    <w:semiHidden/>
    <w:rsid w:val="0002098E"/>
    <w:rPr>
      <w:rFonts w:ascii="Times New Roman" w:eastAsia="Times New Roman" w:hAnsi="Times New Roman" w:cs="Times New Roman"/>
      <w:lang w:eastAsia="en-GB"/>
    </w:rPr>
  </w:style>
  <w:style w:type="character" w:customStyle="1" w:styleId="FooterChar">
    <w:name w:val="Footer Char"/>
    <w:basedOn w:val="DefaultParagraphFont"/>
    <w:link w:val="Footer"/>
    <w:uiPriority w:val="99"/>
    <w:rsid w:val="0002098E"/>
    <w:rPr>
      <w:lang w:val="en-GB"/>
    </w:rPr>
  </w:style>
  <w:style w:type="paragraph" w:styleId="Footer">
    <w:name w:val="footer"/>
    <w:basedOn w:val="Normal"/>
    <w:link w:val="FooterChar"/>
    <w:uiPriority w:val="99"/>
    <w:unhideWhenUsed/>
    <w:rsid w:val="0002098E"/>
    <w:pPr>
      <w:tabs>
        <w:tab w:val="center" w:pos="4513"/>
        <w:tab w:val="right" w:pos="9026"/>
      </w:tabs>
    </w:pPr>
    <w:rPr>
      <w:rFonts w:asciiTheme="minorHAnsi" w:eastAsiaTheme="minorHAnsi" w:hAnsiTheme="minorHAnsi" w:cstheme="minorBidi"/>
      <w:lang w:eastAsia="en-US"/>
    </w:rPr>
  </w:style>
  <w:style w:type="character" w:customStyle="1" w:styleId="FooterChar1">
    <w:name w:val="Footer Char1"/>
    <w:basedOn w:val="DefaultParagraphFont"/>
    <w:uiPriority w:val="99"/>
    <w:semiHidden/>
    <w:rsid w:val="0002098E"/>
    <w:rPr>
      <w:rFonts w:ascii="Times New Roman" w:eastAsia="Times New Roman" w:hAnsi="Times New Roman" w:cs="Times New Roman"/>
      <w:lang w:eastAsia="en-GB"/>
    </w:rPr>
  </w:style>
  <w:style w:type="character" w:customStyle="1" w:styleId="CommentTextChar">
    <w:name w:val="Comment Text Char"/>
    <w:basedOn w:val="DefaultParagraphFont"/>
    <w:link w:val="CommentText"/>
    <w:uiPriority w:val="99"/>
    <w:semiHidden/>
    <w:rsid w:val="0002098E"/>
    <w:rPr>
      <w:sz w:val="20"/>
      <w:szCs w:val="20"/>
      <w:lang w:val="en-GB"/>
    </w:rPr>
  </w:style>
  <w:style w:type="paragraph" w:styleId="CommentText">
    <w:name w:val="annotation text"/>
    <w:basedOn w:val="Normal"/>
    <w:link w:val="CommentTextChar"/>
    <w:uiPriority w:val="99"/>
    <w:semiHidden/>
    <w:unhideWhenUsed/>
    <w:rsid w:val="0002098E"/>
    <w:rPr>
      <w:rFonts w:asciiTheme="minorHAnsi" w:eastAsiaTheme="minorHAnsi" w:hAnsiTheme="minorHAnsi" w:cstheme="minorBidi"/>
      <w:sz w:val="20"/>
      <w:szCs w:val="20"/>
      <w:lang w:eastAsia="en-US"/>
    </w:rPr>
  </w:style>
  <w:style w:type="character" w:customStyle="1" w:styleId="CommentTextChar1">
    <w:name w:val="Comment Text Char1"/>
    <w:basedOn w:val="DefaultParagraphFont"/>
    <w:uiPriority w:val="99"/>
    <w:semiHidden/>
    <w:rsid w:val="0002098E"/>
    <w:rPr>
      <w:rFonts w:ascii="Times New Roman" w:eastAsia="Times New Roman" w:hAnsi="Times New Roman" w:cs="Times New Roman"/>
      <w:sz w:val="20"/>
      <w:szCs w:val="20"/>
      <w:lang w:eastAsia="en-GB"/>
    </w:rPr>
  </w:style>
  <w:style w:type="character" w:customStyle="1" w:styleId="CommentSubjectChar">
    <w:name w:val="Comment Subject Char"/>
    <w:basedOn w:val="CommentTextChar"/>
    <w:link w:val="CommentSubject"/>
    <w:uiPriority w:val="99"/>
    <w:semiHidden/>
    <w:rsid w:val="0002098E"/>
    <w:rPr>
      <w:b/>
      <w:bCs/>
      <w:sz w:val="20"/>
      <w:szCs w:val="20"/>
      <w:lang w:val="en-GB"/>
    </w:rPr>
  </w:style>
  <w:style w:type="paragraph" w:styleId="CommentSubject">
    <w:name w:val="annotation subject"/>
    <w:basedOn w:val="CommentText"/>
    <w:next w:val="CommentText"/>
    <w:link w:val="CommentSubjectChar"/>
    <w:uiPriority w:val="99"/>
    <w:semiHidden/>
    <w:unhideWhenUsed/>
    <w:rsid w:val="0002098E"/>
    <w:rPr>
      <w:b/>
      <w:bCs/>
    </w:rPr>
  </w:style>
  <w:style w:type="character" w:customStyle="1" w:styleId="CommentSubjectChar1">
    <w:name w:val="Comment Subject Char1"/>
    <w:basedOn w:val="CommentTextChar1"/>
    <w:uiPriority w:val="99"/>
    <w:semiHidden/>
    <w:rsid w:val="0002098E"/>
    <w:rPr>
      <w:rFonts w:ascii="Times New Roman" w:eastAsia="Times New Roman" w:hAnsi="Times New Roman" w:cs="Times New Roman"/>
      <w:b/>
      <w:bCs/>
      <w:sz w:val="20"/>
      <w:szCs w:val="20"/>
      <w:lang w:eastAsia="en-GB"/>
    </w:rPr>
  </w:style>
  <w:style w:type="paragraph" w:styleId="ListParagraph">
    <w:name w:val="List Paragraph"/>
    <w:basedOn w:val="Normal"/>
    <w:uiPriority w:val="34"/>
    <w:qFormat/>
    <w:rsid w:val="0002098E"/>
    <w:pPr>
      <w:ind w:left="720"/>
      <w:contextualSpacing/>
    </w:pPr>
  </w:style>
  <w:style w:type="character" w:styleId="UnresolvedMention">
    <w:name w:val="Unresolved Mention"/>
    <w:basedOn w:val="DefaultParagraphFont"/>
    <w:uiPriority w:val="99"/>
    <w:semiHidden/>
    <w:unhideWhenUsed/>
    <w:rsid w:val="0002098E"/>
    <w:rPr>
      <w:color w:val="605E5C"/>
      <w:shd w:val="clear" w:color="auto" w:fill="E1DFDD"/>
    </w:rPr>
  </w:style>
  <w:style w:type="table" w:styleId="TableGrid">
    <w:name w:val="Table Grid"/>
    <w:basedOn w:val="TableNormal"/>
    <w:uiPriority w:val="39"/>
    <w:rsid w:val="00020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02098E"/>
  </w:style>
  <w:style w:type="character" w:styleId="Hyperlink">
    <w:name w:val="Hyperlink"/>
    <w:basedOn w:val="DefaultParagraphFont"/>
    <w:uiPriority w:val="99"/>
    <w:unhideWhenUsed/>
    <w:rsid w:val="0002098E"/>
    <w:rPr>
      <w:color w:val="0000FF"/>
      <w:u w:val="single"/>
    </w:rPr>
  </w:style>
  <w:style w:type="character" w:customStyle="1" w:styleId="ds-dccontributorauthor-authority">
    <w:name w:val="ds-dc_contributor_author-authority"/>
    <w:basedOn w:val="DefaultParagraphFont"/>
    <w:rsid w:val="0002098E"/>
  </w:style>
  <w:style w:type="character" w:customStyle="1" w:styleId="authors">
    <w:name w:val="authors"/>
    <w:basedOn w:val="DefaultParagraphFont"/>
    <w:rsid w:val="0002098E"/>
  </w:style>
  <w:style w:type="character" w:customStyle="1" w:styleId="Dato1">
    <w:name w:val="Dato1"/>
    <w:basedOn w:val="DefaultParagraphFont"/>
    <w:rsid w:val="0002098E"/>
  </w:style>
  <w:style w:type="character" w:styleId="CommentReference">
    <w:name w:val="annotation reference"/>
    <w:basedOn w:val="DefaultParagraphFont"/>
    <w:uiPriority w:val="99"/>
    <w:semiHidden/>
    <w:unhideWhenUsed/>
    <w:rsid w:val="0002098E"/>
    <w:rPr>
      <w:sz w:val="16"/>
      <w:szCs w:val="16"/>
    </w:rPr>
  </w:style>
  <w:style w:type="paragraph" w:styleId="NormalWeb">
    <w:name w:val="Normal (Web)"/>
    <w:basedOn w:val="Normal"/>
    <w:uiPriority w:val="99"/>
    <w:unhideWhenUsed/>
    <w:rsid w:val="0002098E"/>
    <w:pPr>
      <w:spacing w:before="100" w:beforeAutospacing="1" w:after="100" w:afterAutospacing="1"/>
    </w:pPr>
  </w:style>
  <w:style w:type="table" w:styleId="PlainTable2">
    <w:name w:val="Plain Table 2"/>
    <w:basedOn w:val="TableNormal"/>
    <w:uiPriority w:val="42"/>
    <w:rsid w:val="000209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02098E"/>
    <w:rPr>
      <w:b/>
      <w:bCs/>
    </w:rPr>
  </w:style>
  <w:style w:type="character" w:styleId="Emphasis">
    <w:name w:val="Emphasis"/>
    <w:basedOn w:val="DefaultParagraphFont"/>
    <w:uiPriority w:val="20"/>
    <w:qFormat/>
    <w:rsid w:val="0002098E"/>
    <w:rPr>
      <w:i/>
      <w:iCs/>
    </w:rPr>
  </w:style>
  <w:style w:type="character" w:styleId="FollowedHyperlink">
    <w:name w:val="FollowedHyperlink"/>
    <w:basedOn w:val="DefaultParagraphFont"/>
    <w:uiPriority w:val="99"/>
    <w:semiHidden/>
    <w:unhideWhenUsed/>
    <w:rsid w:val="0002098E"/>
    <w:rPr>
      <w:color w:val="954F72" w:themeColor="followedHyperlink"/>
      <w:u w:val="single"/>
    </w:rPr>
  </w:style>
  <w:style w:type="character" w:styleId="FootnoteReference">
    <w:name w:val="footnote reference"/>
    <w:basedOn w:val="DefaultParagraphFont"/>
    <w:uiPriority w:val="99"/>
    <w:semiHidden/>
    <w:unhideWhenUsed/>
    <w:rsid w:val="0002098E"/>
    <w:rPr>
      <w:vertAlign w:val="superscript"/>
    </w:rPr>
  </w:style>
  <w:style w:type="table" w:styleId="PlainTable3">
    <w:name w:val="Plain Table 3"/>
    <w:basedOn w:val="TableNormal"/>
    <w:uiPriority w:val="43"/>
    <w:rsid w:val="000209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02098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1760</Words>
  <Characters>10034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Bunea</dc:creator>
  <cp:keywords/>
  <dc:description/>
  <cp:lastModifiedBy>Jeremy Richardson</cp:lastModifiedBy>
  <cp:revision>2</cp:revision>
  <dcterms:created xsi:type="dcterms:W3CDTF">2022-07-05T04:18:00Z</dcterms:created>
  <dcterms:modified xsi:type="dcterms:W3CDTF">2022-07-05T04:18:00Z</dcterms:modified>
</cp:coreProperties>
</file>