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A5D" w:rsidRDefault="00042A5D" w:rsidP="00042A5D">
      <w:pPr>
        <w:spacing w:after="160" w:line="259" w:lineRule="auto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Figure legends</w:t>
      </w:r>
    </w:p>
    <w:p w:rsidR="00042A5D" w:rsidRDefault="00042A5D" w:rsidP="00042A5D">
      <w:pPr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Supplementary Figure 1</w:t>
      </w:r>
      <w:r w:rsidRPr="00031939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Pr="00031939">
        <w:rPr>
          <w:rFonts w:ascii="Times New Roman" w:hAnsi="Times New Roman" w:cs="Times New Roman"/>
          <w:sz w:val="20"/>
          <w:szCs w:val="20"/>
        </w:rPr>
        <w:t xml:space="preserve">Methylation levels of </w:t>
      </w:r>
      <w:r w:rsidRPr="00031939">
        <w:rPr>
          <w:rFonts w:ascii="Times New Roman" w:hAnsi="Times New Roman" w:cs="Times New Roman"/>
          <w:i/>
          <w:sz w:val="20"/>
          <w:szCs w:val="20"/>
        </w:rPr>
        <w:t xml:space="preserve">CDO1 </w:t>
      </w:r>
      <w:r w:rsidRPr="00031939">
        <w:rPr>
          <w:rFonts w:ascii="Times New Roman" w:hAnsi="Times New Roman" w:cs="Times New Roman"/>
          <w:sz w:val="20"/>
          <w:szCs w:val="20"/>
        </w:rPr>
        <w:t xml:space="preserve">(a), </w:t>
      </w:r>
      <w:r w:rsidRPr="00031939">
        <w:rPr>
          <w:rFonts w:ascii="Times New Roman" w:hAnsi="Times New Roman" w:cs="Times New Roman"/>
          <w:i/>
          <w:sz w:val="20"/>
          <w:szCs w:val="20"/>
        </w:rPr>
        <w:t>SOX17</w:t>
      </w:r>
      <w:r w:rsidRPr="00031939">
        <w:rPr>
          <w:rFonts w:ascii="Times New Roman" w:hAnsi="Times New Roman" w:cs="Times New Roman"/>
          <w:sz w:val="20"/>
          <w:szCs w:val="20"/>
        </w:rPr>
        <w:t xml:space="preserve"> (b), and </w:t>
      </w:r>
      <w:r w:rsidRPr="00031939">
        <w:rPr>
          <w:rFonts w:ascii="Times New Roman" w:hAnsi="Times New Roman" w:cs="Times New Roman"/>
          <w:i/>
          <w:sz w:val="20"/>
          <w:szCs w:val="20"/>
        </w:rPr>
        <w:t>TAC1</w:t>
      </w:r>
      <w:r w:rsidRPr="00031939">
        <w:rPr>
          <w:rFonts w:ascii="Times New Roman" w:hAnsi="Times New Roman" w:cs="Times New Roman"/>
          <w:sz w:val="20"/>
          <w:szCs w:val="20"/>
        </w:rPr>
        <w:t xml:space="preserve"> (c) measured in </w:t>
      </w:r>
      <w:r>
        <w:rPr>
          <w:rFonts w:ascii="Times New Roman" w:hAnsi="Times New Roman" w:cs="Times New Roman"/>
          <w:sz w:val="20"/>
          <w:szCs w:val="20"/>
        </w:rPr>
        <w:t>11 pairs of tumours and adjacent normal tissues from NSCLC patients</w:t>
      </w:r>
      <w:r w:rsidRPr="00031939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Methylation levels are normalis</w:t>
      </w:r>
      <w:r w:rsidRPr="00031939">
        <w:rPr>
          <w:rFonts w:ascii="Times New Roman" w:hAnsi="Times New Roman" w:cs="Times New Roman"/>
          <w:sz w:val="20"/>
          <w:szCs w:val="20"/>
        </w:rPr>
        <w:t xml:space="preserve">ed to the reference gene </w:t>
      </w:r>
      <w:r w:rsidRPr="00031939">
        <w:rPr>
          <w:rFonts w:ascii="Times New Roman" w:hAnsi="Times New Roman" w:cs="Times New Roman"/>
          <w:i/>
          <w:sz w:val="20"/>
          <w:szCs w:val="20"/>
        </w:rPr>
        <w:t xml:space="preserve">ACTB </w:t>
      </w:r>
      <w:r>
        <w:rPr>
          <w:rFonts w:ascii="Times New Roman" w:hAnsi="Times New Roman" w:cs="Times New Roman"/>
          <w:sz w:val="20"/>
          <w:szCs w:val="20"/>
        </w:rPr>
        <w:t>and presented as square root Ct ratios. Outliers are indicated by bold circles located outside the whiskers of the boxplot.</w:t>
      </w:r>
      <w:r w:rsidRPr="00846AB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Statistical significance was computed using the nonparametric paired samples Wilcoxon test. </w:t>
      </w:r>
      <w:proofErr w:type="gramStart"/>
      <w:r w:rsidRPr="00031939">
        <w:rPr>
          <w:rFonts w:ascii="Times New Roman" w:hAnsi="Times New Roman" w:cs="Times New Roman"/>
          <w:sz w:val="20"/>
          <w:szCs w:val="20"/>
        </w:rPr>
        <w:t>*</w:t>
      </w:r>
      <w:r w:rsidRPr="00031939">
        <w:rPr>
          <w:rFonts w:ascii="Times New Roman" w:hAnsi="Times New Roman" w:cs="Times New Roman"/>
          <w:i/>
          <w:sz w:val="20"/>
          <w:szCs w:val="20"/>
        </w:rPr>
        <w:t>p</w:t>
      </w:r>
      <w:r w:rsidRPr="00031939">
        <w:rPr>
          <w:rFonts w:ascii="Times New Roman" w:hAnsi="Times New Roman" w:cs="Times New Roman"/>
          <w:sz w:val="20"/>
          <w:szCs w:val="20"/>
        </w:rPr>
        <w:t xml:space="preserve"> &lt; 0.10 (suggestive evidence), **</w:t>
      </w:r>
      <w:r w:rsidRPr="00031939">
        <w:rPr>
          <w:rFonts w:ascii="Times New Roman" w:hAnsi="Times New Roman" w:cs="Times New Roman"/>
          <w:i/>
          <w:sz w:val="20"/>
          <w:szCs w:val="20"/>
        </w:rPr>
        <w:t>p</w:t>
      </w:r>
      <w:r w:rsidRPr="00031939">
        <w:rPr>
          <w:rFonts w:ascii="Times New Roman" w:hAnsi="Times New Roman" w:cs="Times New Roman"/>
          <w:sz w:val="20"/>
          <w:szCs w:val="20"/>
        </w:rPr>
        <w:t xml:space="preserve"> &lt; 0.05 (moderate evidence).</w:t>
      </w:r>
      <w:proofErr w:type="gramEnd"/>
      <w:r w:rsidRPr="0003193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B4D68" w:rsidRDefault="00042A5D"/>
    <w:sectPr w:rsidR="00AB4D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A5D"/>
    <w:rsid w:val="00042A5D"/>
    <w:rsid w:val="001E3876"/>
    <w:rsid w:val="0040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A5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A5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Shobana Velmurugan, Integra-PDY, IN</dc:creator>
  <cp:lastModifiedBy>Shobana Velmurugan, Integra-PDY, IN</cp:lastModifiedBy>
  <cp:revision>1</cp:revision>
  <dcterms:created xsi:type="dcterms:W3CDTF">2021-09-19T07:52:00Z</dcterms:created>
  <dcterms:modified xsi:type="dcterms:W3CDTF">2021-09-19T07:52:00Z</dcterms:modified>
</cp:coreProperties>
</file>