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D0CA8A" w14:textId="72579A56" w:rsidR="00941117" w:rsidRDefault="00941117" w:rsidP="00941117">
      <w:pPr>
        <w:pStyle w:val="NormalWeb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 w:rsidRPr="00F645F6">
        <w:rPr>
          <w:rFonts w:ascii="Arial" w:hAnsi="Arial" w:cs="Arial"/>
          <w:b/>
          <w:bCs/>
          <w:sz w:val="22"/>
          <w:szCs w:val="22"/>
        </w:rPr>
        <w:t>Figure S1.</w:t>
      </w:r>
      <w:r w:rsidRPr="00941117">
        <w:rPr>
          <w:rFonts w:ascii="Arial" w:hAnsi="Arial" w:cs="Arial"/>
          <w:sz w:val="22"/>
          <w:szCs w:val="22"/>
        </w:rPr>
        <w:t xml:space="preserve"> </w:t>
      </w:r>
      <w:r w:rsidRPr="00941117">
        <w:rPr>
          <w:rFonts w:ascii="Arial" w:hAnsi="Arial" w:cs="Arial"/>
          <w:color w:val="000000"/>
          <w:sz w:val="22"/>
          <w:szCs w:val="22"/>
        </w:rPr>
        <w:t xml:space="preserve">Geographic assignments of </w:t>
      </w:r>
      <w:proofErr w:type="spellStart"/>
      <w:r w:rsidR="00F645F6">
        <w:rPr>
          <w:rFonts w:ascii="Arial" w:hAnsi="Arial" w:cs="Arial"/>
          <w:color w:val="000000"/>
          <w:sz w:val="22"/>
          <w:szCs w:val="22"/>
        </w:rPr>
        <w:t>rickettsiae</w:t>
      </w:r>
      <w:proofErr w:type="spellEnd"/>
      <w:r w:rsidR="00F645F6">
        <w:rPr>
          <w:rFonts w:ascii="Arial" w:hAnsi="Arial" w:cs="Arial"/>
          <w:color w:val="000000"/>
          <w:sz w:val="22"/>
          <w:szCs w:val="22"/>
        </w:rPr>
        <w:t>-</w:t>
      </w:r>
      <w:r w:rsidRPr="00941117">
        <w:rPr>
          <w:rFonts w:ascii="Arial" w:hAnsi="Arial" w:cs="Arial"/>
          <w:color w:val="000000"/>
          <w:sz w:val="22"/>
          <w:szCs w:val="22"/>
        </w:rPr>
        <w:t xml:space="preserve">positive individuals, </w:t>
      </w:r>
      <w:r w:rsidRPr="00941117">
        <w:rPr>
          <w:rFonts w:ascii="Arial" w:hAnsi="Arial" w:cs="Arial"/>
          <w:i/>
          <w:iCs/>
          <w:color w:val="000000"/>
          <w:sz w:val="22"/>
          <w:szCs w:val="22"/>
        </w:rPr>
        <w:t>T</w:t>
      </w:r>
      <w:r w:rsidRPr="00941117">
        <w:rPr>
          <w:rFonts w:ascii="Arial" w:hAnsi="Arial" w:cs="Arial"/>
          <w:i/>
          <w:iCs/>
          <w:color w:val="000000"/>
          <w:sz w:val="22"/>
          <w:szCs w:val="22"/>
        </w:rPr>
        <w:t>urdus</w:t>
      </w:r>
      <w:r w:rsidRPr="00941117">
        <w:rPr>
          <w:rFonts w:ascii="Arial" w:hAnsi="Arial" w:cs="Arial"/>
          <w:i/>
          <w:iCs/>
          <w:color w:val="000000"/>
          <w:sz w:val="22"/>
          <w:szCs w:val="22"/>
        </w:rPr>
        <w:t xml:space="preserve"> migratorius</w:t>
      </w:r>
      <w:r w:rsidRPr="00941117">
        <w:rPr>
          <w:rFonts w:ascii="Arial" w:hAnsi="Arial" w:cs="Arial"/>
          <w:color w:val="000000"/>
          <w:sz w:val="22"/>
          <w:szCs w:val="22"/>
        </w:rPr>
        <w:t xml:space="preserve"> 1412-68667 (</w:t>
      </w:r>
      <w:proofErr w:type="gramStart"/>
      <w:r w:rsidRPr="00941117">
        <w:rPr>
          <w:rFonts w:ascii="Arial" w:hAnsi="Arial" w:cs="Arial"/>
          <w:color w:val="000000"/>
          <w:sz w:val="22"/>
          <w:szCs w:val="22"/>
        </w:rPr>
        <w:t>A,B</w:t>
      </w:r>
      <w:proofErr w:type="gramEnd"/>
      <w:r w:rsidRPr="00941117">
        <w:rPr>
          <w:rFonts w:ascii="Arial" w:hAnsi="Arial" w:cs="Arial"/>
          <w:color w:val="000000"/>
          <w:sz w:val="22"/>
          <w:szCs w:val="22"/>
        </w:rPr>
        <w:t xml:space="preserve">) and </w:t>
      </w:r>
      <w:r w:rsidRPr="00941117">
        <w:rPr>
          <w:rFonts w:ascii="Arial" w:hAnsi="Arial" w:cs="Arial"/>
          <w:i/>
          <w:iCs/>
          <w:color w:val="000000"/>
          <w:sz w:val="22"/>
          <w:szCs w:val="22"/>
        </w:rPr>
        <w:t>J</w:t>
      </w:r>
      <w:r w:rsidRPr="00941117">
        <w:rPr>
          <w:rFonts w:ascii="Arial" w:hAnsi="Arial" w:cs="Arial"/>
          <w:i/>
          <w:iCs/>
          <w:color w:val="000000"/>
          <w:sz w:val="22"/>
          <w:szCs w:val="22"/>
        </w:rPr>
        <w:t>unco</w:t>
      </w:r>
      <w:r w:rsidRPr="00941117">
        <w:rPr>
          <w:rFonts w:ascii="Arial" w:hAnsi="Arial" w:cs="Arial"/>
          <w:i/>
          <w:iCs/>
          <w:color w:val="000000"/>
          <w:sz w:val="22"/>
          <w:szCs w:val="22"/>
        </w:rPr>
        <w:t xml:space="preserve"> hyemalis</w:t>
      </w:r>
      <w:r w:rsidRPr="00941117">
        <w:rPr>
          <w:rFonts w:ascii="Arial" w:hAnsi="Arial" w:cs="Arial"/>
          <w:i/>
          <w:iCs/>
          <w:color w:val="000000"/>
          <w:sz w:val="22"/>
          <w:szCs w:val="22"/>
        </w:rPr>
        <w:t xml:space="preserve"> </w:t>
      </w:r>
      <w:r w:rsidRPr="00941117">
        <w:rPr>
          <w:rFonts w:ascii="Arial" w:hAnsi="Arial" w:cs="Arial"/>
          <w:color w:val="000000"/>
          <w:sz w:val="22"/>
          <w:szCs w:val="22"/>
        </w:rPr>
        <w:t>1881-71194 (C,D), based on the hydrogen isotopic value of flight feathers (for details about sample preparation, hydrogen equilibration</w:t>
      </w:r>
      <w:r>
        <w:rPr>
          <w:rFonts w:ascii="Arial" w:hAnsi="Arial" w:cs="Arial"/>
          <w:color w:val="000000"/>
          <w:sz w:val="22"/>
          <w:szCs w:val="22"/>
        </w:rPr>
        <w:t>,</w:t>
      </w:r>
      <w:r w:rsidRPr="00941117">
        <w:rPr>
          <w:rFonts w:ascii="Arial" w:hAnsi="Arial" w:cs="Arial"/>
          <w:color w:val="000000"/>
          <w:sz w:val="22"/>
          <w:szCs w:val="22"/>
        </w:rPr>
        <w:t xml:space="preserve"> and isotopic analysis, see Wanamaker et al., 2020). Breeding location estimates presented in Figure 1 in the main text (</w:t>
      </w:r>
      <w:proofErr w:type="gramStart"/>
      <w:r w:rsidRPr="00941117">
        <w:rPr>
          <w:rFonts w:ascii="Arial" w:hAnsi="Arial" w:cs="Arial"/>
          <w:color w:val="000000"/>
          <w:sz w:val="22"/>
          <w:szCs w:val="22"/>
        </w:rPr>
        <w:t>B,D</w:t>
      </w:r>
      <w:proofErr w:type="gramEnd"/>
      <w:r w:rsidRPr="00941117">
        <w:rPr>
          <w:rFonts w:ascii="Arial" w:hAnsi="Arial" w:cs="Arial"/>
          <w:color w:val="000000"/>
          <w:sz w:val="22"/>
          <w:szCs w:val="22"/>
        </w:rPr>
        <w:t xml:space="preserve">) reflect cells within the top 10% highest posterior probability based on Bayesian assignment (A,C). Geographic assignments were performed in R using the </w:t>
      </w:r>
      <w:proofErr w:type="spellStart"/>
      <w:r w:rsidRPr="00941117">
        <w:rPr>
          <w:rFonts w:ascii="Arial" w:hAnsi="Arial" w:cs="Arial"/>
          <w:i/>
          <w:iCs/>
          <w:color w:val="000000"/>
          <w:sz w:val="22"/>
          <w:szCs w:val="22"/>
        </w:rPr>
        <w:t>assignR</w:t>
      </w:r>
      <w:proofErr w:type="spellEnd"/>
      <w:r w:rsidRPr="00941117">
        <w:rPr>
          <w:rFonts w:ascii="Arial" w:hAnsi="Arial" w:cs="Arial"/>
          <w:color w:val="000000"/>
          <w:sz w:val="22"/>
          <w:szCs w:val="22"/>
        </w:rPr>
        <w:t xml:space="preserve"> package (Ma et al., 2020), using growing-season-precipitation (GSP; Bowen et al., 2005) and guild-specific (short-distance migrant, non-ground foraging) and species-specific resident calibration datasets for </w:t>
      </w:r>
      <w:r w:rsidRPr="00941117">
        <w:rPr>
          <w:rFonts w:ascii="Arial" w:hAnsi="Arial" w:cs="Arial"/>
          <w:i/>
          <w:iCs/>
          <w:color w:val="000000"/>
          <w:sz w:val="22"/>
          <w:szCs w:val="22"/>
        </w:rPr>
        <w:t>T</w:t>
      </w:r>
      <w:r>
        <w:rPr>
          <w:rFonts w:ascii="Arial" w:hAnsi="Arial" w:cs="Arial"/>
          <w:i/>
          <w:iCs/>
          <w:color w:val="000000"/>
          <w:sz w:val="22"/>
          <w:szCs w:val="22"/>
        </w:rPr>
        <w:t>.</w:t>
      </w:r>
      <w:r w:rsidRPr="00941117">
        <w:rPr>
          <w:rFonts w:ascii="Arial" w:hAnsi="Arial" w:cs="Arial"/>
          <w:i/>
          <w:iCs/>
          <w:color w:val="000000"/>
          <w:sz w:val="22"/>
          <w:szCs w:val="22"/>
        </w:rPr>
        <w:t xml:space="preserve"> migratorius </w:t>
      </w:r>
      <w:r w:rsidRPr="00941117">
        <w:rPr>
          <w:rFonts w:ascii="Arial" w:hAnsi="Arial" w:cs="Arial"/>
          <w:color w:val="000000"/>
          <w:sz w:val="22"/>
          <w:szCs w:val="22"/>
        </w:rPr>
        <w:t xml:space="preserve">and </w:t>
      </w:r>
      <w:r w:rsidRPr="00941117">
        <w:rPr>
          <w:rFonts w:ascii="Arial" w:hAnsi="Arial" w:cs="Arial"/>
          <w:i/>
          <w:iCs/>
          <w:color w:val="000000"/>
          <w:sz w:val="22"/>
          <w:szCs w:val="22"/>
        </w:rPr>
        <w:t>J</w:t>
      </w:r>
      <w:r>
        <w:rPr>
          <w:rFonts w:ascii="Arial" w:hAnsi="Arial" w:cs="Arial"/>
          <w:i/>
          <w:iCs/>
          <w:color w:val="000000"/>
          <w:sz w:val="22"/>
          <w:szCs w:val="22"/>
        </w:rPr>
        <w:t>.</w:t>
      </w:r>
      <w:r w:rsidRPr="00941117">
        <w:rPr>
          <w:rFonts w:ascii="Arial" w:hAnsi="Arial" w:cs="Arial"/>
          <w:i/>
          <w:iCs/>
          <w:color w:val="000000"/>
          <w:sz w:val="22"/>
          <w:szCs w:val="22"/>
        </w:rPr>
        <w:t xml:space="preserve"> hyemalis</w:t>
      </w:r>
      <w:r w:rsidRPr="00941117">
        <w:rPr>
          <w:rFonts w:ascii="Arial" w:hAnsi="Arial" w:cs="Arial"/>
          <w:color w:val="000000"/>
          <w:sz w:val="22"/>
          <w:szCs w:val="22"/>
        </w:rPr>
        <w:t xml:space="preserve">, respectively.  The calibration model for </w:t>
      </w:r>
      <w:r w:rsidRPr="00941117">
        <w:rPr>
          <w:rFonts w:ascii="Arial" w:hAnsi="Arial" w:cs="Arial"/>
          <w:i/>
          <w:iCs/>
          <w:color w:val="000000"/>
          <w:sz w:val="22"/>
          <w:szCs w:val="22"/>
        </w:rPr>
        <w:t>T. migratorius</w:t>
      </w:r>
      <w:r w:rsidRPr="00941117">
        <w:rPr>
          <w:rFonts w:ascii="Arial" w:hAnsi="Arial" w:cs="Arial"/>
          <w:color w:val="000000"/>
          <w:sz w:val="22"/>
          <w:szCs w:val="22"/>
        </w:rPr>
        <w:t xml:space="preserve"> produced an intercept of -39.9, approximating the diet-to-tissue discrimination factor, and explained 69% of the isotopic variation in resident individuals.  The calibration models for </w:t>
      </w:r>
      <w:r w:rsidRPr="00941117">
        <w:rPr>
          <w:rFonts w:ascii="Arial" w:hAnsi="Arial" w:cs="Arial"/>
          <w:i/>
          <w:iCs/>
          <w:color w:val="000000"/>
          <w:sz w:val="22"/>
          <w:szCs w:val="22"/>
        </w:rPr>
        <w:t>J. hyemalis</w:t>
      </w:r>
      <w:r w:rsidRPr="00941117">
        <w:rPr>
          <w:rFonts w:ascii="Arial" w:hAnsi="Arial" w:cs="Arial"/>
          <w:color w:val="000000"/>
          <w:sz w:val="22"/>
          <w:szCs w:val="22"/>
        </w:rPr>
        <w:t xml:space="preserve"> produced an intercept of -21.3, approximating the diet-to-tissue discrimination factor, and explained 48% of the isotopic variation in resident individuals. Seasonal ranges from IUCN (2019) are shown in light gray underneath estimates (species’ full range maps </w:t>
      </w:r>
      <w:r w:rsidRPr="00941117">
        <w:rPr>
          <w:rFonts w:ascii="Arial" w:hAnsi="Arial" w:cs="Arial"/>
          <w:color w:val="000000"/>
          <w:sz w:val="22"/>
          <w:szCs w:val="22"/>
        </w:rPr>
        <w:t>were</w:t>
      </w:r>
      <w:r w:rsidRPr="00941117">
        <w:rPr>
          <w:rFonts w:ascii="Arial" w:hAnsi="Arial" w:cs="Arial"/>
          <w:color w:val="000000"/>
          <w:sz w:val="22"/>
          <w:szCs w:val="22"/>
        </w:rPr>
        <w:t xml:space="preserve"> used to construct geographic assignment maps).</w:t>
      </w:r>
    </w:p>
    <w:p w14:paraId="34B8A55B" w14:textId="1C6AF7A6" w:rsidR="00941117" w:rsidRDefault="00941117" w:rsidP="00941117">
      <w:pPr>
        <w:pStyle w:val="NormalWeb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</w:p>
    <w:p w14:paraId="086A77CA" w14:textId="5E644FF2" w:rsidR="00896F06" w:rsidRPr="00896F06" w:rsidRDefault="00896F06" w:rsidP="00896F06">
      <w:pPr>
        <w:rPr>
          <w:rFonts w:ascii="Times New Roman" w:eastAsia="Times New Roman" w:hAnsi="Times New Roman" w:cs="Times New Roman"/>
        </w:rPr>
      </w:pPr>
      <w:r w:rsidRPr="00896F06">
        <w:rPr>
          <w:rFonts w:ascii="Arial" w:eastAsia="Times New Roman" w:hAnsi="Arial" w:cs="Arial"/>
          <w:color w:val="000000"/>
          <w:sz w:val="22"/>
          <w:szCs w:val="22"/>
          <w:bdr w:val="none" w:sz="0" w:space="0" w:color="auto" w:frame="1"/>
        </w:rPr>
        <w:fldChar w:fldCharType="begin"/>
      </w:r>
      <w:r w:rsidRPr="00896F06">
        <w:rPr>
          <w:rFonts w:ascii="Arial" w:eastAsia="Times New Roman" w:hAnsi="Arial" w:cs="Arial"/>
          <w:color w:val="000000"/>
          <w:sz w:val="22"/>
          <w:szCs w:val="22"/>
          <w:bdr w:val="none" w:sz="0" w:space="0" w:color="auto" w:frame="1"/>
        </w:rPr>
        <w:instrText xml:space="preserve"> INCLUDEPICTURE "https://lh3.googleusercontent.com/TI4XuYwtEcUll9F7TMLUBtMSEV6S0RhwOoqjjSJfMNI6R8cWVkJgfHCSnLPcRh-2k3g7ZuarZjQ_dNm4uc0zuciaurF0KiqkeHp2K6z0x1ZAqLDaK-AQzXSBcYJKztjiWz6W_PL3ED3-XjmtrQ" \* MERGEFORMATINET </w:instrText>
      </w:r>
      <w:r w:rsidRPr="00896F06">
        <w:rPr>
          <w:rFonts w:ascii="Arial" w:eastAsia="Times New Roman" w:hAnsi="Arial" w:cs="Arial"/>
          <w:color w:val="000000"/>
          <w:sz w:val="22"/>
          <w:szCs w:val="22"/>
          <w:bdr w:val="none" w:sz="0" w:space="0" w:color="auto" w:frame="1"/>
        </w:rPr>
        <w:fldChar w:fldCharType="separate"/>
      </w:r>
      <w:r w:rsidRPr="00896F06">
        <w:rPr>
          <w:rFonts w:ascii="Arial" w:eastAsia="Times New Roman" w:hAnsi="Arial" w:cs="Arial"/>
          <w:noProof/>
          <w:color w:val="000000"/>
          <w:sz w:val="22"/>
          <w:szCs w:val="22"/>
          <w:bdr w:val="none" w:sz="0" w:space="0" w:color="auto" w:frame="1"/>
        </w:rPr>
        <w:drawing>
          <wp:inline distT="0" distB="0" distL="0" distR="0" wp14:anchorId="045D3FEF" wp14:editId="2C3DEAC5">
            <wp:extent cx="5943600" cy="5603875"/>
            <wp:effectExtent l="0" t="0" r="0" b="0"/>
            <wp:docPr id="1" name="Picture 1" descr="Map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Map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60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96F06">
        <w:rPr>
          <w:rFonts w:ascii="Arial" w:eastAsia="Times New Roman" w:hAnsi="Arial" w:cs="Arial"/>
          <w:color w:val="000000"/>
          <w:sz w:val="22"/>
          <w:szCs w:val="22"/>
          <w:bdr w:val="none" w:sz="0" w:space="0" w:color="auto" w:frame="1"/>
        </w:rPr>
        <w:fldChar w:fldCharType="end"/>
      </w:r>
    </w:p>
    <w:p w14:paraId="34CCF90C" w14:textId="463BBD8F" w:rsidR="00941117" w:rsidRDefault="00941117" w:rsidP="00941117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lastRenderedPageBreak/>
        <w:t>References</w:t>
      </w:r>
    </w:p>
    <w:p w14:paraId="7CE401B8" w14:textId="5222E9D4" w:rsidR="00941117" w:rsidRDefault="00941117" w:rsidP="00941117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</w:rPr>
      </w:pPr>
    </w:p>
    <w:p w14:paraId="207138C4" w14:textId="7877E726" w:rsidR="00941117" w:rsidRDefault="00941117" w:rsidP="00941117">
      <w:pPr>
        <w:pStyle w:val="NormalWeb"/>
        <w:numPr>
          <w:ilvl w:val="0"/>
          <w:numId w:val="1"/>
        </w:numPr>
        <w:spacing w:before="0" w:beforeAutospacing="0" w:after="120" w:afterAutospacing="0"/>
        <w:rPr>
          <w:rFonts w:ascii="Arial" w:hAnsi="Arial" w:cs="Arial"/>
          <w:sz w:val="22"/>
          <w:szCs w:val="22"/>
        </w:rPr>
      </w:pPr>
      <w:r w:rsidRPr="00941117">
        <w:rPr>
          <w:rFonts w:ascii="Arial" w:hAnsi="Arial" w:cs="Arial"/>
          <w:sz w:val="22"/>
          <w:szCs w:val="22"/>
        </w:rPr>
        <w:t xml:space="preserve">Bowen GJ, Wassenaar LI, Hobson KA. Global application of stable hydrogen and oxygen isotopes to wildlife forensics. </w:t>
      </w:r>
      <w:proofErr w:type="spellStart"/>
      <w:r w:rsidRPr="00941117">
        <w:rPr>
          <w:rFonts w:ascii="Arial" w:hAnsi="Arial" w:cs="Arial"/>
          <w:i/>
          <w:iCs/>
          <w:sz w:val="22"/>
          <w:szCs w:val="22"/>
        </w:rPr>
        <w:t>Oecologia</w:t>
      </w:r>
      <w:proofErr w:type="spellEnd"/>
      <w:r w:rsidRPr="00941117">
        <w:rPr>
          <w:rFonts w:ascii="Arial" w:hAnsi="Arial" w:cs="Arial"/>
          <w:sz w:val="22"/>
          <w:szCs w:val="22"/>
        </w:rPr>
        <w:t>. 2005;143(3):337-48.</w:t>
      </w:r>
    </w:p>
    <w:p w14:paraId="054EC16A" w14:textId="2BA5F704" w:rsidR="00941117" w:rsidRDefault="00941117" w:rsidP="00941117">
      <w:pPr>
        <w:pStyle w:val="NormalWeb"/>
        <w:numPr>
          <w:ilvl w:val="0"/>
          <w:numId w:val="1"/>
        </w:numPr>
        <w:spacing w:before="0" w:beforeAutospacing="0" w:after="120" w:afterAutospacing="0"/>
        <w:rPr>
          <w:rFonts w:ascii="Arial" w:hAnsi="Arial" w:cs="Arial"/>
          <w:sz w:val="22"/>
          <w:szCs w:val="22"/>
        </w:rPr>
      </w:pPr>
      <w:r w:rsidRPr="00941117">
        <w:rPr>
          <w:rFonts w:ascii="Arial" w:hAnsi="Arial" w:cs="Arial"/>
          <w:sz w:val="22"/>
          <w:szCs w:val="22"/>
        </w:rPr>
        <w:t xml:space="preserve">Wanamaker SM, Singh D, Byrd AJ, Smiley TM, </w:t>
      </w:r>
      <w:proofErr w:type="spellStart"/>
      <w:r w:rsidRPr="00941117">
        <w:rPr>
          <w:rFonts w:ascii="Arial" w:hAnsi="Arial" w:cs="Arial"/>
          <w:sz w:val="22"/>
          <w:szCs w:val="22"/>
        </w:rPr>
        <w:t>Ketterson</w:t>
      </w:r>
      <w:proofErr w:type="spellEnd"/>
      <w:r w:rsidRPr="00941117">
        <w:rPr>
          <w:rFonts w:ascii="Arial" w:hAnsi="Arial" w:cs="Arial"/>
          <w:sz w:val="22"/>
          <w:szCs w:val="22"/>
        </w:rPr>
        <w:t xml:space="preserve"> ED. Local adaptation from afar: migratory bird populations diverge in the initiation of reproductive timing while wintering in sympatry. </w:t>
      </w:r>
      <w:r w:rsidRPr="00941117">
        <w:rPr>
          <w:rFonts w:ascii="Arial" w:hAnsi="Arial" w:cs="Arial"/>
          <w:i/>
          <w:iCs/>
          <w:sz w:val="22"/>
          <w:szCs w:val="22"/>
        </w:rPr>
        <w:t xml:space="preserve">Biology </w:t>
      </w:r>
      <w:r w:rsidRPr="00941117">
        <w:rPr>
          <w:rFonts w:ascii="Arial" w:hAnsi="Arial" w:cs="Arial"/>
          <w:i/>
          <w:iCs/>
          <w:sz w:val="22"/>
          <w:szCs w:val="22"/>
        </w:rPr>
        <w:t>L</w:t>
      </w:r>
      <w:r w:rsidRPr="00941117">
        <w:rPr>
          <w:rFonts w:ascii="Arial" w:hAnsi="Arial" w:cs="Arial"/>
          <w:i/>
          <w:iCs/>
          <w:sz w:val="22"/>
          <w:szCs w:val="22"/>
        </w:rPr>
        <w:t>etters</w:t>
      </w:r>
      <w:r w:rsidRPr="00941117">
        <w:rPr>
          <w:rFonts w:ascii="Arial" w:hAnsi="Arial" w:cs="Arial"/>
          <w:sz w:val="22"/>
          <w:szCs w:val="22"/>
        </w:rPr>
        <w:t>. 2020;16(10):20200493.</w:t>
      </w:r>
    </w:p>
    <w:p w14:paraId="0FEB000B" w14:textId="66C23559" w:rsidR="00941117" w:rsidRDefault="00941117" w:rsidP="00941117">
      <w:pPr>
        <w:pStyle w:val="NormalWeb"/>
        <w:numPr>
          <w:ilvl w:val="0"/>
          <w:numId w:val="1"/>
        </w:numPr>
        <w:spacing w:before="0" w:beforeAutospacing="0" w:after="120" w:afterAutospacing="0"/>
        <w:rPr>
          <w:rFonts w:ascii="Arial" w:hAnsi="Arial" w:cs="Arial"/>
          <w:sz w:val="22"/>
          <w:szCs w:val="22"/>
        </w:rPr>
      </w:pPr>
      <w:r w:rsidRPr="00941117">
        <w:rPr>
          <w:rFonts w:ascii="Arial" w:hAnsi="Arial" w:cs="Arial"/>
          <w:sz w:val="22"/>
          <w:szCs w:val="22"/>
        </w:rPr>
        <w:t xml:space="preserve">Ma C, Vander </w:t>
      </w:r>
      <w:proofErr w:type="spellStart"/>
      <w:r w:rsidRPr="00941117">
        <w:rPr>
          <w:rFonts w:ascii="Arial" w:hAnsi="Arial" w:cs="Arial"/>
          <w:sz w:val="22"/>
          <w:szCs w:val="22"/>
        </w:rPr>
        <w:t>Zanden</w:t>
      </w:r>
      <w:proofErr w:type="spellEnd"/>
      <w:r w:rsidRPr="00941117">
        <w:rPr>
          <w:rFonts w:ascii="Arial" w:hAnsi="Arial" w:cs="Arial"/>
          <w:sz w:val="22"/>
          <w:szCs w:val="22"/>
        </w:rPr>
        <w:t xml:space="preserve"> HB, </w:t>
      </w:r>
      <w:proofErr w:type="spellStart"/>
      <w:r w:rsidRPr="00941117">
        <w:rPr>
          <w:rFonts w:ascii="Arial" w:hAnsi="Arial" w:cs="Arial"/>
          <w:sz w:val="22"/>
          <w:szCs w:val="22"/>
        </w:rPr>
        <w:t>Wunder</w:t>
      </w:r>
      <w:proofErr w:type="spellEnd"/>
      <w:r w:rsidRPr="00941117">
        <w:rPr>
          <w:rFonts w:ascii="Arial" w:hAnsi="Arial" w:cs="Arial"/>
          <w:sz w:val="22"/>
          <w:szCs w:val="22"/>
        </w:rPr>
        <w:t xml:space="preserve"> MB, Bowen GJ. </w:t>
      </w:r>
      <w:proofErr w:type="spellStart"/>
      <w:r w:rsidRPr="00941117">
        <w:rPr>
          <w:rFonts w:ascii="Arial" w:hAnsi="Arial" w:cs="Arial"/>
          <w:sz w:val="22"/>
          <w:szCs w:val="22"/>
        </w:rPr>
        <w:t>assignR</w:t>
      </w:r>
      <w:proofErr w:type="spellEnd"/>
      <w:r w:rsidRPr="00941117">
        <w:rPr>
          <w:rFonts w:ascii="Arial" w:hAnsi="Arial" w:cs="Arial"/>
          <w:sz w:val="22"/>
          <w:szCs w:val="22"/>
        </w:rPr>
        <w:t xml:space="preserve">: An </w:t>
      </w:r>
      <w:r>
        <w:rPr>
          <w:rFonts w:ascii="Arial" w:hAnsi="Arial" w:cs="Arial"/>
          <w:sz w:val="22"/>
          <w:szCs w:val="22"/>
        </w:rPr>
        <w:t>R</w:t>
      </w:r>
      <w:r w:rsidRPr="00941117">
        <w:rPr>
          <w:rFonts w:ascii="Arial" w:hAnsi="Arial" w:cs="Arial"/>
          <w:sz w:val="22"/>
          <w:szCs w:val="22"/>
        </w:rPr>
        <w:t xml:space="preserve"> package for isotope</w:t>
      </w:r>
      <w:r w:rsidRPr="00941117">
        <w:rPr>
          <w:rFonts w:ascii="Cambria Math" w:hAnsi="Cambria Math" w:cs="Cambria Math"/>
          <w:sz w:val="22"/>
          <w:szCs w:val="22"/>
        </w:rPr>
        <w:t>‐</w:t>
      </w:r>
      <w:r w:rsidRPr="00941117">
        <w:rPr>
          <w:rFonts w:ascii="Arial" w:hAnsi="Arial" w:cs="Arial"/>
          <w:sz w:val="22"/>
          <w:szCs w:val="22"/>
        </w:rPr>
        <w:t xml:space="preserve">based geographic assignment. </w:t>
      </w:r>
      <w:r w:rsidRPr="00941117">
        <w:rPr>
          <w:rFonts w:ascii="Arial" w:hAnsi="Arial" w:cs="Arial"/>
          <w:i/>
          <w:iCs/>
          <w:sz w:val="22"/>
          <w:szCs w:val="22"/>
        </w:rPr>
        <w:t>Methods in Ecology and Evolution</w:t>
      </w:r>
      <w:r w:rsidRPr="00941117">
        <w:rPr>
          <w:rFonts w:ascii="Arial" w:hAnsi="Arial" w:cs="Arial"/>
          <w:sz w:val="22"/>
          <w:szCs w:val="22"/>
        </w:rPr>
        <w:t>. 2020;11(8):996-1001.</w:t>
      </w:r>
    </w:p>
    <w:p w14:paraId="74A6A804" w14:textId="1B7CC3A9" w:rsidR="00941117" w:rsidRPr="00941117" w:rsidRDefault="00941117" w:rsidP="00941117">
      <w:pPr>
        <w:pStyle w:val="NormalWeb"/>
        <w:numPr>
          <w:ilvl w:val="0"/>
          <w:numId w:val="1"/>
        </w:numPr>
        <w:spacing w:before="0" w:beforeAutospacing="0" w:after="120" w:afterAutospacing="0"/>
        <w:rPr>
          <w:rFonts w:ascii="Arial" w:hAnsi="Arial" w:cs="Arial"/>
          <w:sz w:val="22"/>
          <w:szCs w:val="22"/>
        </w:rPr>
      </w:pPr>
      <w:r w:rsidRPr="00941117">
        <w:rPr>
          <w:rFonts w:ascii="Arial" w:hAnsi="Arial" w:cs="Arial"/>
          <w:sz w:val="22"/>
          <w:szCs w:val="22"/>
        </w:rPr>
        <w:t xml:space="preserve">IUCN. 2019 The IUCN red list of threatened species. Version 2019–3. Retrieved from </w:t>
      </w:r>
      <w:hyperlink r:id="rId6" w:history="1">
        <w:r w:rsidRPr="007220D4">
          <w:rPr>
            <w:rStyle w:val="Hyperlink"/>
            <w:rFonts w:ascii="Arial" w:hAnsi="Arial" w:cs="Arial"/>
            <w:sz w:val="22"/>
            <w:szCs w:val="22"/>
          </w:rPr>
          <w:t>http://www.iucnredlist.org</w:t>
        </w:r>
      </w:hyperlink>
      <w:r>
        <w:rPr>
          <w:rFonts w:ascii="Arial" w:hAnsi="Arial" w:cs="Arial"/>
          <w:sz w:val="22"/>
          <w:szCs w:val="22"/>
        </w:rPr>
        <w:t xml:space="preserve"> </w:t>
      </w:r>
    </w:p>
    <w:p w14:paraId="0AF70B3E" w14:textId="77777777" w:rsidR="00941117" w:rsidRPr="00941117" w:rsidRDefault="00941117" w:rsidP="00941117">
      <w:pPr>
        <w:rPr>
          <w:rFonts w:ascii="Arial" w:eastAsia="Times New Roman" w:hAnsi="Arial" w:cs="Arial"/>
          <w:sz w:val="22"/>
          <w:szCs w:val="22"/>
        </w:rPr>
      </w:pPr>
    </w:p>
    <w:p w14:paraId="4C455BA9" w14:textId="42770DB5" w:rsidR="008B4897" w:rsidRPr="00941117" w:rsidRDefault="008B4897">
      <w:pPr>
        <w:rPr>
          <w:rFonts w:ascii="Arial" w:hAnsi="Arial" w:cs="Arial"/>
          <w:sz w:val="22"/>
          <w:szCs w:val="22"/>
        </w:rPr>
      </w:pPr>
    </w:p>
    <w:sectPr w:rsidR="008B4897" w:rsidRPr="0094111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2C77ACB"/>
    <w:multiLevelType w:val="hybridMultilevel"/>
    <w:tmpl w:val="B6CC5480"/>
    <w:lvl w:ilvl="0" w:tplc="9B7ECDD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776223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1117"/>
    <w:rsid w:val="002D5842"/>
    <w:rsid w:val="00896F06"/>
    <w:rsid w:val="008B4897"/>
    <w:rsid w:val="00941117"/>
    <w:rsid w:val="00F645F6"/>
    <w:rsid w:val="00FF40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F8A6CDB"/>
  <w15:chartTrackingRefBased/>
  <w15:docId w15:val="{09473625-02A4-6941-A7E9-7CF922233A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41117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styleId="Hyperlink">
    <w:name w:val="Hyperlink"/>
    <w:basedOn w:val="DefaultParagraphFont"/>
    <w:uiPriority w:val="99"/>
    <w:unhideWhenUsed/>
    <w:rsid w:val="0094111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4111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164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72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iucnredlist.org" TargetMode="External"/><Relationship Id="rId11" Type="http://schemas.openxmlformats.org/officeDocument/2006/relationships/customXml" Target="../customXml/item3.xml"/><Relationship Id="rId5" Type="http://schemas.openxmlformats.org/officeDocument/2006/relationships/image" Target="media/image1.png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55A05CE1B349F488BE6895EE82A2464" ma:contentTypeVersion="15" ma:contentTypeDescription="Create a new document." ma:contentTypeScope="" ma:versionID="d30e30d489793a11303ea9c311f3ad95">
  <xsd:schema xmlns:xsd="http://www.w3.org/2001/XMLSchema" xmlns:xs="http://www.w3.org/2001/XMLSchema" xmlns:p="http://schemas.microsoft.com/office/2006/metadata/properties" xmlns:ns2="1911c11a-dea4-45ce-b142-e5111f8aeebb" xmlns:ns3="0bc51c05-b427-42ac-b002-f874d37c3f4e" targetNamespace="http://schemas.microsoft.com/office/2006/metadata/properties" ma:root="true" ma:fieldsID="dc0ed642f8f37d81d6aa0d3102720191" ns2:_="" ns3:_="">
    <xsd:import namespace="1911c11a-dea4-45ce-b142-e5111f8aeebb"/>
    <xsd:import namespace="0bc51c05-b427-42ac-b002-f874d37c3f4e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11c11a-dea4-45ce-b142-e5111f8aeeb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415abf30-8095-4f1b-972b-b80e13732fe2}" ma:internalName="TaxCatchAll" ma:showField="CatchAllData" ma:web="1911c11a-dea4-45ce-b142-e5111f8aeeb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c51c05-b427-42ac-b002-f874d37c3f4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5a1ab900-2ec0-4401-a445-b65711cd6e0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911c11a-dea4-45ce-b142-e5111f8aeebb" xsi:nil="true"/>
    <lcf76f155ced4ddcb4097134ff3c332f xmlns="0bc51c05-b427-42ac-b002-f874d37c3f4e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00B6C8A-EC05-4855-9429-862C4FC8F9E9}"/>
</file>

<file path=customXml/itemProps2.xml><?xml version="1.0" encoding="utf-8"?>
<ds:datastoreItem xmlns:ds="http://schemas.openxmlformats.org/officeDocument/2006/customXml" ds:itemID="{7FFC29D8-4648-4388-AB51-73ECCAE019D8}"/>
</file>

<file path=customXml/itemProps3.xml><?xml version="1.0" encoding="utf-8"?>
<ds:datastoreItem xmlns:ds="http://schemas.openxmlformats.org/officeDocument/2006/customXml" ds:itemID="{34DEA9B7-6C5F-4193-A3DB-CC32E63934E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341</Words>
  <Characters>1944</Characters>
  <Application>Microsoft Office Word</Application>
  <DocSecurity>0</DocSecurity>
  <Lines>16</Lines>
  <Paragraphs>4</Paragraphs>
  <ScaleCrop>false</ScaleCrop>
  <Company/>
  <LinksUpToDate>false</LinksUpToDate>
  <CharactersWithSpaces>2281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Becker, Daniel</dc:creator>
  <cp:keywords/>
  <dc:description/>
  <cp:lastModifiedBy>Becker, Daniel</cp:lastModifiedBy>
  <cp:revision>4</cp:revision>
  <dcterms:created xsi:type="dcterms:W3CDTF">2022-06-08T20:31:00Z</dcterms:created>
  <dcterms:modified xsi:type="dcterms:W3CDTF">2022-06-08T20:38:00Z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0x010100155A05CE1B349F488BE6895EE82A2464</vt:lpwstr>
  </property>
  <property fmtid="{D5CDD505-2E9C-101B-9397-08002B2CF9AE}" pid="3" name="MediaServiceImageTags">
    <vt:lpwstr/>
  </property>
</Properties>
</file>