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5D861" w14:textId="77777777" w:rsidR="00CA157D" w:rsidRDefault="00AF6C6C">
      <w:pPr>
        <w:pStyle w:val="Heading1"/>
      </w:pPr>
      <w:bookmarkStart w:id="0" w:name="_95edqsmzmze1" w:colFirst="0" w:colLast="0"/>
      <w:bookmarkEnd w:id="0"/>
      <w:r>
        <w:t xml:space="preserve">Table of Contents: </w:t>
      </w:r>
    </w:p>
    <w:p w14:paraId="2285D862" w14:textId="77777777" w:rsidR="00CA157D" w:rsidRPr="000F0DC9" w:rsidRDefault="00AF6C6C" w:rsidP="000F0DC9">
      <w:bookmarkStart w:id="1" w:name="_6ofg2e4v8s7f" w:colFirst="0" w:colLast="0"/>
      <w:bookmarkEnd w:id="1"/>
      <w:r w:rsidRPr="000F0DC9">
        <w:t>S-1: Cover sheet</w:t>
      </w:r>
    </w:p>
    <w:p w14:paraId="2285D863" w14:textId="77777777" w:rsidR="00CA157D" w:rsidRPr="000F0DC9" w:rsidRDefault="00AF6C6C">
      <w:r w:rsidRPr="000F0DC9">
        <w:t>S-2: Supplementary Figure S1. Characterization of the HUVEC full-length transcriptome based on long-read RNA-seq data.</w:t>
      </w:r>
    </w:p>
    <w:p w14:paraId="2285D864" w14:textId="77777777" w:rsidR="00CA157D" w:rsidRPr="000F0DC9" w:rsidRDefault="00AF6C6C" w:rsidP="000F0DC9">
      <w:bookmarkStart w:id="2" w:name="_zhj1162xwtji" w:colFirst="0" w:colLast="0"/>
      <w:bookmarkEnd w:id="2"/>
      <w:r>
        <w:rPr>
          <w:sz w:val="24"/>
          <w:szCs w:val="24"/>
        </w:rPr>
        <w:t xml:space="preserve">S-3: Supplementary Figure S2: Characterization of novel isoform length as defined through long-read </w:t>
      </w:r>
      <w:proofErr w:type="spellStart"/>
      <w:proofErr w:type="gramStart"/>
      <w:r>
        <w:rPr>
          <w:sz w:val="24"/>
          <w:szCs w:val="24"/>
        </w:rPr>
        <w:t>proteogenomics</w:t>
      </w:r>
      <w:proofErr w:type="spellEnd"/>
      <w:proofErr w:type="gramEnd"/>
      <w:r>
        <w:rPr>
          <w:sz w:val="24"/>
          <w:szCs w:val="24"/>
        </w:rPr>
        <w:t xml:space="preserve"> </w:t>
      </w:r>
    </w:p>
    <w:p w14:paraId="2285D865" w14:textId="2C82186A" w:rsidR="00CA157D" w:rsidRPr="000F0DC9" w:rsidRDefault="00AF6C6C" w:rsidP="000F0DC9">
      <w:bookmarkStart w:id="3" w:name="_wbwezucb74g2" w:colFirst="0" w:colLast="0"/>
      <w:bookmarkEnd w:id="3"/>
      <w:r w:rsidRPr="000F0DC9">
        <w:t>S-</w:t>
      </w:r>
      <w:r w:rsidRPr="000F0DC9">
        <w:t>4</w:t>
      </w:r>
      <w:r w:rsidRPr="000F0DC9">
        <w:t>: Supplementary T</w:t>
      </w:r>
      <w:r w:rsidRPr="000F0DC9">
        <w:t>able S1. Manually curated list of endothelial-relevant genes</w:t>
      </w:r>
    </w:p>
    <w:p w14:paraId="2285D866" w14:textId="15EF6EF4" w:rsidR="00CA157D" w:rsidRPr="000F0DC9" w:rsidRDefault="00AF6C6C">
      <w:r w:rsidRPr="000F0DC9">
        <w:t>S-</w:t>
      </w:r>
      <w:r w:rsidRPr="000F0DC9">
        <w:t>5</w:t>
      </w:r>
      <w:r w:rsidRPr="000F0DC9">
        <w:t>: Supplementary Table S2. Information on the major expressed isoform and APPRIS principal annotation for all and endothelial-related genes</w:t>
      </w:r>
    </w:p>
    <w:p w14:paraId="2285D867" w14:textId="77777777" w:rsidR="00CA157D" w:rsidRPr="000F0DC9" w:rsidRDefault="00AF6C6C" w:rsidP="000F0DC9">
      <w:bookmarkStart w:id="4" w:name="_uekww33qlxml" w:colFirst="0" w:colLast="0"/>
      <w:bookmarkEnd w:id="4"/>
      <w:r w:rsidRPr="000F0DC9">
        <w:t>S-6: Supplementary Table S3: Splice factors identifi</w:t>
      </w:r>
      <w:r w:rsidRPr="000F0DC9">
        <w:t xml:space="preserve">ed within </w:t>
      </w:r>
      <w:proofErr w:type="gramStart"/>
      <w:r w:rsidRPr="000F0DC9">
        <w:t>HUVECs</w:t>
      </w:r>
      <w:proofErr w:type="gramEnd"/>
    </w:p>
    <w:p w14:paraId="2285D868" w14:textId="5F55D3A0" w:rsidR="00CA157D" w:rsidRPr="000F0DC9" w:rsidRDefault="00AF6C6C" w:rsidP="000F0DC9">
      <w:bookmarkStart w:id="5" w:name="_hnsjyhdoalrz" w:colFirst="0" w:colLast="0"/>
      <w:bookmarkEnd w:id="5"/>
      <w:r w:rsidRPr="000F0DC9">
        <w:t>S-</w:t>
      </w:r>
      <w:r w:rsidRPr="000F0DC9">
        <w:t>6</w:t>
      </w:r>
      <w:r w:rsidRPr="000F0DC9">
        <w:t>: Supplementary Figure S</w:t>
      </w:r>
      <w:r w:rsidRPr="000F0DC9">
        <w:t>3</w:t>
      </w:r>
      <w:r w:rsidRPr="000F0DC9">
        <w:t>. Derivation of predicted protein isoforms to generate a HUVEC sample-specific database.</w:t>
      </w:r>
    </w:p>
    <w:p w14:paraId="2285D869" w14:textId="7AA47ABC" w:rsidR="00CA157D" w:rsidRPr="000F0DC9" w:rsidRDefault="00AF6C6C" w:rsidP="000F0DC9">
      <w:bookmarkStart w:id="6" w:name="_ci3a9a4r0f0f" w:colFirst="0" w:colLast="0"/>
      <w:bookmarkEnd w:id="6"/>
      <w:r w:rsidRPr="000F0DC9">
        <w:t>S-</w:t>
      </w:r>
      <w:r w:rsidRPr="000F0DC9">
        <w:t>7</w:t>
      </w:r>
      <w:r w:rsidRPr="000F0DC9">
        <w:t xml:space="preserve">: Supplementary Table S4. Databases derived from protein isoform models from the long-read </w:t>
      </w:r>
      <w:proofErr w:type="spellStart"/>
      <w:r w:rsidRPr="000F0DC9">
        <w:t>proteogenomics</w:t>
      </w:r>
      <w:proofErr w:type="spellEnd"/>
      <w:r w:rsidRPr="000F0DC9">
        <w:t xml:space="preserve"> </w:t>
      </w:r>
      <w:proofErr w:type="gramStart"/>
      <w:r w:rsidRPr="000F0DC9">
        <w:t>platform</w:t>
      </w:r>
      <w:proofErr w:type="gramEnd"/>
    </w:p>
    <w:p w14:paraId="2285D86A" w14:textId="130587CB" w:rsidR="00CA157D" w:rsidRPr="000F0DC9" w:rsidRDefault="00AF6C6C" w:rsidP="000F0DC9">
      <w:bookmarkStart w:id="7" w:name="_csu4el2l6zkg" w:colFirst="0" w:colLast="0"/>
      <w:bookmarkEnd w:id="7"/>
      <w:r w:rsidRPr="000F0DC9">
        <w:t>S</w:t>
      </w:r>
      <w:r w:rsidRPr="000F0DC9">
        <w:t>-</w:t>
      </w:r>
      <w:r w:rsidRPr="000F0DC9">
        <w:t>8</w:t>
      </w:r>
      <w:r w:rsidRPr="000F0DC9">
        <w:t xml:space="preserve">: Supplementary Table S5. </w:t>
      </w:r>
      <w:proofErr w:type="spellStart"/>
      <w:r w:rsidRPr="000F0DC9">
        <w:t>MetaMorpheus</w:t>
      </w:r>
      <w:proofErr w:type="spellEnd"/>
      <w:r w:rsidRPr="000F0DC9">
        <w:t xml:space="preserve"> MS search parameters</w:t>
      </w:r>
    </w:p>
    <w:p w14:paraId="2285D86B" w14:textId="1F2789B0" w:rsidR="00CA157D" w:rsidRPr="000F0DC9" w:rsidRDefault="00AF6C6C" w:rsidP="000F0DC9">
      <w:bookmarkStart w:id="8" w:name="_de5kfmr8g91c" w:colFirst="0" w:colLast="0"/>
      <w:bookmarkEnd w:id="8"/>
      <w:r w:rsidRPr="000F0DC9">
        <w:t>S-</w:t>
      </w:r>
      <w:r w:rsidRPr="000F0DC9">
        <w:t>9</w:t>
      </w:r>
      <w:r w:rsidRPr="000F0DC9">
        <w:t>: Supplementary Figure S</w:t>
      </w:r>
      <w:r w:rsidRPr="000F0DC9">
        <w:t>4</w:t>
      </w:r>
      <w:r w:rsidRPr="000F0DC9">
        <w:t xml:space="preserve">. Basic pH HPLC fractions for the HUVEC MS data collection. </w:t>
      </w:r>
    </w:p>
    <w:p w14:paraId="2285D86C" w14:textId="26EAB728" w:rsidR="00CA157D" w:rsidRPr="000F0DC9" w:rsidRDefault="00AF6C6C" w:rsidP="000F0DC9">
      <w:bookmarkStart w:id="9" w:name="_r5mbtwygl2h7" w:colFirst="0" w:colLast="0"/>
      <w:bookmarkEnd w:id="9"/>
      <w:r w:rsidRPr="000F0DC9">
        <w:t>S-</w:t>
      </w:r>
      <w:r w:rsidRPr="000F0DC9">
        <w:t>10</w:t>
      </w:r>
      <w:r w:rsidRPr="000F0DC9">
        <w:t>: Supplementary Figure S</w:t>
      </w:r>
      <w:r w:rsidRPr="000F0DC9">
        <w:t>5</w:t>
      </w:r>
      <w:r w:rsidRPr="000F0DC9">
        <w:t xml:space="preserve">. Comparison of proteomic coverage when using the HUVEC </w:t>
      </w:r>
      <w:proofErr w:type="gramStart"/>
      <w:r w:rsidRPr="000F0DC9">
        <w:t>sample-specific</w:t>
      </w:r>
      <w:proofErr w:type="gramEnd"/>
      <w:r w:rsidRPr="000F0DC9">
        <w:t xml:space="preserve"> versus </w:t>
      </w:r>
      <w:proofErr w:type="spellStart"/>
      <w:r w:rsidRPr="000F0DC9">
        <w:t>UniProt</w:t>
      </w:r>
      <w:proofErr w:type="spellEnd"/>
      <w:r w:rsidRPr="000F0DC9">
        <w:t xml:space="preserve"> protein databases for MS searching.</w:t>
      </w:r>
    </w:p>
    <w:p w14:paraId="2285D86D" w14:textId="1D17B8CF" w:rsidR="00CA157D" w:rsidRPr="000F0DC9" w:rsidRDefault="00AF6C6C" w:rsidP="000F0DC9">
      <w:bookmarkStart w:id="10" w:name="_g0mtu1ltjp0" w:colFirst="0" w:colLast="0"/>
      <w:bookmarkEnd w:id="10"/>
      <w:r w:rsidRPr="000F0DC9">
        <w:t>S-1</w:t>
      </w:r>
      <w:r w:rsidRPr="000F0DC9">
        <w:t>1</w:t>
      </w:r>
      <w:r w:rsidRPr="000F0DC9">
        <w:t xml:space="preserve"> Supplementary Figure S</w:t>
      </w:r>
      <w:r w:rsidRPr="000F0DC9">
        <w:t>6</w:t>
      </w:r>
      <w:r w:rsidRPr="000F0DC9">
        <w:t xml:space="preserve">. </w:t>
      </w:r>
      <w:proofErr w:type="spellStart"/>
      <w:r w:rsidRPr="000F0DC9">
        <w:t>Plectin</w:t>
      </w:r>
      <w:proofErr w:type="spellEnd"/>
      <w:r w:rsidRPr="000F0DC9">
        <w:t xml:space="preserve"> (PLEC) gene evidenced by seven unique isoforms. </w:t>
      </w:r>
    </w:p>
    <w:p w14:paraId="2285D86E" w14:textId="19CA4EC8" w:rsidR="00CA157D" w:rsidRPr="000F0DC9" w:rsidRDefault="00AF6C6C" w:rsidP="000F0DC9">
      <w:bookmarkStart w:id="11" w:name="_s3nnuvn4jpe3" w:colFirst="0" w:colLast="0"/>
      <w:bookmarkEnd w:id="11"/>
      <w:r w:rsidRPr="000F0DC9">
        <w:t>S-1</w:t>
      </w:r>
      <w:r w:rsidRPr="000F0DC9">
        <w:t>2</w:t>
      </w:r>
      <w:r w:rsidRPr="000F0DC9">
        <w:t>: Supplementary Table S</w:t>
      </w:r>
      <w:r w:rsidRPr="000F0DC9">
        <w:t>6</w:t>
      </w:r>
      <w:r w:rsidRPr="000F0DC9">
        <w:t>: Protein isoforms informed by shared and uniquely mapping peptide identifications.</w:t>
      </w:r>
    </w:p>
    <w:p w14:paraId="2285D86F" w14:textId="1DB29693" w:rsidR="00CA157D" w:rsidRPr="000F0DC9" w:rsidRDefault="00AF6C6C" w:rsidP="000F0DC9">
      <w:bookmarkStart w:id="12" w:name="_725pknqz90hh" w:colFirst="0" w:colLast="0"/>
      <w:bookmarkEnd w:id="12"/>
      <w:r w:rsidRPr="000F0DC9">
        <w:t>S-1</w:t>
      </w:r>
      <w:r w:rsidRPr="000F0DC9">
        <w:t>3</w:t>
      </w:r>
      <w:r w:rsidRPr="000F0DC9">
        <w:t>: Supplementary Table S</w:t>
      </w:r>
      <w:r w:rsidRPr="000F0DC9">
        <w:t>7</w:t>
      </w:r>
      <w:r w:rsidRPr="000F0DC9">
        <w:t xml:space="preserve">: Annotation of novel peptides detected from the sample-specific </w:t>
      </w:r>
      <w:proofErr w:type="gramStart"/>
      <w:r w:rsidRPr="000F0DC9">
        <w:t>database</w:t>
      </w:r>
      <w:proofErr w:type="gramEnd"/>
      <w:r w:rsidRPr="000F0DC9">
        <w:t xml:space="preserve"> </w:t>
      </w:r>
    </w:p>
    <w:p w14:paraId="2285D870" w14:textId="77777777" w:rsidR="00CA157D" w:rsidRDefault="00CA157D"/>
    <w:p w14:paraId="2285D871" w14:textId="77777777" w:rsidR="00CA157D" w:rsidRDefault="00CA157D"/>
    <w:p w14:paraId="2285D872" w14:textId="77777777" w:rsidR="00CA157D" w:rsidRDefault="00AF6C6C">
      <w:pPr>
        <w:jc w:val="center"/>
      </w:pPr>
      <w:r>
        <w:rPr>
          <w:noProof/>
        </w:rPr>
        <w:lastRenderedPageBreak/>
        <w:drawing>
          <wp:inline distT="114300" distB="114300" distL="114300" distR="114300" wp14:anchorId="2285D8D6" wp14:editId="2285D8D7">
            <wp:extent cx="4895850" cy="3340100"/>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r="17628"/>
                    <a:stretch>
                      <a:fillRect/>
                    </a:stretch>
                  </pic:blipFill>
                  <pic:spPr>
                    <a:xfrm>
                      <a:off x="0" y="0"/>
                      <a:ext cx="4895850" cy="3340100"/>
                    </a:xfrm>
                    <a:prstGeom prst="rect">
                      <a:avLst/>
                    </a:prstGeom>
                    <a:ln/>
                  </pic:spPr>
                </pic:pic>
              </a:graphicData>
            </a:graphic>
          </wp:inline>
        </w:drawing>
      </w:r>
    </w:p>
    <w:p w14:paraId="2285D873" w14:textId="77777777" w:rsidR="00CA157D" w:rsidRDefault="00CA157D"/>
    <w:p w14:paraId="2285D874" w14:textId="4F4A9EEE" w:rsidR="00CA157D" w:rsidRDefault="00AF6C6C">
      <w:pPr>
        <w:widowControl w:val="0"/>
        <w:spacing w:line="480" w:lineRule="auto"/>
        <w:rPr>
          <w:sz w:val="18"/>
          <w:szCs w:val="18"/>
        </w:rPr>
      </w:pPr>
      <w:r>
        <w:rPr>
          <w:b/>
          <w:sz w:val="18"/>
          <w:szCs w:val="18"/>
        </w:rPr>
        <w:t>Figure S1.</w:t>
      </w:r>
      <w:r>
        <w:rPr>
          <w:sz w:val="18"/>
          <w:szCs w:val="18"/>
        </w:rPr>
        <w:t xml:space="preserve"> Characterization of the HUVEC full-length transcrip</w:t>
      </w:r>
      <w:r>
        <w:rPr>
          <w:sz w:val="18"/>
          <w:szCs w:val="18"/>
        </w:rPr>
        <w:t>tome based on long-read RNA-seq data.</w:t>
      </w:r>
      <w:r>
        <w:rPr>
          <w:b/>
          <w:sz w:val="18"/>
          <w:szCs w:val="18"/>
        </w:rPr>
        <w:t xml:space="preserve"> </w:t>
      </w:r>
      <w:r>
        <w:rPr>
          <w:sz w:val="18"/>
          <w:szCs w:val="18"/>
        </w:rPr>
        <w:t>A</w:t>
      </w:r>
      <w:r>
        <w:rPr>
          <w:b/>
          <w:sz w:val="18"/>
          <w:szCs w:val="18"/>
        </w:rPr>
        <w:t xml:space="preserve">) </w:t>
      </w:r>
      <w:r>
        <w:rPr>
          <w:sz w:val="18"/>
          <w:szCs w:val="18"/>
        </w:rPr>
        <w:t xml:space="preserve">Distribution of transcript isoform length B) Distribution of the transcript abundance (counts per million, </w:t>
      </w:r>
      <w:proofErr w:type="gramStart"/>
      <w:r>
        <w:rPr>
          <w:sz w:val="18"/>
          <w:szCs w:val="18"/>
        </w:rPr>
        <w:t>CPM)  B</w:t>
      </w:r>
      <w:proofErr w:type="gramEnd"/>
      <w:r>
        <w:rPr>
          <w:sz w:val="18"/>
          <w:szCs w:val="18"/>
        </w:rPr>
        <w:t>) Distribution of all transcripts identified from the Iso-Seq pipeline with abundance greater than on</w:t>
      </w:r>
      <w:r>
        <w:rPr>
          <w:sz w:val="18"/>
          <w:szCs w:val="18"/>
        </w:rPr>
        <w:t>e CPM.</w:t>
      </w:r>
      <w:r>
        <w:rPr>
          <w:b/>
          <w:sz w:val="18"/>
          <w:szCs w:val="18"/>
        </w:rPr>
        <w:t xml:space="preserve"> </w:t>
      </w:r>
      <w:r>
        <w:rPr>
          <w:sz w:val="18"/>
          <w:szCs w:val="18"/>
        </w:rPr>
        <w:t>C) Distribution of the abundances for</w:t>
      </w:r>
      <w:r>
        <w:rPr>
          <w:sz w:val="18"/>
          <w:szCs w:val="18"/>
        </w:rPr>
        <w:t xml:space="preserve"> the most highly expressed isoform for each gene, i.e., the major isoform. D)</w:t>
      </w:r>
      <w:r>
        <w:rPr>
          <w:b/>
          <w:sz w:val="18"/>
          <w:szCs w:val="18"/>
        </w:rPr>
        <w:t xml:space="preserve"> </w:t>
      </w:r>
      <w:r>
        <w:rPr>
          <w:sz w:val="18"/>
          <w:szCs w:val="18"/>
        </w:rPr>
        <w:t>Distribution of the abundances of the minor isoforms reported for all transcripts with CPM&gt;1.</w:t>
      </w:r>
    </w:p>
    <w:p w14:paraId="2285D875" w14:textId="77777777" w:rsidR="00CA157D" w:rsidRDefault="00CA157D">
      <w:pPr>
        <w:rPr>
          <w:sz w:val="18"/>
          <w:szCs w:val="18"/>
        </w:rPr>
      </w:pPr>
    </w:p>
    <w:p w14:paraId="2285D876" w14:textId="77777777" w:rsidR="00CA157D" w:rsidRDefault="00CA157D">
      <w:pPr>
        <w:rPr>
          <w:sz w:val="18"/>
          <w:szCs w:val="18"/>
        </w:rPr>
      </w:pPr>
    </w:p>
    <w:p w14:paraId="2285D877" w14:textId="77777777" w:rsidR="00CA157D" w:rsidRDefault="00CA157D"/>
    <w:p w14:paraId="2285D879" w14:textId="77777777" w:rsidR="00CA157D" w:rsidRDefault="00AF6C6C">
      <w:r>
        <w:rPr>
          <w:noProof/>
        </w:rPr>
        <w:lastRenderedPageBreak/>
        <w:drawing>
          <wp:inline distT="114300" distB="114300" distL="114300" distR="114300" wp14:anchorId="2285D8D8" wp14:editId="2285D8D9">
            <wp:extent cx="5943600" cy="4292600"/>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5"/>
                    <a:srcRect/>
                    <a:stretch>
                      <a:fillRect/>
                    </a:stretch>
                  </pic:blipFill>
                  <pic:spPr>
                    <a:xfrm>
                      <a:off x="0" y="0"/>
                      <a:ext cx="5943600" cy="4292600"/>
                    </a:xfrm>
                    <a:prstGeom prst="rect">
                      <a:avLst/>
                    </a:prstGeom>
                    <a:ln/>
                  </pic:spPr>
                </pic:pic>
              </a:graphicData>
            </a:graphic>
          </wp:inline>
        </w:drawing>
      </w:r>
    </w:p>
    <w:p w14:paraId="2285D87A" w14:textId="77777777" w:rsidR="00CA157D" w:rsidRDefault="00CA157D"/>
    <w:p w14:paraId="2285D87B" w14:textId="77777777" w:rsidR="00CA157D" w:rsidRDefault="00AF6C6C">
      <w:pPr>
        <w:spacing w:line="480" w:lineRule="auto"/>
      </w:pPr>
      <w:r>
        <w:t xml:space="preserve">Figure S2. Characterization of </w:t>
      </w:r>
      <w:r>
        <w:t xml:space="preserve">novel isoform length as identified through </w:t>
      </w:r>
      <w:proofErr w:type="gramStart"/>
      <w:r>
        <w:t>long-read</w:t>
      </w:r>
      <w:proofErr w:type="gramEnd"/>
      <w:r>
        <w:t xml:space="preserve"> </w:t>
      </w:r>
      <w:proofErr w:type="spellStart"/>
      <w:r>
        <w:t>proteogenomics</w:t>
      </w:r>
      <w:proofErr w:type="spellEnd"/>
      <w:r>
        <w:t xml:space="preserve"> (A) Overall length in amino acids of the principal isoforms as defined by APPRIS (B) Overall length in amino acids of the major isoforms as defined within HUVECs (C) Comparison of the leng</w:t>
      </w:r>
      <w:r>
        <w:t>th in amino acids of identified novel isoforms (novel in catalog (NIC) and novel not in catalog (NNC)) against the APPRIS reference isoform. (D) Comparison of the length in amino acids of identified novel isoforms (novel in catalog (NIC) and novel not in c</w:t>
      </w:r>
      <w:r>
        <w:t xml:space="preserve">atalog (NNC) against the “major isoform” reference isoform as identified within HUVECs. </w:t>
      </w:r>
    </w:p>
    <w:p w14:paraId="2285D87C" w14:textId="77777777" w:rsidR="00CA157D" w:rsidRDefault="00CA157D"/>
    <w:p w14:paraId="2285D87D" w14:textId="77777777" w:rsidR="00CA157D" w:rsidRDefault="00CA157D"/>
    <w:p w14:paraId="2285D87E" w14:textId="77777777" w:rsidR="00CA157D" w:rsidRDefault="00CA157D"/>
    <w:p w14:paraId="2285D87F" w14:textId="77777777" w:rsidR="00CA157D" w:rsidRDefault="00CA157D"/>
    <w:p w14:paraId="2285D880" w14:textId="77777777" w:rsidR="00CA157D" w:rsidRDefault="00CA157D"/>
    <w:p w14:paraId="2285D881" w14:textId="77777777" w:rsidR="00CA157D" w:rsidRDefault="00CA157D"/>
    <w:p w14:paraId="2285D882" w14:textId="77777777" w:rsidR="00CA157D" w:rsidRDefault="00CA157D"/>
    <w:p w14:paraId="2285D883" w14:textId="77777777" w:rsidR="00CA157D" w:rsidRDefault="00CA157D"/>
    <w:p w14:paraId="2285D884" w14:textId="77777777" w:rsidR="00CA157D" w:rsidRDefault="00CA157D"/>
    <w:p w14:paraId="2285D885" w14:textId="77777777" w:rsidR="00CA157D" w:rsidRDefault="00CA157D"/>
    <w:p w14:paraId="2285D886" w14:textId="77777777" w:rsidR="00CA157D" w:rsidRDefault="00CA157D"/>
    <w:p w14:paraId="2285D887" w14:textId="77777777" w:rsidR="00CA157D" w:rsidRDefault="00AF6C6C">
      <w:pPr>
        <w:jc w:val="center"/>
      </w:pPr>
      <w:r>
        <w:rPr>
          <w:noProof/>
        </w:rPr>
        <w:drawing>
          <wp:inline distT="114300" distB="114300" distL="114300" distR="114300" wp14:anchorId="2285D8DA" wp14:editId="2285D8DB">
            <wp:extent cx="5162550" cy="30226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r="13141" b="9686"/>
                    <a:stretch>
                      <a:fillRect/>
                    </a:stretch>
                  </pic:blipFill>
                  <pic:spPr>
                    <a:xfrm>
                      <a:off x="0" y="0"/>
                      <a:ext cx="5162550" cy="3022600"/>
                    </a:xfrm>
                    <a:prstGeom prst="rect">
                      <a:avLst/>
                    </a:prstGeom>
                    <a:ln/>
                  </pic:spPr>
                </pic:pic>
              </a:graphicData>
            </a:graphic>
          </wp:inline>
        </w:drawing>
      </w:r>
    </w:p>
    <w:p w14:paraId="2285D888" w14:textId="77777777" w:rsidR="00CA157D" w:rsidRDefault="00CA157D"/>
    <w:p w14:paraId="2285D889" w14:textId="4CD90EDB" w:rsidR="00CA157D" w:rsidRDefault="00AF6C6C">
      <w:pPr>
        <w:widowControl w:val="0"/>
        <w:spacing w:line="480" w:lineRule="auto"/>
        <w:rPr>
          <w:sz w:val="16"/>
          <w:szCs w:val="16"/>
        </w:rPr>
      </w:pPr>
      <w:r>
        <w:rPr>
          <w:b/>
          <w:sz w:val="18"/>
          <w:szCs w:val="18"/>
        </w:rPr>
        <w:t>Figure S</w:t>
      </w:r>
      <w:r>
        <w:rPr>
          <w:b/>
          <w:sz w:val="18"/>
          <w:szCs w:val="18"/>
        </w:rPr>
        <w:t>3</w:t>
      </w:r>
      <w:r>
        <w:rPr>
          <w:b/>
          <w:sz w:val="18"/>
          <w:szCs w:val="18"/>
        </w:rPr>
        <w:t>.</w:t>
      </w:r>
      <w:r>
        <w:rPr>
          <w:sz w:val="18"/>
          <w:szCs w:val="18"/>
        </w:rPr>
        <w:t xml:space="preserve"> Derivation of predicted protein isoforms to generate a HUVEC sample-specific </w:t>
      </w:r>
      <w:proofErr w:type="gramStart"/>
      <w:r>
        <w:rPr>
          <w:sz w:val="18"/>
          <w:szCs w:val="18"/>
        </w:rPr>
        <w:t>database.</w:t>
      </w:r>
      <w:r>
        <w:rPr>
          <w:sz w:val="18"/>
          <w:szCs w:val="18"/>
        </w:rPr>
        <w:t>(</w:t>
      </w:r>
      <w:proofErr w:type="gramEnd"/>
      <w:r>
        <w:rPr>
          <w:sz w:val="18"/>
          <w:szCs w:val="18"/>
        </w:rPr>
        <w:t>A) Schematic of protein database generation from long-read RNA-seq data. (B) Schematic of SQANTI Protein classification (C) Bar chart indicating the frequency of diff</w:t>
      </w:r>
      <w:r>
        <w:rPr>
          <w:sz w:val="18"/>
          <w:szCs w:val="18"/>
        </w:rPr>
        <w:t xml:space="preserve">erent protein isoforms based on novelty category. </w:t>
      </w:r>
    </w:p>
    <w:p w14:paraId="2285D88A" w14:textId="77777777" w:rsidR="00CA157D" w:rsidRDefault="00CA157D">
      <w:pPr>
        <w:spacing w:line="480" w:lineRule="auto"/>
      </w:pPr>
    </w:p>
    <w:p w14:paraId="2285D88B" w14:textId="77777777" w:rsidR="00CA157D" w:rsidRDefault="00CA157D"/>
    <w:p w14:paraId="2285D88C" w14:textId="77777777" w:rsidR="00CA157D" w:rsidRDefault="00CA157D">
      <w:pPr>
        <w:pStyle w:val="Heading2"/>
      </w:pPr>
      <w:bookmarkStart w:id="13" w:name="_4wselk1ulss5" w:colFirst="0" w:colLast="0"/>
      <w:bookmarkEnd w:id="13"/>
    </w:p>
    <w:p w14:paraId="2285D88D" w14:textId="77777777" w:rsidR="00CA157D" w:rsidRDefault="00CA157D"/>
    <w:p w14:paraId="2285D88E" w14:textId="77777777" w:rsidR="00CA157D" w:rsidRDefault="00CA157D"/>
    <w:p w14:paraId="2285D88F" w14:textId="77777777" w:rsidR="00CA157D" w:rsidRDefault="00CA157D"/>
    <w:p w14:paraId="2285D890" w14:textId="77777777" w:rsidR="00CA157D" w:rsidRDefault="00CA157D"/>
    <w:p w14:paraId="2285D891" w14:textId="77777777" w:rsidR="00CA157D" w:rsidRDefault="00CA157D"/>
    <w:p w14:paraId="2285D892" w14:textId="77777777" w:rsidR="00CA157D" w:rsidRDefault="00AF6C6C">
      <w:r>
        <w:br w:type="page"/>
      </w:r>
    </w:p>
    <w:p w14:paraId="2285D893" w14:textId="77777777" w:rsidR="00CA157D" w:rsidRDefault="00AF6C6C">
      <w:pPr>
        <w:jc w:val="center"/>
      </w:pPr>
      <w:r>
        <w:rPr>
          <w:noProof/>
        </w:rPr>
        <w:lastRenderedPageBreak/>
        <w:drawing>
          <wp:inline distT="114300" distB="114300" distL="114300" distR="114300" wp14:anchorId="2285D8DC" wp14:editId="2285D8DD">
            <wp:extent cx="4667250" cy="2499313"/>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l="13141" t="11553" r="8333" b="13787"/>
                    <a:stretch>
                      <a:fillRect/>
                    </a:stretch>
                  </pic:blipFill>
                  <pic:spPr>
                    <a:xfrm>
                      <a:off x="0" y="0"/>
                      <a:ext cx="4667250" cy="2499313"/>
                    </a:xfrm>
                    <a:prstGeom prst="rect">
                      <a:avLst/>
                    </a:prstGeom>
                    <a:ln/>
                  </pic:spPr>
                </pic:pic>
              </a:graphicData>
            </a:graphic>
          </wp:inline>
        </w:drawing>
      </w:r>
    </w:p>
    <w:p w14:paraId="2285D894" w14:textId="77777777" w:rsidR="00CA157D" w:rsidRDefault="00CA157D"/>
    <w:p w14:paraId="2285D895" w14:textId="3E1BC9B7" w:rsidR="00CA157D" w:rsidRDefault="00AF6C6C">
      <w:pPr>
        <w:widowControl w:val="0"/>
        <w:spacing w:line="480" w:lineRule="auto"/>
        <w:rPr>
          <w:sz w:val="18"/>
          <w:szCs w:val="18"/>
        </w:rPr>
      </w:pPr>
      <w:r>
        <w:rPr>
          <w:b/>
          <w:sz w:val="18"/>
          <w:szCs w:val="18"/>
        </w:rPr>
        <w:t>Figure S</w:t>
      </w:r>
      <w:r>
        <w:rPr>
          <w:b/>
          <w:sz w:val="18"/>
          <w:szCs w:val="18"/>
        </w:rPr>
        <w:t>4</w:t>
      </w:r>
      <w:r>
        <w:rPr>
          <w:b/>
          <w:sz w:val="18"/>
          <w:szCs w:val="18"/>
        </w:rPr>
        <w:t>.</w:t>
      </w:r>
      <w:r>
        <w:rPr>
          <w:sz w:val="18"/>
          <w:szCs w:val="18"/>
        </w:rPr>
        <w:t xml:space="preserve"> Basic pH HPLC fractions for the HUVEC MS data collection</w:t>
      </w:r>
      <w:proofErr w:type="gramStart"/>
      <w:r>
        <w:rPr>
          <w:sz w:val="18"/>
          <w:szCs w:val="18"/>
        </w:rPr>
        <w:t>. .</w:t>
      </w:r>
      <w:proofErr w:type="gramEnd"/>
      <w:r>
        <w:rPr>
          <w:sz w:val="18"/>
          <w:szCs w:val="18"/>
        </w:rPr>
        <w:t xml:space="preserve"> (A) UV trace of peptide elution from offline fractionation (range of fractions shown with dashed lines). (B) Total ion (</w:t>
      </w:r>
      <w:r>
        <w:rPr>
          <w:sz w:val="18"/>
          <w:szCs w:val="18"/>
        </w:rPr>
        <w:t>black) and base peak (red) chromatograms from LC-MS analysis of peptides from representative fractions 7 and 17. Basic High Performance Liquid Chromatography (</w:t>
      </w:r>
      <w:proofErr w:type="spellStart"/>
      <w:r>
        <w:rPr>
          <w:sz w:val="18"/>
          <w:szCs w:val="18"/>
        </w:rPr>
        <w:t>bHPLC</w:t>
      </w:r>
      <w:proofErr w:type="spellEnd"/>
      <w:r>
        <w:rPr>
          <w:sz w:val="18"/>
          <w:szCs w:val="18"/>
        </w:rPr>
        <w:t>), Extracted ion chromatogram (XIC</w:t>
      </w:r>
      <w:proofErr w:type="gramStart"/>
      <w:r>
        <w:rPr>
          <w:sz w:val="18"/>
          <w:szCs w:val="18"/>
        </w:rPr>
        <w:t>),  Nanoscale</w:t>
      </w:r>
      <w:proofErr w:type="gramEnd"/>
      <w:r>
        <w:rPr>
          <w:sz w:val="18"/>
          <w:szCs w:val="18"/>
        </w:rPr>
        <w:t xml:space="preserve"> liquid chromatography coupled to tandem mass</w:t>
      </w:r>
      <w:r>
        <w:rPr>
          <w:sz w:val="18"/>
          <w:szCs w:val="18"/>
        </w:rPr>
        <w:t xml:space="preserve"> spectrometry (nano LC–MS/MS), milli-Absorbance Units (</w:t>
      </w:r>
      <w:proofErr w:type="spellStart"/>
      <w:r>
        <w:rPr>
          <w:sz w:val="18"/>
          <w:szCs w:val="18"/>
        </w:rPr>
        <w:t>mAU</w:t>
      </w:r>
      <w:proofErr w:type="spellEnd"/>
      <w:r>
        <w:rPr>
          <w:sz w:val="18"/>
          <w:szCs w:val="18"/>
        </w:rPr>
        <w:t xml:space="preserve">). </w:t>
      </w:r>
    </w:p>
    <w:p w14:paraId="2285D896" w14:textId="77777777" w:rsidR="00CA157D" w:rsidRDefault="00CA157D">
      <w:pPr>
        <w:widowControl w:val="0"/>
        <w:spacing w:line="480" w:lineRule="auto"/>
        <w:rPr>
          <w:b/>
          <w:sz w:val="24"/>
          <w:szCs w:val="24"/>
        </w:rPr>
      </w:pPr>
    </w:p>
    <w:p w14:paraId="2285D897" w14:textId="77777777" w:rsidR="00CA157D" w:rsidRDefault="00CA157D"/>
    <w:p w14:paraId="2285D898" w14:textId="77777777" w:rsidR="00CA157D" w:rsidRDefault="00CA157D"/>
    <w:p w14:paraId="2285D899" w14:textId="77777777" w:rsidR="00CA157D" w:rsidRDefault="00CA157D"/>
    <w:p w14:paraId="2285D89A" w14:textId="77777777" w:rsidR="00CA157D" w:rsidRDefault="00CA157D"/>
    <w:p w14:paraId="2285D89B" w14:textId="77777777" w:rsidR="00CA157D" w:rsidRDefault="00CA157D"/>
    <w:p w14:paraId="2285D89C" w14:textId="77777777" w:rsidR="00CA157D" w:rsidRDefault="00CA157D"/>
    <w:p w14:paraId="2285D89D" w14:textId="77777777" w:rsidR="00CA157D" w:rsidRDefault="00CA157D"/>
    <w:p w14:paraId="2285D89E" w14:textId="77777777" w:rsidR="00CA157D" w:rsidRDefault="00CA157D"/>
    <w:p w14:paraId="2285D89F" w14:textId="77777777" w:rsidR="00CA157D" w:rsidRDefault="00AF6C6C">
      <w:r>
        <w:br w:type="page"/>
      </w:r>
    </w:p>
    <w:p w14:paraId="2285D8A0" w14:textId="77777777" w:rsidR="00CA157D" w:rsidRDefault="00AF6C6C">
      <w:pPr>
        <w:jc w:val="center"/>
      </w:pPr>
      <w:r>
        <w:rPr>
          <w:noProof/>
        </w:rPr>
        <w:lastRenderedPageBreak/>
        <w:drawing>
          <wp:inline distT="114300" distB="114300" distL="114300" distR="114300" wp14:anchorId="2285D8DE" wp14:editId="2285D8DF">
            <wp:extent cx="5838825" cy="324802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l="160" r="1602" b="2849"/>
                    <a:stretch>
                      <a:fillRect/>
                    </a:stretch>
                  </pic:blipFill>
                  <pic:spPr>
                    <a:xfrm>
                      <a:off x="0" y="0"/>
                      <a:ext cx="5838825" cy="3248025"/>
                    </a:xfrm>
                    <a:prstGeom prst="rect">
                      <a:avLst/>
                    </a:prstGeom>
                    <a:ln/>
                  </pic:spPr>
                </pic:pic>
              </a:graphicData>
            </a:graphic>
          </wp:inline>
        </w:drawing>
      </w:r>
    </w:p>
    <w:p w14:paraId="2285D8A1" w14:textId="77777777" w:rsidR="00CA157D" w:rsidRDefault="00CA157D">
      <w:pPr>
        <w:pStyle w:val="Heading2"/>
      </w:pPr>
      <w:bookmarkStart w:id="14" w:name="_imy9zj37n18b" w:colFirst="0" w:colLast="0"/>
      <w:bookmarkEnd w:id="14"/>
    </w:p>
    <w:p w14:paraId="2285D8A2" w14:textId="4B16495F" w:rsidR="00CA157D" w:rsidRDefault="00AF6C6C">
      <w:pPr>
        <w:widowControl w:val="0"/>
        <w:spacing w:line="480" w:lineRule="auto"/>
        <w:rPr>
          <w:sz w:val="18"/>
          <w:szCs w:val="18"/>
        </w:rPr>
      </w:pPr>
      <w:r>
        <w:rPr>
          <w:b/>
          <w:sz w:val="18"/>
          <w:szCs w:val="18"/>
        </w:rPr>
        <w:t>Figure S</w:t>
      </w:r>
      <w:r>
        <w:rPr>
          <w:b/>
          <w:sz w:val="18"/>
          <w:szCs w:val="18"/>
        </w:rPr>
        <w:t>5</w:t>
      </w:r>
      <w:r>
        <w:rPr>
          <w:b/>
          <w:sz w:val="18"/>
          <w:szCs w:val="18"/>
        </w:rPr>
        <w:t>.</w:t>
      </w:r>
      <w:r>
        <w:rPr>
          <w:sz w:val="18"/>
          <w:szCs w:val="18"/>
        </w:rPr>
        <w:t xml:space="preserve"> Comparison of proteomic coverage when using the HUVEC </w:t>
      </w:r>
      <w:proofErr w:type="gramStart"/>
      <w:r>
        <w:rPr>
          <w:sz w:val="18"/>
          <w:szCs w:val="18"/>
        </w:rPr>
        <w:t>sample-specific</w:t>
      </w:r>
      <w:proofErr w:type="gramEnd"/>
      <w:r>
        <w:rPr>
          <w:sz w:val="18"/>
          <w:szCs w:val="18"/>
        </w:rPr>
        <w:t xml:space="preserve"> versus </w:t>
      </w:r>
      <w:proofErr w:type="spellStart"/>
      <w:r>
        <w:rPr>
          <w:sz w:val="18"/>
          <w:szCs w:val="18"/>
        </w:rPr>
        <w:t>UniProt</w:t>
      </w:r>
      <w:proofErr w:type="spellEnd"/>
      <w:r>
        <w:rPr>
          <w:sz w:val="18"/>
          <w:szCs w:val="18"/>
        </w:rPr>
        <w:t xml:space="preserve"> protein databases for MS searching.</w:t>
      </w:r>
    </w:p>
    <w:p w14:paraId="2285D8A3" w14:textId="77777777" w:rsidR="00CA157D" w:rsidRDefault="00CA157D">
      <w:pPr>
        <w:widowControl w:val="0"/>
        <w:spacing w:line="480" w:lineRule="auto"/>
        <w:rPr>
          <w:sz w:val="18"/>
          <w:szCs w:val="18"/>
        </w:rPr>
      </w:pPr>
    </w:p>
    <w:p w14:paraId="2285D8A4" w14:textId="77777777" w:rsidR="00CA157D" w:rsidRDefault="00CA157D">
      <w:pPr>
        <w:widowControl w:val="0"/>
        <w:spacing w:line="240" w:lineRule="auto"/>
        <w:rPr>
          <w:sz w:val="18"/>
          <w:szCs w:val="18"/>
        </w:rPr>
      </w:pPr>
    </w:p>
    <w:p w14:paraId="2285D8A5" w14:textId="77777777" w:rsidR="00CA157D" w:rsidRDefault="00CA157D">
      <w:pPr>
        <w:pStyle w:val="Heading2"/>
      </w:pPr>
      <w:bookmarkStart w:id="15" w:name="_oohuherz3ii8" w:colFirst="0" w:colLast="0"/>
      <w:bookmarkEnd w:id="15"/>
    </w:p>
    <w:p w14:paraId="2285D8A6" w14:textId="77777777" w:rsidR="00CA157D" w:rsidRDefault="00CA157D">
      <w:pPr>
        <w:pStyle w:val="Heading2"/>
      </w:pPr>
      <w:bookmarkStart w:id="16" w:name="_jl1a1upmjuxr" w:colFirst="0" w:colLast="0"/>
      <w:bookmarkEnd w:id="16"/>
    </w:p>
    <w:p w14:paraId="2285D8A7" w14:textId="77777777" w:rsidR="00CA157D" w:rsidRDefault="00CA157D">
      <w:pPr>
        <w:pStyle w:val="Heading2"/>
      </w:pPr>
      <w:bookmarkStart w:id="17" w:name="_9vyzltw69vmv" w:colFirst="0" w:colLast="0"/>
      <w:bookmarkEnd w:id="17"/>
    </w:p>
    <w:p w14:paraId="2285D8A8" w14:textId="77777777" w:rsidR="00CA157D" w:rsidRDefault="00CA157D">
      <w:pPr>
        <w:pStyle w:val="Heading2"/>
      </w:pPr>
      <w:bookmarkStart w:id="18" w:name="_a5zb209mixt8" w:colFirst="0" w:colLast="0"/>
      <w:bookmarkEnd w:id="18"/>
    </w:p>
    <w:p w14:paraId="2285D8A9" w14:textId="77777777" w:rsidR="00CA157D" w:rsidRDefault="00CA157D"/>
    <w:p w14:paraId="2285D8AA" w14:textId="77777777" w:rsidR="00CA157D" w:rsidRDefault="00CA157D"/>
    <w:p w14:paraId="2285D8AB" w14:textId="77777777" w:rsidR="00CA157D" w:rsidRDefault="00CA157D"/>
    <w:p w14:paraId="2285D8AC" w14:textId="77777777" w:rsidR="00CA157D" w:rsidRDefault="00CA157D"/>
    <w:p w14:paraId="2285D8AD" w14:textId="77777777" w:rsidR="00CA157D" w:rsidRDefault="00CA157D"/>
    <w:p w14:paraId="2285D8AE" w14:textId="77777777" w:rsidR="00CA157D" w:rsidRDefault="00CA157D"/>
    <w:p w14:paraId="2285D8AF" w14:textId="77777777" w:rsidR="00CA157D" w:rsidRDefault="00CA157D"/>
    <w:p w14:paraId="2285D8B0" w14:textId="77777777" w:rsidR="00CA157D" w:rsidRDefault="00CA157D"/>
    <w:p w14:paraId="2285D8B1" w14:textId="77777777" w:rsidR="00CA157D" w:rsidRDefault="00CA157D"/>
    <w:p w14:paraId="2285D8B2" w14:textId="77777777" w:rsidR="00CA157D" w:rsidRDefault="00CA157D"/>
    <w:p w14:paraId="2285D8B3" w14:textId="77777777" w:rsidR="00CA157D" w:rsidRDefault="00CA157D"/>
    <w:p w14:paraId="2285D8B4" w14:textId="77777777" w:rsidR="00CA157D" w:rsidRDefault="00CA157D"/>
    <w:p w14:paraId="2285D8B5" w14:textId="77777777" w:rsidR="00CA157D" w:rsidRDefault="00CA157D"/>
    <w:p w14:paraId="2285D8B6" w14:textId="77777777" w:rsidR="00CA157D" w:rsidRDefault="00CA157D"/>
    <w:p w14:paraId="2285D8B7" w14:textId="77777777" w:rsidR="00CA157D" w:rsidRDefault="00CA157D"/>
    <w:p w14:paraId="2285D8B8" w14:textId="77777777" w:rsidR="00CA157D" w:rsidRDefault="00CA157D"/>
    <w:p w14:paraId="2285D8B9" w14:textId="77777777" w:rsidR="00CA157D" w:rsidRDefault="00AF6C6C">
      <w:pPr>
        <w:pStyle w:val="Heading2"/>
      </w:pPr>
      <w:bookmarkStart w:id="19" w:name="_knhyfzhf8efu" w:colFirst="0" w:colLast="0"/>
      <w:bookmarkEnd w:id="19"/>
      <w:r>
        <w:rPr>
          <w:noProof/>
        </w:rPr>
        <w:lastRenderedPageBreak/>
        <w:drawing>
          <wp:inline distT="114300" distB="114300" distL="114300" distR="114300" wp14:anchorId="2285D8E0" wp14:editId="2285D8E1">
            <wp:extent cx="5029200" cy="26384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l="8814" t="9116" r="6570" b="11965"/>
                    <a:stretch>
                      <a:fillRect/>
                    </a:stretch>
                  </pic:blipFill>
                  <pic:spPr>
                    <a:xfrm>
                      <a:off x="0" y="0"/>
                      <a:ext cx="5029200" cy="2638425"/>
                    </a:xfrm>
                    <a:prstGeom prst="rect">
                      <a:avLst/>
                    </a:prstGeom>
                    <a:ln/>
                  </pic:spPr>
                </pic:pic>
              </a:graphicData>
            </a:graphic>
          </wp:inline>
        </w:drawing>
      </w:r>
    </w:p>
    <w:p w14:paraId="2285D8BA" w14:textId="77777777" w:rsidR="00CA157D" w:rsidRDefault="00AF6C6C">
      <w:pPr>
        <w:pStyle w:val="Heading2"/>
        <w:spacing w:line="480" w:lineRule="auto"/>
        <w:rPr>
          <w:sz w:val="18"/>
          <w:szCs w:val="18"/>
        </w:rPr>
      </w:pPr>
      <w:bookmarkStart w:id="20" w:name="_aojac1486l6e" w:colFirst="0" w:colLast="0"/>
      <w:bookmarkEnd w:id="20"/>
      <w:r>
        <w:rPr>
          <w:b/>
          <w:sz w:val="18"/>
          <w:szCs w:val="18"/>
        </w:rPr>
        <w:t>Figure S</w:t>
      </w:r>
      <w:r>
        <w:rPr>
          <w:b/>
          <w:sz w:val="18"/>
          <w:szCs w:val="18"/>
        </w:rPr>
        <w:t>6</w:t>
      </w:r>
      <w:r>
        <w:rPr>
          <w:b/>
          <w:sz w:val="18"/>
          <w:szCs w:val="18"/>
        </w:rPr>
        <w:t xml:space="preserve">. </w:t>
      </w:r>
      <w:proofErr w:type="spellStart"/>
      <w:r>
        <w:rPr>
          <w:sz w:val="18"/>
          <w:szCs w:val="18"/>
        </w:rPr>
        <w:t>Plectin</w:t>
      </w:r>
      <w:proofErr w:type="spellEnd"/>
      <w:r>
        <w:rPr>
          <w:sz w:val="18"/>
          <w:szCs w:val="18"/>
        </w:rPr>
        <w:t xml:space="preserve"> (</w:t>
      </w:r>
      <w:r>
        <w:rPr>
          <w:i/>
          <w:sz w:val="18"/>
          <w:szCs w:val="18"/>
        </w:rPr>
        <w:t>PLEC</w:t>
      </w:r>
      <w:r>
        <w:rPr>
          <w:sz w:val="18"/>
          <w:szCs w:val="18"/>
        </w:rPr>
        <w:t xml:space="preserve">) gene evidenced by seven unique isoforms. </w:t>
      </w:r>
      <w:proofErr w:type="spellStart"/>
      <w:r>
        <w:rPr>
          <w:sz w:val="18"/>
          <w:szCs w:val="18"/>
        </w:rPr>
        <w:t>Plectin</w:t>
      </w:r>
      <w:proofErr w:type="spellEnd"/>
      <w:r>
        <w:rPr>
          <w:sz w:val="18"/>
          <w:szCs w:val="18"/>
        </w:rPr>
        <w:t xml:space="preserve"> (</w:t>
      </w:r>
      <w:r>
        <w:rPr>
          <w:i/>
          <w:sz w:val="18"/>
          <w:szCs w:val="18"/>
        </w:rPr>
        <w:t>PLEC</w:t>
      </w:r>
      <w:r>
        <w:rPr>
          <w:sz w:val="18"/>
          <w:szCs w:val="18"/>
        </w:rPr>
        <w:t xml:space="preserve">) gene in which MS analysis identified seven unique isoforms each evidenced by their own unique peptide. </w:t>
      </w:r>
    </w:p>
    <w:p w14:paraId="2285D8BB" w14:textId="77777777" w:rsidR="00CA157D" w:rsidRDefault="00CA157D">
      <w:pPr>
        <w:pStyle w:val="Heading2"/>
      </w:pPr>
      <w:bookmarkStart w:id="21" w:name="_kscf3ojsa30t" w:colFirst="0" w:colLast="0"/>
      <w:bookmarkEnd w:id="21"/>
    </w:p>
    <w:p w14:paraId="2285D8BC" w14:textId="77777777" w:rsidR="00CA157D" w:rsidRDefault="00CA157D">
      <w:pPr>
        <w:pStyle w:val="Heading2"/>
      </w:pPr>
      <w:bookmarkStart w:id="22" w:name="_kh9m606wvyeg" w:colFirst="0" w:colLast="0"/>
      <w:bookmarkEnd w:id="22"/>
    </w:p>
    <w:p w14:paraId="2285D8BD" w14:textId="77777777" w:rsidR="00CA157D" w:rsidRDefault="00CA157D"/>
    <w:p w14:paraId="2285D8BE" w14:textId="77777777" w:rsidR="00CA157D" w:rsidRDefault="00CA157D"/>
    <w:p w14:paraId="2285D8BF" w14:textId="77777777" w:rsidR="00CA157D" w:rsidRDefault="00CA157D"/>
    <w:p w14:paraId="2285D8C0" w14:textId="77777777" w:rsidR="00CA157D" w:rsidRDefault="00CA157D"/>
    <w:p w14:paraId="2285D8C1" w14:textId="77777777" w:rsidR="00CA157D" w:rsidRDefault="00CA157D"/>
    <w:p w14:paraId="2285D8C2" w14:textId="77777777" w:rsidR="00CA157D" w:rsidRDefault="00CA157D">
      <w:pPr>
        <w:rPr>
          <w:sz w:val="18"/>
          <w:szCs w:val="18"/>
        </w:rPr>
      </w:pPr>
    </w:p>
    <w:p w14:paraId="2285D8C3" w14:textId="77777777" w:rsidR="00CA157D" w:rsidRDefault="00CA157D"/>
    <w:p w14:paraId="2285D8C4" w14:textId="77777777" w:rsidR="00CA157D" w:rsidRDefault="00CA157D"/>
    <w:p w14:paraId="2285D8C5" w14:textId="77777777" w:rsidR="00CA157D" w:rsidRDefault="00CA157D"/>
    <w:p w14:paraId="2285D8C6" w14:textId="77777777" w:rsidR="00CA157D" w:rsidRDefault="00CA157D"/>
    <w:p w14:paraId="2285D8C7" w14:textId="77777777" w:rsidR="00CA157D" w:rsidRDefault="00CA157D"/>
    <w:p w14:paraId="2285D8C8" w14:textId="77777777" w:rsidR="00CA157D" w:rsidRDefault="00CA157D"/>
    <w:p w14:paraId="2285D8C9" w14:textId="77777777" w:rsidR="00CA157D" w:rsidRDefault="00CA157D"/>
    <w:p w14:paraId="2285D8CA" w14:textId="77777777" w:rsidR="00CA157D" w:rsidRDefault="00CA157D"/>
    <w:p w14:paraId="2285D8CB" w14:textId="77777777" w:rsidR="00CA157D" w:rsidRDefault="00CA157D"/>
    <w:p w14:paraId="2285D8CC" w14:textId="77777777" w:rsidR="00CA157D" w:rsidRDefault="00CA157D"/>
    <w:p w14:paraId="2285D8CD" w14:textId="77777777" w:rsidR="00CA157D" w:rsidRDefault="00CA157D"/>
    <w:p w14:paraId="2285D8CE" w14:textId="77777777" w:rsidR="00CA157D" w:rsidRDefault="00CA157D"/>
    <w:p w14:paraId="2285D8CF" w14:textId="77777777" w:rsidR="00CA157D" w:rsidRDefault="00CA157D"/>
    <w:p w14:paraId="2285D8D0" w14:textId="77777777" w:rsidR="00CA157D" w:rsidRDefault="00CA157D"/>
    <w:p w14:paraId="2285D8D1" w14:textId="77777777" w:rsidR="00CA157D" w:rsidRDefault="00CA157D"/>
    <w:p w14:paraId="2285D8D2" w14:textId="77777777" w:rsidR="00CA157D" w:rsidRDefault="00CA157D"/>
    <w:p w14:paraId="2285D8D3" w14:textId="77777777" w:rsidR="00CA157D" w:rsidRDefault="00CA157D">
      <w:pPr>
        <w:rPr>
          <w:b/>
        </w:rPr>
      </w:pPr>
    </w:p>
    <w:p w14:paraId="2285D8D4" w14:textId="77777777" w:rsidR="00CA157D" w:rsidRDefault="00CA157D"/>
    <w:p w14:paraId="2285D8D5" w14:textId="77777777" w:rsidR="00CA157D" w:rsidRDefault="00CA157D"/>
    <w:sectPr w:rsidR="00CA157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57D"/>
    <w:rsid w:val="000F0DC9"/>
    <w:rsid w:val="00AF6C6C"/>
    <w:rsid w:val="00CA1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85D861"/>
  <w15:docId w15:val="{99A2CF14-2D53-5D4A-AE67-D256AA497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outlineLvl w:val="1"/>
    </w:pPr>
    <w:rPr>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569</Words>
  <Characters>3247</Characters>
  <Application>Microsoft Office Word</Application>
  <DocSecurity>0</DocSecurity>
  <Lines>27</Lines>
  <Paragraphs>7</Paragraphs>
  <ScaleCrop>false</ScaleCrop>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Mehlferber, Madison (mm5db)</cp:lastModifiedBy>
  <cp:revision>2</cp:revision>
  <dcterms:created xsi:type="dcterms:W3CDTF">2023-08-29T19:59:00Z</dcterms:created>
  <dcterms:modified xsi:type="dcterms:W3CDTF">2023-08-29T19:59:00Z</dcterms:modified>
</cp:coreProperties>
</file>