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12AF" w14:textId="77777777" w:rsidR="00614348" w:rsidRPr="00BE1C2B" w:rsidRDefault="00614348" w:rsidP="00614348">
      <w:pPr>
        <w:rPr>
          <w:rFonts w:ascii="Times New Roman" w:eastAsia="Malgun Gothic" w:hAnsi="Times New Roman" w:cs="Times New Roman"/>
          <w:color w:val="000000"/>
          <w:kern w:val="0"/>
          <w:sz w:val="22"/>
        </w:rPr>
      </w:pPr>
      <w:r w:rsidRPr="00F30D30">
        <w:rPr>
          <w:rFonts w:ascii="Times New Roman" w:eastAsia="Malgun Gothic" w:hAnsi="Times New Roman" w:cs="Times New Roman"/>
          <w:b/>
          <w:color w:val="000000"/>
          <w:kern w:val="0"/>
          <w:sz w:val="22"/>
        </w:rPr>
        <w:t xml:space="preserve">Table </w:t>
      </w:r>
      <w:r w:rsidRPr="00F30D30">
        <w:rPr>
          <w:rFonts w:ascii="Times New Roman" w:eastAsia="Malgun Gothic" w:hAnsi="Times New Roman" w:cs="Times New Roman" w:hint="eastAsia"/>
          <w:b/>
          <w:color w:val="000000"/>
          <w:kern w:val="0"/>
          <w:sz w:val="22"/>
        </w:rPr>
        <w:t>S1</w:t>
      </w:r>
      <w:r w:rsidRPr="00F30D30">
        <w:rPr>
          <w:rFonts w:ascii="Times New Roman" w:eastAsia="Malgun Gothic" w:hAnsi="Times New Roman" w:cs="Times New Roman"/>
          <w:b/>
          <w:color w:val="000000"/>
          <w:kern w:val="0"/>
          <w:sz w:val="22"/>
        </w:rPr>
        <w:t>.</w:t>
      </w:r>
      <w:r w:rsidRPr="00F30D30">
        <w:rPr>
          <w:rFonts w:ascii="Times New Roman" w:eastAsia="Malgun Gothic" w:hAnsi="Times New Roman" w:cs="Times New Roman"/>
          <w:color w:val="000000"/>
          <w:kern w:val="0"/>
          <w:sz w:val="22"/>
        </w:rPr>
        <w:t xml:space="preserve"> Comparison of the </w:t>
      </w:r>
      <w:r w:rsidRPr="00F30D30">
        <w:rPr>
          <w:rFonts w:ascii="Times New Roman" w:eastAsia="Malgun Gothic" w:hAnsi="Times New Roman" w:cs="Times New Roman" w:hint="eastAsia"/>
          <w:color w:val="000000"/>
          <w:kern w:val="0"/>
          <w:sz w:val="22"/>
        </w:rPr>
        <w:t>characteristics</w:t>
      </w:r>
      <w:r w:rsidRPr="00F30D30">
        <w:rPr>
          <w:rFonts w:ascii="Times New Roman" w:eastAsia="Malgun Gothic" w:hAnsi="Times New Roman" w:cs="Times New Roman"/>
          <w:color w:val="000000"/>
          <w:kern w:val="0"/>
          <w:sz w:val="22"/>
        </w:rPr>
        <w:t xml:space="preserve"> of the non-</w:t>
      </w:r>
      <w:r w:rsidRPr="00F30D30">
        <w:rPr>
          <w:rFonts w:ascii="Times New Roman" w:eastAsia="Malgun Gothic" w:hAnsi="Times New Roman" w:cs="Times New Roman" w:hint="eastAsia"/>
          <w:color w:val="000000"/>
          <w:kern w:val="0"/>
          <w:sz w:val="22"/>
        </w:rPr>
        <w:t>DNS</w:t>
      </w:r>
      <w:r w:rsidRPr="00F30D30">
        <w:rPr>
          <w:rFonts w:ascii="Times New Roman" w:eastAsia="Malgun Gothic" w:hAnsi="Times New Roman" w:cs="Times New Roman"/>
          <w:color w:val="000000"/>
          <w:kern w:val="0"/>
          <w:sz w:val="22"/>
        </w:rPr>
        <w:t xml:space="preserve"> and </w:t>
      </w:r>
      <w:r w:rsidRPr="00F30D30">
        <w:rPr>
          <w:rFonts w:ascii="Times New Roman" w:eastAsia="Malgun Gothic" w:hAnsi="Times New Roman" w:cs="Times New Roman" w:hint="eastAsia"/>
          <w:color w:val="000000"/>
          <w:kern w:val="0"/>
          <w:sz w:val="22"/>
        </w:rPr>
        <w:t>DNS</w:t>
      </w:r>
      <w:r w:rsidRPr="00F30D30">
        <w:rPr>
          <w:rFonts w:ascii="Times New Roman" w:eastAsia="Malgun Gothic" w:hAnsi="Times New Roman" w:cs="Times New Roman"/>
          <w:color w:val="000000"/>
          <w:kern w:val="0"/>
          <w:sz w:val="22"/>
        </w:rPr>
        <w:t xml:space="preserve"> groups.</w:t>
      </w:r>
    </w:p>
    <w:tbl>
      <w:tblPr>
        <w:tblpPr w:leftFromText="142" w:rightFromText="142" w:vertAnchor="page" w:horzAnchor="margin" w:tblpY="2271"/>
        <w:tblW w:w="8789" w:type="dxa"/>
        <w:tblBorders>
          <w:top w:val="single" w:sz="4" w:space="0" w:color="auto"/>
          <w:bottom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00"/>
        <w:gridCol w:w="2029"/>
        <w:gridCol w:w="1984"/>
        <w:gridCol w:w="1276"/>
      </w:tblGrid>
      <w:tr w:rsidR="00614348" w:rsidRPr="00BE1C2B" w14:paraId="38232F67" w14:textId="77777777" w:rsidTr="00595BC3">
        <w:trPr>
          <w:trHeight w:val="330"/>
        </w:trPr>
        <w:tc>
          <w:tcPr>
            <w:tcW w:w="3500" w:type="dxa"/>
            <w:vMerge w:val="restart"/>
            <w:shd w:val="clear" w:color="auto" w:fill="auto"/>
            <w:vAlign w:val="center"/>
            <w:hideMark/>
          </w:tcPr>
          <w:p w14:paraId="6F849EAF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C89AFB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  <w:t>Non-</w:t>
            </w:r>
            <w:r>
              <w:rPr>
                <w:rFonts w:ascii="Times New Roman" w:eastAsia="Malgun Gothic" w:hAnsi="Times New Roman" w:cs="Times New Roman" w:hint="eastAsia"/>
                <w:b/>
                <w:color w:val="000000"/>
                <w:kern w:val="0"/>
                <w:sz w:val="22"/>
              </w:rPr>
              <w:t>DNS</w:t>
            </w:r>
            <w:r w:rsidRPr="00BE1C2B"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  <w:t xml:space="preserve"> group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EE6F52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b/>
                <w:color w:val="000000"/>
                <w:kern w:val="0"/>
                <w:sz w:val="22"/>
              </w:rPr>
              <w:t>DNS</w:t>
            </w:r>
            <w:r w:rsidRPr="00BE1C2B"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  <w:t xml:space="preserve"> group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0D3151FE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b/>
                <w:i/>
                <w:iCs/>
                <w:color w:val="000000"/>
                <w:kern w:val="0"/>
                <w:sz w:val="22"/>
              </w:rPr>
              <w:t>p</w:t>
            </w:r>
            <w:r w:rsidRPr="00BE1C2B"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  <w:t>-value</w:t>
            </w:r>
          </w:p>
        </w:tc>
      </w:tr>
      <w:tr w:rsidR="00614348" w:rsidRPr="00BE1C2B" w14:paraId="790C626F" w14:textId="77777777" w:rsidTr="00595BC3">
        <w:trPr>
          <w:trHeight w:val="330"/>
        </w:trPr>
        <w:tc>
          <w:tcPr>
            <w:tcW w:w="350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8DE49C0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bCs/>
                <w:color w:val="000000"/>
                <w:kern w:val="0"/>
                <w:sz w:val="22"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C02198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  <w:t xml:space="preserve">(N = </w:t>
            </w:r>
            <w:r>
              <w:rPr>
                <w:rFonts w:ascii="Times New Roman" w:eastAsia="Malgun Gothic" w:hAnsi="Times New Roman" w:cs="Times New Roman" w:hint="eastAsia"/>
                <w:b/>
                <w:color w:val="000000"/>
                <w:kern w:val="0"/>
                <w:sz w:val="22"/>
              </w:rPr>
              <w:t>101</w:t>
            </w:r>
            <w:r w:rsidRPr="00BE1C2B"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D58BB3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  <w:t xml:space="preserve">(N = </w:t>
            </w:r>
            <w:r>
              <w:rPr>
                <w:rFonts w:ascii="Times New Roman" w:eastAsia="Malgun Gothic" w:hAnsi="Times New Roman" w:cs="Times New Roman" w:hint="eastAsia"/>
                <w:b/>
                <w:color w:val="000000"/>
                <w:kern w:val="0"/>
                <w:sz w:val="22"/>
              </w:rPr>
              <w:t>27</w:t>
            </w:r>
            <w:r w:rsidRPr="00BE1C2B">
              <w:rPr>
                <w:rFonts w:ascii="Times New Roman" w:eastAsia="Malgun Gothic" w:hAnsi="Times New Roman" w:cs="Times New Roman"/>
                <w:b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E5D36CF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14348" w:rsidRPr="00BE1C2B" w14:paraId="2C4F0192" w14:textId="77777777" w:rsidTr="00595BC3">
        <w:trPr>
          <w:trHeight w:val="330"/>
        </w:trPr>
        <w:tc>
          <w:tcPr>
            <w:tcW w:w="350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6B294837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Age, years</w:t>
            </w:r>
          </w:p>
        </w:tc>
        <w:tc>
          <w:tcPr>
            <w:tcW w:w="20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29C4449E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4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2.9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± 1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4.4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698924C2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4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5.9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± 1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6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4D540BA1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370</w:t>
            </w:r>
          </w:p>
        </w:tc>
      </w:tr>
      <w:tr w:rsidR="00614348" w:rsidRPr="00BE1C2B" w14:paraId="36E4813E" w14:textId="77777777" w:rsidTr="00595BC3">
        <w:trPr>
          <w:trHeight w:val="330"/>
        </w:trPr>
        <w:tc>
          <w:tcPr>
            <w:tcW w:w="35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DFC0EF6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Sex, n (%)</w:t>
            </w:r>
          </w:p>
        </w:tc>
        <w:tc>
          <w:tcPr>
            <w:tcW w:w="202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9D6D3C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188309F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0BE12D0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 xml:space="preserve"> 0.647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*</w:t>
            </w:r>
          </w:p>
        </w:tc>
      </w:tr>
      <w:tr w:rsidR="00614348" w:rsidRPr="00BE1C2B" w14:paraId="33C6F60B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  <w:hideMark/>
          </w:tcPr>
          <w:p w14:paraId="773EEC88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Female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14:paraId="44050269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32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(3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1.7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F3A4A4B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10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(3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7.0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A40D20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14348" w:rsidRPr="00BE1C2B" w14:paraId="180694D1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  <w:hideMark/>
          </w:tcPr>
          <w:p w14:paraId="72D9DC1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Male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14:paraId="2ADE0F64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69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(6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401347D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17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(6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0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D476BF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14348" w:rsidRPr="00BE1C2B" w14:paraId="3F390428" w14:textId="77777777" w:rsidTr="00595BC3">
        <w:trPr>
          <w:trHeight w:val="330"/>
        </w:trPr>
        <w:tc>
          <w:tcPr>
            <w:tcW w:w="3500" w:type="dxa"/>
            <w:shd w:val="clear" w:color="auto" w:fill="auto"/>
            <w:noWrap/>
            <w:vAlign w:val="center"/>
          </w:tcPr>
          <w:p w14:paraId="4F87C97A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Vital signs</w:t>
            </w:r>
          </w:p>
        </w:tc>
        <w:tc>
          <w:tcPr>
            <w:tcW w:w="2029" w:type="dxa"/>
            <w:shd w:val="clear" w:color="auto" w:fill="auto"/>
            <w:noWrap/>
            <w:vAlign w:val="center"/>
          </w:tcPr>
          <w:p w14:paraId="274925F6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C4223A3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05DF2D0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14348" w:rsidRPr="00BE1C2B" w14:paraId="6A8C8050" w14:textId="77777777" w:rsidTr="00595BC3">
        <w:trPr>
          <w:trHeight w:val="330"/>
        </w:trPr>
        <w:tc>
          <w:tcPr>
            <w:tcW w:w="3500" w:type="dxa"/>
            <w:shd w:val="clear" w:color="auto" w:fill="auto"/>
            <w:noWrap/>
            <w:vAlign w:val="center"/>
          </w:tcPr>
          <w:p w14:paraId="09615045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Systolic blood pressure, mmHg</w:t>
            </w:r>
          </w:p>
        </w:tc>
        <w:tc>
          <w:tcPr>
            <w:tcW w:w="2029" w:type="dxa"/>
            <w:shd w:val="clear" w:color="auto" w:fill="auto"/>
            <w:noWrap/>
            <w:vAlign w:val="center"/>
          </w:tcPr>
          <w:p w14:paraId="75512375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130 [11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140]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4CA28C7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130 [115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–14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A8B3C14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577</w:t>
            </w:r>
          </w:p>
        </w:tc>
      </w:tr>
      <w:tr w:rsidR="00614348" w:rsidRPr="00BE1C2B" w14:paraId="02084FF1" w14:textId="77777777" w:rsidTr="00595BC3">
        <w:trPr>
          <w:trHeight w:val="330"/>
        </w:trPr>
        <w:tc>
          <w:tcPr>
            <w:tcW w:w="3500" w:type="dxa"/>
            <w:shd w:val="clear" w:color="auto" w:fill="auto"/>
            <w:noWrap/>
            <w:vAlign w:val="center"/>
          </w:tcPr>
          <w:p w14:paraId="2B236DFB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Diastolic blood pressure, mmHg</w:t>
            </w:r>
          </w:p>
        </w:tc>
        <w:tc>
          <w:tcPr>
            <w:tcW w:w="2029" w:type="dxa"/>
            <w:shd w:val="clear" w:color="auto" w:fill="auto"/>
            <w:noWrap/>
            <w:vAlign w:val="center"/>
          </w:tcPr>
          <w:p w14:paraId="093F05C3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80 [70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90]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1CCB992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80 [70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98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5F7E491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0.644</w:t>
            </w:r>
          </w:p>
        </w:tc>
      </w:tr>
      <w:tr w:rsidR="00614348" w:rsidRPr="00BE1C2B" w14:paraId="7508EA53" w14:textId="77777777" w:rsidTr="00595BC3">
        <w:trPr>
          <w:trHeight w:val="330"/>
        </w:trPr>
        <w:tc>
          <w:tcPr>
            <w:tcW w:w="3500" w:type="dxa"/>
            <w:shd w:val="clear" w:color="auto" w:fill="auto"/>
            <w:noWrap/>
            <w:vAlign w:val="center"/>
          </w:tcPr>
          <w:p w14:paraId="13EF8C0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Heart rate, /min</w:t>
            </w:r>
          </w:p>
        </w:tc>
        <w:tc>
          <w:tcPr>
            <w:tcW w:w="2029" w:type="dxa"/>
            <w:shd w:val="clear" w:color="auto" w:fill="auto"/>
            <w:noWrap/>
            <w:vAlign w:val="center"/>
          </w:tcPr>
          <w:p w14:paraId="67DC6461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9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1.6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± 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18.1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0D03BAAD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91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.0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± 1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8.4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31D45BA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877</w:t>
            </w:r>
          </w:p>
        </w:tc>
      </w:tr>
      <w:tr w:rsidR="00614348" w:rsidRPr="00BE1C2B" w14:paraId="4FF4343F" w14:textId="77777777" w:rsidTr="00595BC3">
        <w:trPr>
          <w:trHeight w:val="330"/>
        </w:trPr>
        <w:tc>
          <w:tcPr>
            <w:tcW w:w="3500" w:type="dxa"/>
            <w:shd w:val="clear" w:color="auto" w:fill="auto"/>
            <w:noWrap/>
            <w:vAlign w:val="center"/>
          </w:tcPr>
          <w:p w14:paraId="721278B9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Respiratory rate, /min</w:t>
            </w:r>
          </w:p>
        </w:tc>
        <w:tc>
          <w:tcPr>
            <w:tcW w:w="2029" w:type="dxa"/>
            <w:shd w:val="clear" w:color="auto" w:fill="auto"/>
            <w:noWrap/>
            <w:vAlign w:val="center"/>
          </w:tcPr>
          <w:p w14:paraId="49AE33BD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20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19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20]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B03AE1B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20 [18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20]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73B107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141</w:t>
            </w:r>
          </w:p>
        </w:tc>
      </w:tr>
      <w:tr w:rsidR="00614348" w:rsidRPr="00BE1C2B" w14:paraId="7939C470" w14:textId="77777777" w:rsidTr="00595BC3">
        <w:trPr>
          <w:trHeight w:val="330"/>
        </w:trPr>
        <w:tc>
          <w:tcPr>
            <w:tcW w:w="3500" w:type="dxa"/>
            <w:shd w:val="clear" w:color="auto" w:fill="auto"/>
            <w:noWrap/>
            <w:vAlign w:val="center"/>
            <w:hideMark/>
          </w:tcPr>
          <w:p w14:paraId="66852E80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Comorbidities, n (%)</w:t>
            </w:r>
          </w:p>
        </w:tc>
        <w:tc>
          <w:tcPr>
            <w:tcW w:w="2029" w:type="dxa"/>
            <w:shd w:val="clear" w:color="auto" w:fill="auto"/>
            <w:noWrap/>
            <w:vAlign w:val="center"/>
            <w:hideMark/>
          </w:tcPr>
          <w:p w14:paraId="1E55C7A2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BD8513D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B184A1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14348" w:rsidRPr="00BE1C2B" w14:paraId="60214003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  <w:hideMark/>
          </w:tcPr>
          <w:p w14:paraId="3832067B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Diabetes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14:paraId="722F7805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6.9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21C41C4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3.7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113D00D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 &gt;0.99**</w:t>
            </w:r>
          </w:p>
        </w:tc>
      </w:tr>
      <w:tr w:rsidR="00614348" w:rsidRPr="00BE1C2B" w14:paraId="15E6D2F7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  <w:hideMark/>
          </w:tcPr>
          <w:p w14:paraId="76A1A341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Hypertension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14:paraId="3200F198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 xml:space="preserve"> 7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(6.9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9412D28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18.5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6E48AD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0.128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**</w:t>
            </w:r>
          </w:p>
        </w:tc>
      </w:tr>
      <w:tr w:rsidR="00614348" w:rsidRPr="00BE1C2B" w14:paraId="03437A90" w14:textId="77777777" w:rsidTr="00595BC3">
        <w:trPr>
          <w:trHeight w:val="330"/>
        </w:trPr>
        <w:tc>
          <w:tcPr>
            <w:tcW w:w="3500" w:type="dxa"/>
            <w:shd w:val="clear" w:color="auto" w:fill="auto"/>
            <w:noWrap/>
            <w:vAlign w:val="center"/>
            <w:hideMark/>
          </w:tcPr>
          <w:p w14:paraId="53381776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Current smoker, n (%)</w:t>
            </w:r>
          </w:p>
        </w:tc>
        <w:tc>
          <w:tcPr>
            <w:tcW w:w="2029" w:type="dxa"/>
            <w:shd w:val="clear" w:color="auto" w:fill="auto"/>
            <w:vAlign w:val="center"/>
            <w:hideMark/>
          </w:tcPr>
          <w:p w14:paraId="29E8D985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55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(5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9.8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4ED7A03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14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(53.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9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6EB5D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 xml:space="preserve"> 0.655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*</w:t>
            </w:r>
          </w:p>
        </w:tc>
      </w:tr>
      <w:tr w:rsidR="00614348" w:rsidRPr="00060533" w14:paraId="2BA69930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4EC19E49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GCS score at presentation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74E2244B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15 [1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–15]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9756EC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10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–15]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EE5103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 0.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005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**</w:t>
            </w:r>
          </w:p>
        </w:tc>
      </w:tr>
      <w:tr w:rsidR="00614348" w:rsidRPr="00060533" w14:paraId="6E74A839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314F89A6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 xml:space="preserve">GCS &lt; 15, 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n (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%)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53607C85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30 (29.7)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95E4A4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15 (55.6)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7137C1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 xml:space="preserve"> 0.023*</w:t>
            </w:r>
          </w:p>
        </w:tc>
      </w:tr>
      <w:tr w:rsidR="00614348" w:rsidRPr="00060533" w14:paraId="232B87D9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0C668CFE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Symptoms, n (%)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553BB088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F03D73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26222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14348" w:rsidRPr="00060533" w14:paraId="3AC391CC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58074CF9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Headache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2B20CEB1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10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(9.9)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A614CC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7.4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78AE4E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 &gt;0.99**</w:t>
            </w:r>
          </w:p>
        </w:tc>
      </w:tr>
      <w:tr w:rsidR="00614348" w:rsidRPr="00060533" w14:paraId="5E94F782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7BBD0012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Loss of consciousness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1CB89EE3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31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30.7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B4371D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9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33.3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34CC5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0.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818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*</w:t>
            </w:r>
          </w:p>
        </w:tc>
      </w:tr>
      <w:tr w:rsidR="00614348" w:rsidRPr="00060533" w14:paraId="69D37D39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13E81D2E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Dizziness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4AB43737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13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12.9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B71A16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7.4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70A76A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 0.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736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**</w:t>
            </w:r>
          </w:p>
        </w:tc>
      </w:tr>
      <w:tr w:rsidR="00614348" w:rsidRPr="00060533" w14:paraId="7060B8F8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7177ED3D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Dyspnea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20D52ED4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(6.9)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D72439F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3.7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9904FA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 &gt;0.99**</w:t>
            </w:r>
          </w:p>
        </w:tc>
      </w:tr>
      <w:tr w:rsidR="00614348" w:rsidRPr="00060533" w14:paraId="7383FC76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49A4ED3E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Chest pain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572E33C5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 (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1.0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84FB03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 (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3.7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9E71E3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 0.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379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**</w:t>
            </w:r>
          </w:p>
        </w:tc>
      </w:tr>
      <w:tr w:rsidR="00614348" w:rsidRPr="00060533" w14:paraId="33143DFF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29792365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Laboratory findings</w:t>
            </w:r>
          </w:p>
        </w:tc>
        <w:tc>
          <w:tcPr>
            <w:tcW w:w="2029" w:type="dxa"/>
            <w:shd w:val="clear" w:color="auto" w:fill="auto"/>
            <w:noWrap/>
            <w:vAlign w:val="center"/>
          </w:tcPr>
          <w:p w14:paraId="274F9C28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426626E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F9ADCC5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14348" w:rsidRPr="00060533" w14:paraId="17B55C09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2A9B1D9B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White blood cell count, 10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  <w:vertAlign w:val="superscript"/>
              </w:rPr>
              <w:t>3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/</w:t>
            </w:r>
            <w:r w:rsidRPr="00060533">
              <w:rPr>
                <w:rStyle w:val="Strong"/>
                <w:rFonts w:ascii="Times New Roman" w:hAnsi="Times New Roman" w:cs="Times New Roman"/>
                <w:color w:val="000000"/>
                <w:szCs w:val="20"/>
              </w:rPr>
              <w:t>µL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1BCB7F1B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4.7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[8.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6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–1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5.3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D7E056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11.8 [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9.1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–15.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C61F8E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0.7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72</w:t>
            </w:r>
          </w:p>
        </w:tc>
      </w:tr>
      <w:tr w:rsidR="00614348" w:rsidRPr="00060533" w14:paraId="4862B478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239889C2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Hemoglobin, g/dL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2DE98BB4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14.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9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[13.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16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A14304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4.4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[1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2.8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–1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5.9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94ED5D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326</w:t>
            </w:r>
          </w:p>
        </w:tc>
      </w:tr>
      <w:tr w:rsidR="00614348" w:rsidRPr="00060533" w14:paraId="720444C2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0DB23577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Protein, g/dL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08B9CFDB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7.2 ± 0.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67ABD2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7.3 ± 0.6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377806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759</w:t>
            </w:r>
          </w:p>
        </w:tc>
      </w:tr>
      <w:tr w:rsidR="00614348" w:rsidRPr="00060533" w14:paraId="090E42F6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28CECABA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Albumin, g/dL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20440BFA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4.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4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± 0.4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8C3774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4.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± 0.4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3861D7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550</w:t>
            </w:r>
          </w:p>
        </w:tc>
      </w:tr>
      <w:tr w:rsidR="00614348" w:rsidRPr="00060533" w14:paraId="1F996A50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032B8048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Glucose, mg/dL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36E50460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112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101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131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E5B5E4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26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[10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4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150</w:t>
            </w: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7F9C3C" w14:textId="77777777" w:rsidR="00614348" w:rsidRPr="00060533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060533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 w:rsidRPr="00060533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383</w:t>
            </w:r>
          </w:p>
        </w:tc>
      </w:tr>
      <w:tr w:rsidR="00614348" w:rsidRPr="00BE1C2B" w14:paraId="1FEC3088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5B904199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BUN, mg/dL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48316FCF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12.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[10.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9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17.5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9B4140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4.4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[11.1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21.4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23010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203</w:t>
            </w:r>
          </w:p>
        </w:tc>
      </w:tr>
      <w:tr w:rsidR="00614348" w:rsidRPr="00BE1C2B" w14:paraId="768A7D9D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430E9EF5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Creatinine, mg/dL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22F4F6C5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 [0.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9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–1.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ABAE46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 [0.9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1.2]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496A94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859</w:t>
            </w:r>
          </w:p>
        </w:tc>
      </w:tr>
      <w:tr w:rsidR="00614348" w:rsidRPr="00BE1C2B" w14:paraId="01B9BC9F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3A01E5A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Creatine Kinase, U/L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75D4D837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22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[8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263.3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77A2EE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230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85.5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1626.5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B23C21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142</w:t>
            </w:r>
          </w:p>
        </w:tc>
      </w:tr>
      <w:tr w:rsidR="00614348" w:rsidRPr="00BE1C2B" w14:paraId="58793B39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4D85DDA7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Troponin I, ng/mL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23952AD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0.1 [0.1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0.2]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9A0693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[0.1–0.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FB0846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546</w:t>
            </w:r>
          </w:p>
        </w:tc>
      </w:tr>
      <w:tr w:rsidR="00614348" w:rsidRPr="00B62E72" w14:paraId="10661704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3DE1D2B9" w14:textId="77777777" w:rsidR="00614348" w:rsidRPr="007068E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7068E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C-reactive protein, mg/L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1B5DD4F5" w14:textId="77777777" w:rsidR="00614348" w:rsidRPr="007068E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7068E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 w:rsidRPr="007068EB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</w:t>
            </w:r>
            <w:r w:rsidRPr="007068E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[0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.0</w:t>
            </w:r>
            <w:r w:rsidRPr="007068E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 w:rsidRPr="007068EB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0.3</w:t>
            </w:r>
            <w:r w:rsidRPr="007068E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9BF74FF" w14:textId="77777777" w:rsidR="00614348" w:rsidRPr="007068E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7068E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 w:rsidRPr="007068EB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</w:t>
            </w:r>
            <w:r w:rsidRPr="007068E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[0</w:t>
            </w:r>
            <w:r w:rsidRPr="007068EB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.1</w:t>
            </w:r>
            <w:r w:rsidRPr="007068E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–0.</w:t>
            </w:r>
            <w:r w:rsidRPr="007068EB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</w:t>
            </w:r>
            <w:r w:rsidRPr="007068E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F84B1B" w14:textId="77777777" w:rsidR="00614348" w:rsidRPr="007068E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7068E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 w:rsidRPr="007068EB"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008</w:t>
            </w:r>
          </w:p>
        </w:tc>
      </w:tr>
      <w:tr w:rsidR="00614348" w:rsidRPr="00BE1C2B" w14:paraId="24F639B7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378D9D84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Lactate, mg/dL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4EE0991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2.1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[1.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–4.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5E9DF1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1.9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[1.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3.7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DDE710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255</w:t>
            </w:r>
          </w:p>
        </w:tc>
      </w:tr>
      <w:tr w:rsidR="00614348" w:rsidRPr="00BE1C2B" w14:paraId="19609DCF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1510E059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COHb, %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437B7905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11.3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5.7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–1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7.7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DE819D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5.2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2.2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10.7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1F6B34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004</w:t>
            </w:r>
          </w:p>
        </w:tc>
      </w:tr>
      <w:tr w:rsidR="00614348" w:rsidRPr="00BE1C2B" w14:paraId="2B903092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2A92C19A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Duration of CO exposure, min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5B19FBA6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1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 [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50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240]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D7ECD2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300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[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180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–4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90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A4DBC8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004</w:t>
            </w:r>
          </w:p>
        </w:tc>
      </w:tr>
      <w:tr w:rsidR="00614348" w:rsidRPr="00BE1C2B" w14:paraId="1018D1AD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55A40B42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Type of exposure, n (%)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1150C1FD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22EC6A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88A46E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190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*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14348" w:rsidRPr="00BE1C2B" w14:paraId="75D4CBEA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233098CA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Unintentional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1A62470A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25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(24.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4C1350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11.1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8DC53E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14348" w:rsidRPr="00BE1C2B" w14:paraId="1C7D8D09" w14:textId="77777777" w:rsidTr="00595BC3">
        <w:trPr>
          <w:trHeight w:val="330"/>
        </w:trPr>
        <w:tc>
          <w:tcPr>
            <w:tcW w:w="3500" w:type="dxa"/>
            <w:shd w:val="clear" w:color="auto" w:fill="auto"/>
            <w:vAlign w:val="center"/>
          </w:tcPr>
          <w:p w14:paraId="7F9FBB87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lastRenderedPageBreak/>
              <w:t>Intentional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2DEA1D0F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76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(75.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3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699B66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24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88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9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B4E74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</w:t>
            </w:r>
          </w:p>
        </w:tc>
      </w:tr>
      <w:tr w:rsidR="00614348" w:rsidRPr="00BE1C2B" w14:paraId="3E0D2E8D" w14:textId="77777777" w:rsidTr="00595BC3">
        <w:trPr>
          <w:trHeight w:val="330"/>
        </w:trPr>
        <w:tc>
          <w:tcPr>
            <w:tcW w:w="3500" w:type="dxa"/>
            <w:tcBorders>
              <w:bottom w:val="nil"/>
            </w:tcBorders>
            <w:shd w:val="clear" w:color="auto" w:fill="auto"/>
            <w:vAlign w:val="center"/>
          </w:tcPr>
          <w:p w14:paraId="17986465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HBOT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, n (%)</w:t>
            </w:r>
          </w:p>
        </w:tc>
        <w:tc>
          <w:tcPr>
            <w:tcW w:w="2029" w:type="dxa"/>
            <w:tcBorders>
              <w:bottom w:val="nil"/>
            </w:tcBorders>
            <w:shd w:val="clear" w:color="auto" w:fill="auto"/>
            <w:vAlign w:val="center"/>
          </w:tcPr>
          <w:p w14:paraId="4C502D2A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81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80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  <w:vAlign w:val="center"/>
          </w:tcPr>
          <w:p w14:paraId="3AE1801F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25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92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6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14:paraId="77FCF342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 0.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160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**</w:t>
            </w:r>
          </w:p>
        </w:tc>
      </w:tr>
      <w:tr w:rsidR="00614348" w:rsidRPr="00BE1C2B" w14:paraId="3C807962" w14:textId="77777777" w:rsidTr="00595BC3">
        <w:trPr>
          <w:trHeight w:val="330"/>
        </w:trPr>
        <w:tc>
          <w:tcPr>
            <w:tcW w:w="35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FAF91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Steroid use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, n (%)</w:t>
            </w:r>
          </w:p>
        </w:tc>
        <w:tc>
          <w:tcPr>
            <w:tcW w:w="20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BF0712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83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82.2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7F1CA0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16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>59.3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79ECDC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kern w:val="0"/>
                <w:sz w:val="22"/>
              </w:rPr>
              <w:t xml:space="preserve"> 0.019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  <w:t>*</w:t>
            </w:r>
          </w:p>
        </w:tc>
      </w:tr>
      <w:tr w:rsidR="00614348" w:rsidRPr="00BE1C2B" w14:paraId="28194FB9" w14:textId="77777777" w:rsidTr="00595BC3">
        <w:trPr>
          <w:trHeight w:val="330"/>
        </w:trPr>
        <w:tc>
          <w:tcPr>
            <w:tcW w:w="8789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BD66B1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Cs w:val="20"/>
              </w:rPr>
              <w:t xml:space="preserve">Note: Values are presented as means ± standard deviations, medians [interquartile ranges], or numbers (proportions). </w:t>
            </w:r>
            <w:r w:rsidRPr="00BE1C2B">
              <w:rPr>
                <w:rFonts w:ascii="Times New Roman" w:eastAsia="Malgun Gothic" w:hAnsi="Times New Roman" w:cs="Times New Roman"/>
                <w:szCs w:val="20"/>
              </w:rPr>
              <w:t xml:space="preserve">*Pearson’s </w:t>
            </w:r>
            <w:r w:rsidRPr="00BE1C2B">
              <w:rPr>
                <w:rFonts w:ascii="Times New Roman" w:eastAsia="Malgun Gothic" w:hAnsi="Times New Roman" w:cs="Times New Roman"/>
                <w:szCs w:val="20"/>
              </w:rPr>
              <w:sym w:font="Symbol" w:char="F063"/>
            </w:r>
            <w:r w:rsidRPr="00BE1C2B">
              <w:rPr>
                <w:rFonts w:ascii="Times New Roman" w:eastAsia="Malgun Gothic" w:hAnsi="Times New Roman" w:cs="Times New Roman"/>
                <w:szCs w:val="20"/>
                <w:vertAlign w:val="superscript"/>
              </w:rPr>
              <w:t xml:space="preserve">2 </w:t>
            </w:r>
            <w:r w:rsidRPr="00BE1C2B">
              <w:rPr>
                <w:rFonts w:ascii="Times New Roman" w:eastAsia="Malgun Gothic" w:hAnsi="Times New Roman" w:cs="Times New Roman"/>
                <w:szCs w:val="20"/>
              </w:rPr>
              <w:t>test, ** Fisher’s exact test.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Cs w:val="20"/>
              </w:rPr>
              <w:t xml:space="preserve"> Abbreviations: </w:t>
            </w:r>
            <w:r w:rsidRPr="00BE1C2B"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 xml:space="preserve">GCS, Glasgow Coma Scale; BUN, blood urea nitrogen; </w:t>
            </w:r>
            <w:r w:rsidRPr="00BE1C2B">
              <w:rPr>
                <w:rFonts w:ascii="Times New Roman" w:eastAsia="Malgun Gothic" w:hAnsi="Times New Roman" w:cs="Times New Roman"/>
                <w:color w:val="000000"/>
                <w:kern w:val="0"/>
                <w:szCs w:val="20"/>
              </w:rPr>
              <w:t>COHb, carboxyhemoglobin; CO, carbon monoxide; HBOT, hyperbaric oxygen therapy; DNS, delayed neuropsychiatric sequelae</w:t>
            </w:r>
            <w:r>
              <w:rPr>
                <w:rFonts w:ascii="Times New Roman" w:eastAsia="Malgun Gothic" w:hAnsi="Times New Roman" w:cs="Times New Roman"/>
                <w:color w:val="000000"/>
                <w:kern w:val="0"/>
                <w:szCs w:val="20"/>
              </w:rPr>
              <w:t>.</w:t>
            </w:r>
          </w:p>
        </w:tc>
      </w:tr>
      <w:tr w:rsidR="00614348" w:rsidRPr="00BE1C2B" w14:paraId="154CAB88" w14:textId="77777777" w:rsidTr="00595BC3">
        <w:trPr>
          <w:trHeight w:val="330"/>
        </w:trPr>
        <w:tc>
          <w:tcPr>
            <w:tcW w:w="8789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142141" w14:textId="77777777" w:rsidR="00614348" w:rsidRPr="00BE1C2B" w:rsidRDefault="00614348" w:rsidP="00595BC3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Malgun Gothic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14:paraId="395D500E" w14:textId="77777777" w:rsidR="00614348" w:rsidRPr="005825A0" w:rsidRDefault="00614348" w:rsidP="00614348"/>
    <w:p w14:paraId="49751EEF" w14:textId="77777777" w:rsidR="00553BE0" w:rsidRDefault="00553BE0"/>
    <w:sectPr w:rsidR="00553B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077F3" w14:textId="77777777" w:rsidR="00614348" w:rsidRDefault="00614348" w:rsidP="00614348">
      <w:pPr>
        <w:spacing w:after="0" w:line="240" w:lineRule="auto"/>
      </w:pPr>
      <w:r>
        <w:separator/>
      </w:r>
    </w:p>
  </w:endnote>
  <w:endnote w:type="continuationSeparator" w:id="0">
    <w:p w14:paraId="08FCD24F" w14:textId="77777777" w:rsidR="00614348" w:rsidRDefault="00614348" w:rsidP="0061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8F203" w14:textId="77777777" w:rsidR="00614348" w:rsidRDefault="006143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AB42" w14:textId="3B7FCF16" w:rsidR="00614348" w:rsidRDefault="0061434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1385AEE" wp14:editId="101E1C55">
              <wp:simplePos x="0" y="0"/>
              <wp:positionH relativeFrom="page">
                <wp:posOffset>0</wp:posOffset>
              </wp:positionH>
              <wp:positionV relativeFrom="page">
                <wp:posOffset>10237470</wp:posOffset>
              </wp:positionV>
              <wp:extent cx="7560310" cy="263525"/>
              <wp:effectExtent l="0" t="0" r="0" b="3175"/>
              <wp:wrapNone/>
              <wp:docPr id="1" name="MSIPCMcc014f60b364017d86b0ca67" descr="{&quot;HashCode&quot;:-13484030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3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1CA15ED" w14:textId="5427A55F" w:rsidR="00614348" w:rsidRPr="00614348" w:rsidRDefault="00614348" w:rsidP="00614348">
                          <w:pPr>
                            <w:spacing w:after="0"/>
                            <w:jc w:val="left"/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</w:pPr>
                          <w:r w:rsidRPr="00614348">
                            <w:rPr>
                              <w:rFonts w:ascii="Rockwell" w:hAnsi="Rockwell"/>
                              <w:color w:val="0078D7"/>
                              <w:sz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385AEE" id="_x0000_t202" coordsize="21600,21600" o:spt="202" path="m,l,21600r21600,l21600,xe">
              <v:stroke joinstyle="miter"/>
              <v:path gradientshapeok="t" o:connecttype="rect"/>
            </v:shapetype>
            <v:shape id="MSIPCMcc014f60b364017d86b0ca67" o:spid="_x0000_s1026" type="#_x0000_t202" alt="{&quot;HashCode&quot;:-1348403003,&quot;Height&quot;:841.0,&quot;Width&quot;:595.0,&quot;Placement&quot;:&quot;Footer&quot;,&quot;Index&quot;:&quot;Primary&quot;,&quot;Section&quot;:1,&quot;Top&quot;:0.0,&quot;Left&quot;:0.0}" style="position:absolute;left:0;text-align:left;margin-left:0;margin-top:806.1pt;width:595.3pt;height:20.7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" o:allowincell="f" filled="f" stroked="f" strokeweight=".5pt">
              <v:fill o:detectmouseclick="t"/>
              <v:textbox inset="20pt,0,,0">
                <w:txbxContent>
                  <w:p w14:paraId="31CA15ED" w14:textId="5427A55F" w:rsidR="00614348" w:rsidRPr="00614348" w:rsidRDefault="00614348" w:rsidP="00614348">
                    <w:pPr>
                      <w:spacing w:after="0"/>
                      <w:jc w:val="left"/>
                      <w:rPr>
                        <w:rFonts w:ascii="Rockwell" w:hAnsi="Rockwell"/>
                        <w:color w:val="0078D7"/>
                        <w:sz w:val="18"/>
                      </w:rPr>
                    </w:pPr>
                    <w:r w:rsidRPr="00614348">
                      <w:rPr>
                        <w:rFonts w:ascii="Rockwell" w:hAnsi="Rockwell"/>
                        <w:color w:val="0078D7"/>
                        <w:sz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A594" w14:textId="77777777" w:rsidR="00614348" w:rsidRDefault="006143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E1C2B" w14:textId="77777777" w:rsidR="00614348" w:rsidRDefault="00614348" w:rsidP="00614348">
      <w:pPr>
        <w:spacing w:after="0" w:line="240" w:lineRule="auto"/>
      </w:pPr>
      <w:r>
        <w:separator/>
      </w:r>
    </w:p>
  </w:footnote>
  <w:footnote w:type="continuationSeparator" w:id="0">
    <w:p w14:paraId="24197CED" w14:textId="77777777" w:rsidR="00614348" w:rsidRDefault="00614348" w:rsidP="0061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421D" w14:textId="77777777" w:rsidR="00614348" w:rsidRDefault="006143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96260" w14:textId="77777777" w:rsidR="00614348" w:rsidRDefault="006143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74591" w14:textId="77777777" w:rsidR="00614348" w:rsidRDefault="006143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348"/>
    <w:rsid w:val="00553BE0"/>
    <w:rsid w:val="0061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38A3C3"/>
  <w15:chartTrackingRefBased/>
  <w15:docId w15:val="{4D8E6344-BE0C-4C73-AFA2-4C2975A4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348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1434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14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348"/>
    <w:rPr>
      <w:rFonts w:eastAsiaTheme="minorEastAsia"/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614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348"/>
    <w:rPr>
      <w:rFonts w:eastAsiaTheme="minorEastAsia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1908</Characters>
  <Application>Microsoft Office Word</Application>
  <DocSecurity>0</DocSecurity>
  <Lines>15</Lines>
  <Paragraphs>4</Paragraphs>
  <ScaleCrop>false</ScaleCrop>
  <Company>Informa plc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Sophie</dc:creator>
  <cp:keywords/>
  <dc:description/>
  <cp:lastModifiedBy>Clark, Sophie</cp:lastModifiedBy>
  <cp:revision>1</cp:revision>
  <dcterms:created xsi:type="dcterms:W3CDTF">2023-01-16T11:09:00Z</dcterms:created>
  <dcterms:modified xsi:type="dcterms:W3CDTF">2023-01-16T11:09:00Z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bab825-a111-45e4-86a1-18cee0005896_Enabled">
    <vt:lpwstr>true</vt:lpwstr>
  </property>
  <property fmtid="{D5CDD505-2E9C-101B-9397-08002B2CF9AE}" pid="3" name="MSIP_Label_2bbab825-a111-45e4-86a1-18cee0005896_SetDate">
    <vt:lpwstr>2023-01-16T11:09:40Z</vt:lpwstr>
  </property>
  <property fmtid="{D5CDD505-2E9C-101B-9397-08002B2CF9AE}" pid="4" name="MSIP_Label_2bbab825-a111-45e4-86a1-18cee0005896_Method">
    <vt:lpwstr>Standard</vt:lpwstr>
  </property>
  <property fmtid="{D5CDD505-2E9C-101B-9397-08002B2CF9AE}" pid="5" name="MSIP_Label_2bbab825-a111-45e4-86a1-18cee0005896_Name">
    <vt:lpwstr>2bbab825-a111-45e4-86a1-18cee0005896</vt:lpwstr>
  </property>
  <property fmtid="{D5CDD505-2E9C-101B-9397-08002B2CF9AE}" pid="6" name="MSIP_Label_2bbab825-a111-45e4-86a1-18cee0005896_SiteId">
    <vt:lpwstr>2567d566-604c-408a-8a60-55d0dc9d9d6b</vt:lpwstr>
  </property>
  <property fmtid="{D5CDD505-2E9C-101B-9397-08002B2CF9AE}" pid="7" name="MSIP_Label_2bbab825-a111-45e4-86a1-18cee0005896_ActionId">
    <vt:lpwstr>c1d03ebf-9b8a-418e-b075-7cdbba5e214e</vt:lpwstr>
  </property>
  <property fmtid="{D5CDD505-2E9C-101B-9397-08002B2CF9AE}" pid="8" name="MSIP_Label_2bbab825-a111-45e4-86a1-18cee0005896_ContentBits">
    <vt:lpwstr>2</vt:lpwstr>
  </property>
</Properties>
</file>