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CDBF4" w14:textId="77777777" w:rsidR="005775B6" w:rsidRPr="003F1ED6" w:rsidRDefault="005775B6" w:rsidP="005775B6">
      <w:pPr>
        <w:spacing w:line="360" w:lineRule="auto"/>
        <w:jc w:val="both"/>
        <w:rPr>
          <w:b/>
          <w:bCs/>
          <w:i/>
          <w:iCs/>
          <w:shd w:val="clear" w:color="auto" w:fill="FFFFFF"/>
        </w:rPr>
      </w:pPr>
      <w:bookmarkStart w:id="0" w:name="_GoBack"/>
      <w:bookmarkEnd w:id="0"/>
      <w:r>
        <w:rPr>
          <w:b/>
          <w:bCs/>
          <w:i/>
          <w:iCs/>
          <w:shd w:val="clear" w:color="auto" w:fill="FFFFFF"/>
        </w:rPr>
        <w:t xml:space="preserve">M1. </w:t>
      </w:r>
      <w:r w:rsidRPr="003F1ED6">
        <w:rPr>
          <w:b/>
          <w:bCs/>
          <w:i/>
          <w:iCs/>
          <w:shd w:val="clear" w:color="auto" w:fill="FFFFFF"/>
        </w:rPr>
        <w:t>Intestinal organoid culture</w:t>
      </w:r>
    </w:p>
    <w:p w14:paraId="758F052A" w14:textId="33E66776" w:rsidR="005775B6" w:rsidRDefault="005775B6" w:rsidP="005775B6">
      <w:pPr>
        <w:spacing w:line="360" w:lineRule="auto"/>
        <w:jc w:val="both"/>
      </w:pPr>
      <w:r w:rsidRPr="003F1ED6">
        <w:t xml:space="preserve">Human fetal intestinal intestines were cut open longitudinally and cut into 0.5x0.5 mm pieces and extensively washed with ice-cold PBS. Subsequently, the epithelial layer was detached by digesting the intestinal tissue pieces in PBS supplemented with 5 </w:t>
      </w:r>
      <w:proofErr w:type="spellStart"/>
      <w:r w:rsidRPr="003F1ED6">
        <w:t>mM</w:t>
      </w:r>
      <w:proofErr w:type="spellEnd"/>
      <w:r w:rsidRPr="003F1ED6">
        <w:t xml:space="preserve"> EDTA (Sigma-Aldrich), 2 </w:t>
      </w:r>
      <w:proofErr w:type="spellStart"/>
      <w:r w:rsidRPr="003F1ED6">
        <w:t>mM</w:t>
      </w:r>
      <w:proofErr w:type="spellEnd"/>
      <w:r w:rsidRPr="003F1ED6">
        <w:t xml:space="preserve"> DTT (Sigma-Aldrich) and 1% FCS (</w:t>
      </w:r>
      <w:r>
        <w:t>Bio-connect</w:t>
      </w:r>
      <w:r w:rsidRPr="003F1ED6">
        <w:t>) for 30 minutes at 4°C. The supernatant was strained through a 70 µm cell strainer to obtain a single cell solution. Next, the single cells were washed once with PBS and then once with Advanced DMEM/F12 (</w:t>
      </w:r>
      <w:proofErr w:type="spellStart"/>
      <w:r w:rsidRPr="003F1ED6">
        <w:t>Thermo</w:t>
      </w:r>
      <w:proofErr w:type="spellEnd"/>
      <w:r w:rsidRPr="003F1ED6">
        <w:t xml:space="preserve"> Fisher Scientific) supplemented with 10 </w:t>
      </w:r>
      <w:proofErr w:type="spellStart"/>
      <w:r w:rsidRPr="003F1ED6">
        <w:t>mM</w:t>
      </w:r>
      <w:proofErr w:type="spellEnd"/>
      <w:r w:rsidRPr="003F1ED6">
        <w:t xml:space="preserve"> </w:t>
      </w:r>
      <w:proofErr w:type="spellStart"/>
      <w:r w:rsidRPr="003F1ED6">
        <w:t>GlutaMAX</w:t>
      </w:r>
      <w:proofErr w:type="spellEnd"/>
      <w:r w:rsidRPr="003F1ED6">
        <w:t xml:space="preserve"> (</w:t>
      </w:r>
      <w:proofErr w:type="spellStart"/>
      <w:r w:rsidRPr="003F1ED6">
        <w:t>Thermo</w:t>
      </w:r>
      <w:proofErr w:type="spellEnd"/>
      <w:r w:rsidRPr="003F1ED6">
        <w:t xml:space="preserve"> Fisher Scientific), 10 </w:t>
      </w:r>
      <w:proofErr w:type="spellStart"/>
      <w:r w:rsidRPr="003F1ED6">
        <w:t>mM</w:t>
      </w:r>
      <w:proofErr w:type="spellEnd"/>
      <w:r w:rsidRPr="003F1ED6">
        <w:t xml:space="preserve"> HEPES (Sigma), and 1X Penicillin/Streptomycin (</w:t>
      </w:r>
      <w:proofErr w:type="spellStart"/>
      <w:r w:rsidRPr="003F1ED6">
        <w:t>Thermo</w:t>
      </w:r>
      <w:proofErr w:type="spellEnd"/>
      <w:r w:rsidRPr="003F1ED6">
        <w:t xml:space="preserve"> Fisher Scientific), called Advanced+++ from herein.</w:t>
      </w:r>
      <w:r w:rsidRPr="003F1ED6">
        <w:rPr>
          <w:b/>
          <w:bCs/>
          <w:shd w:val="clear" w:color="auto" w:fill="FFFFFF"/>
        </w:rPr>
        <w:t xml:space="preserve"> </w:t>
      </w:r>
      <w:r w:rsidRPr="003F1ED6">
        <w:t xml:space="preserve">The single cells were suspended in a 1:3 Advanced+++: </w:t>
      </w:r>
      <w:proofErr w:type="spellStart"/>
      <w:r w:rsidRPr="003F1ED6">
        <w:t>Matrigel</w:t>
      </w:r>
      <w:proofErr w:type="spellEnd"/>
      <w:r w:rsidRPr="003F1ED6">
        <w:t xml:space="preserve"> (Corning) mixture </w:t>
      </w:r>
      <w:r w:rsidRPr="00B542EB">
        <w:t xml:space="preserve">and seeded in a 24-well plate (Corning) at three 10 µL droplets per well and 0.5 ml medium was added. Gut organoid cultures were maintained in </w:t>
      </w:r>
      <w:proofErr w:type="spellStart"/>
      <w:r w:rsidRPr="00B542EB">
        <w:t>Intesticult</w:t>
      </w:r>
      <w:proofErr w:type="spellEnd"/>
      <w:r w:rsidRPr="00B542EB">
        <w:t xml:space="preserve"> organoid growth medium (OGM; STEMCELL Technologies) components </w:t>
      </w:r>
      <w:r w:rsidR="00033E1F" w:rsidRPr="00B542EB">
        <w:t>‘Human Basal Medium’ and ‘Organoid Supplement’</w:t>
      </w:r>
      <w:r w:rsidRPr="00B542EB">
        <w:t xml:space="preserve"> in a 1:1 ratio supplemented with </w:t>
      </w:r>
      <w:r w:rsidRPr="00B542EB">
        <w:rPr>
          <w:shd w:val="clear" w:color="auto" w:fill="FFFFFF"/>
        </w:rPr>
        <w:t>penicillin/streptomycin (10 U/ml and 10 </w:t>
      </w:r>
      <w:proofErr w:type="spellStart"/>
      <w:r w:rsidRPr="00B542EB">
        <w:rPr>
          <w:shd w:val="clear" w:color="auto" w:fill="FFFFFF"/>
        </w:rPr>
        <w:t>μg</w:t>
      </w:r>
      <w:proofErr w:type="spellEnd"/>
      <w:r w:rsidRPr="00B542EB">
        <w:rPr>
          <w:shd w:val="clear" w:color="auto" w:fill="FFFFFF"/>
        </w:rPr>
        <w:t xml:space="preserve">/ml, respectively; </w:t>
      </w:r>
      <w:proofErr w:type="spellStart"/>
      <w:r w:rsidRPr="00B542EB">
        <w:rPr>
          <w:shd w:val="clear" w:color="auto" w:fill="FFFFFF"/>
        </w:rPr>
        <w:t>Thermo</w:t>
      </w:r>
      <w:proofErr w:type="spellEnd"/>
      <w:r w:rsidRPr="00B542EB">
        <w:rPr>
          <w:shd w:val="clear" w:color="auto" w:fill="FFFFFF"/>
        </w:rPr>
        <w:t xml:space="preserve"> Fisher Scientific)</w:t>
      </w:r>
      <w:r w:rsidRPr="00B542EB">
        <w:t xml:space="preserve">. Medium was additionally supplemented with </w:t>
      </w:r>
      <w:r w:rsidR="00033E1F" w:rsidRPr="00B542EB">
        <w:rPr>
          <w:shd w:val="clear" w:color="auto" w:fill="FFFFFF"/>
        </w:rPr>
        <w:t>10 </w:t>
      </w:r>
      <w:proofErr w:type="spellStart"/>
      <w:r w:rsidR="00033E1F" w:rsidRPr="00B542EB">
        <w:rPr>
          <w:shd w:val="clear" w:color="auto" w:fill="FFFFFF"/>
        </w:rPr>
        <w:t>μ</w:t>
      </w:r>
      <w:r w:rsidRPr="00B542EB">
        <w:t>M</w:t>
      </w:r>
      <w:proofErr w:type="spellEnd"/>
      <w:r w:rsidRPr="00B542EB">
        <w:t xml:space="preserve"> Y-27632 (RHO</w:t>
      </w:r>
      <w:r w:rsidRPr="003F1ED6">
        <w:t>/ROCK pathway inhibitor; STEMCELL Technologies) for the first 3 days after seeding. Medium was refreshed every 2-3 days and organoids were passaged once per week by mechanical disruption. G</w:t>
      </w:r>
      <w:proofErr w:type="spellStart"/>
      <w:r w:rsidRPr="003F1ED6">
        <w:rPr>
          <w:lang w:val="en-GB"/>
        </w:rPr>
        <w:t>ut</w:t>
      </w:r>
      <w:proofErr w:type="spellEnd"/>
      <w:r w:rsidRPr="003F1ED6">
        <w:rPr>
          <w:lang w:val="en-GB"/>
        </w:rPr>
        <w:t xml:space="preserve"> organoid</w:t>
      </w:r>
      <w:r w:rsidRPr="003F1ED6">
        <w:t xml:space="preserve"> cultures were kept at 37°C and 5% CO</w:t>
      </w:r>
      <w:r w:rsidRPr="003F1ED6">
        <w:rPr>
          <w:vertAlign w:val="subscript"/>
        </w:rPr>
        <w:t>2</w:t>
      </w:r>
      <w:r w:rsidRPr="003F1ED6">
        <w:t xml:space="preserve">.  </w:t>
      </w:r>
    </w:p>
    <w:p w14:paraId="0AC62142" w14:textId="77777777" w:rsidR="00C408F3" w:rsidRDefault="00C408F3" w:rsidP="005775B6">
      <w:pPr>
        <w:spacing w:line="360" w:lineRule="auto"/>
        <w:jc w:val="both"/>
      </w:pPr>
    </w:p>
    <w:p w14:paraId="6DF6A456" w14:textId="77777777" w:rsidR="00C408F3" w:rsidRPr="003F1ED6" w:rsidRDefault="00C408F3" w:rsidP="00C408F3">
      <w:pPr>
        <w:spacing w:line="360" w:lineRule="auto"/>
        <w:jc w:val="both"/>
        <w:rPr>
          <w:b/>
          <w:i/>
          <w:shd w:val="clear" w:color="auto" w:fill="FFFFFF"/>
        </w:rPr>
      </w:pPr>
      <w:r>
        <w:rPr>
          <w:b/>
          <w:i/>
          <w:shd w:val="clear" w:color="auto" w:fill="FFFFFF"/>
        </w:rPr>
        <w:t xml:space="preserve">M2. </w:t>
      </w:r>
      <w:r w:rsidRPr="003F1ED6">
        <w:rPr>
          <w:b/>
          <w:i/>
          <w:shd w:val="clear" w:color="auto" w:fill="FFFFFF"/>
        </w:rPr>
        <w:t xml:space="preserve">FITC-dextran </w:t>
      </w:r>
      <w:proofErr w:type="spellStart"/>
      <w:r w:rsidRPr="003F1ED6">
        <w:rPr>
          <w:b/>
          <w:i/>
          <w:shd w:val="clear" w:color="auto" w:fill="FFFFFF"/>
        </w:rPr>
        <w:t>paracellular</w:t>
      </w:r>
      <w:proofErr w:type="spellEnd"/>
      <w:r w:rsidRPr="003F1ED6">
        <w:rPr>
          <w:b/>
          <w:i/>
          <w:shd w:val="clear" w:color="auto" w:fill="FFFFFF"/>
        </w:rPr>
        <w:t xml:space="preserve"> permeability assay</w:t>
      </w:r>
    </w:p>
    <w:p w14:paraId="10E470ED" w14:textId="15BB4B56" w:rsidR="005775B6" w:rsidRDefault="00C408F3" w:rsidP="005775B6">
      <w:pPr>
        <w:spacing w:line="360" w:lineRule="auto"/>
        <w:jc w:val="both"/>
      </w:pPr>
      <w:r w:rsidRPr="003F1ED6">
        <w:rPr>
          <w:shd w:val="clear" w:color="auto" w:fill="FFFFFF"/>
        </w:rPr>
        <w:t xml:space="preserve">Intestinal epithelial monolayer permeability was assessed using FITC-conjugated dextran (4kDa FD4, Sigma Aldrich) translocation from the apical to the basolateral compartment. Monolayer cultures were washed with Hanks’ Balanced Salt Solution without phenol-red (HBSS, </w:t>
      </w:r>
      <w:proofErr w:type="spellStart"/>
      <w:r w:rsidRPr="003F1ED6">
        <w:rPr>
          <w:shd w:val="clear" w:color="auto" w:fill="FFFFFF"/>
        </w:rPr>
        <w:t>Lonza</w:t>
      </w:r>
      <w:proofErr w:type="spellEnd"/>
      <w:r w:rsidRPr="003F1ED6">
        <w:rPr>
          <w:shd w:val="clear" w:color="auto" w:fill="FFFFFF"/>
        </w:rPr>
        <w:t xml:space="preserve">) and incubated apically with 1ml/ml FITC-dextran solution for 4 h. The amount of FITC-dextran in both apical and basolateral chambers was determined using a </w:t>
      </w:r>
      <w:proofErr w:type="spellStart"/>
      <w:r w:rsidRPr="003F1ED6">
        <w:rPr>
          <w:shd w:val="clear" w:color="auto" w:fill="FFFFFF"/>
        </w:rPr>
        <w:t>BioTek</w:t>
      </w:r>
      <w:proofErr w:type="spellEnd"/>
      <w:r w:rsidRPr="003F1ED6">
        <w:rPr>
          <w:shd w:val="clear" w:color="auto" w:fill="FFFFFF"/>
        </w:rPr>
        <w:t xml:space="preserve"> Synergy HT plate reader. FD4 concentrations were determined using standard curves. Permeability is expressed as FD4 permeation rate: FD4 </w:t>
      </w:r>
      <w:proofErr w:type="spellStart"/>
      <w:r w:rsidRPr="003F1ED6">
        <w:rPr>
          <w:shd w:val="clear" w:color="auto" w:fill="FFFFFF"/>
        </w:rPr>
        <w:t>basolateral</w:t>
      </w:r>
      <w:r w:rsidRPr="003F1ED6">
        <w:rPr>
          <w:shd w:val="clear" w:color="auto" w:fill="FFFFFF"/>
          <w:vertAlign w:val="superscript"/>
        </w:rPr>
        <w:t>t</w:t>
      </w:r>
      <w:proofErr w:type="spellEnd"/>
      <w:r w:rsidRPr="003F1ED6">
        <w:rPr>
          <w:shd w:val="clear" w:color="auto" w:fill="FFFFFF"/>
          <w:vertAlign w:val="superscript"/>
        </w:rPr>
        <w:t>=4</w:t>
      </w:r>
      <w:r w:rsidRPr="003F1ED6">
        <w:rPr>
          <w:shd w:val="clear" w:color="auto" w:fill="FFFFFF"/>
        </w:rPr>
        <w:t>(</w:t>
      </w:r>
      <w:proofErr w:type="spellStart"/>
      <w:r w:rsidRPr="003F1ED6">
        <w:rPr>
          <w:shd w:val="clear" w:color="auto" w:fill="FFFFFF"/>
        </w:rPr>
        <w:t>μg</w:t>
      </w:r>
      <w:proofErr w:type="spellEnd"/>
      <w:r w:rsidRPr="003F1ED6">
        <w:rPr>
          <w:shd w:val="clear" w:color="auto" w:fill="FFFFFF"/>
        </w:rPr>
        <w:t xml:space="preserve">)/FD4 </w:t>
      </w:r>
      <w:proofErr w:type="spellStart"/>
      <w:r w:rsidRPr="003F1ED6">
        <w:rPr>
          <w:shd w:val="clear" w:color="auto" w:fill="FFFFFF"/>
        </w:rPr>
        <w:t>apical</w:t>
      </w:r>
      <w:r w:rsidRPr="003F1ED6">
        <w:rPr>
          <w:shd w:val="clear" w:color="auto" w:fill="FFFFFF"/>
          <w:vertAlign w:val="superscript"/>
        </w:rPr>
        <w:t>t</w:t>
      </w:r>
      <w:proofErr w:type="spellEnd"/>
      <w:r w:rsidRPr="003F1ED6">
        <w:rPr>
          <w:shd w:val="clear" w:color="auto" w:fill="FFFFFF"/>
          <w:vertAlign w:val="superscript"/>
        </w:rPr>
        <w:t>=0</w:t>
      </w:r>
      <w:r w:rsidRPr="003F1ED6">
        <w:rPr>
          <w:shd w:val="clear" w:color="auto" w:fill="FFFFFF"/>
        </w:rPr>
        <w:t>(</w:t>
      </w:r>
      <w:proofErr w:type="spellStart"/>
      <w:r w:rsidRPr="003F1ED6">
        <w:rPr>
          <w:shd w:val="clear" w:color="auto" w:fill="FFFFFF"/>
        </w:rPr>
        <w:t>μg</w:t>
      </w:r>
      <w:proofErr w:type="spellEnd"/>
      <w:r w:rsidRPr="003F1ED6">
        <w:rPr>
          <w:shd w:val="clear" w:color="auto" w:fill="FFFFFF"/>
        </w:rPr>
        <w:t>).</w:t>
      </w:r>
    </w:p>
    <w:p w14:paraId="26CCEC98" w14:textId="77777777" w:rsidR="005775B6" w:rsidRPr="003F1ED6" w:rsidRDefault="005775B6" w:rsidP="005775B6">
      <w:pPr>
        <w:spacing w:line="360" w:lineRule="auto"/>
        <w:jc w:val="both"/>
      </w:pPr>
    </w:p>
    <w:p w14:paraId="1E9D5B69" w14:textId="4D45DC9C" w:rsidR="005775B6" w:rsidRPr="003F1ED6" w:rsidRDefault="004E142E" w:rsidP="005775B6">
      <w:pPr>
        <w:spacing w:line="360" w:lineRule="auto"/>
        <w:jc w:val="both"/>
        <w:rPr>
          <w:b/>
          <w:bCs/>
          <w:i/>
          <w:iCs/>
          <w:shd w:val="clear" w:color="auto" w:fill="FFFFFF"/>
        </w:rPr>
      </w:pPr>
      <w:r>
        <w:rPr>
          <w:b/>
          <w:bCs/>
          <w:i/>
          <w:iCs/>
          <w:shd w:val="clear" w:color="auto" w:fill="FFFFFF"/>
        </w:rPr>
        <w:t>M</w:t>
      </w:r>
      <w:r w:rsidR="00243008">
        <w:rPr>
          <w:b/>
          <w:bCs/>
          <w:i/>
          <w:iCs/>
          <w:shd w:val="clear" w:color="auto" w:fill="FFFFFF"/>
        </w:rPr>
        <w:t>3</w:t>
      </w:r>
      <w:r>
        <w:rPr>
          <w:b/>
          <w:bCs/>
          <w:i/>
          <w:iCs/>
          <w:shd w:val="clear" w:color="auto" w:fill="FFFFFF"/>
        </w:rPr>
        <w:t xml:space="preserve">. </w:t>
      </w:r>
      <w:r w:rsidR="005775B6" w:rsidRPr="003F1ED6">
        <w:rPr>
          <w:b/>
          <w:bCs/>
          <w:i/>
          <w:iCs/>
          <w:shd w:val="clear" w:color="auto" w:fill="FFFFFF"/>
        </w:rPr>
        <w:t>ACE2 expression</w:t>
      </w:r>
    </w:p>
    <w:p w14:paraId="15C89CF8" w14:textId="77777777" w:rsidR="005775B6" w:rsidRPr="003F1ED6" w:rsidRDefault="005775B6" w:rsidP="005775B6">
      <w:pPr>
        <w:spacing w:line="360" w:lineRule="auto"/>
        <w:jc w:val="both"/>
      </w:pPr>
      <w:r w:rsidRPr="003F1ED6">
        <w:t xml:space="preserve">Sections of infant human intestinal tissue samples were fixed with formalin and embedded in paraffin blocks prior to being cut into 5 paraffin-embedded 5 µm sections and placed in slides. Sections were then dewaxed and rehydrated, after which they were stained in an automatic </w:t>
      </w:r>
      <w:proofErr w:type="spellStart"/>
      <w:r w:rsidRPr="003F1ED6">
        <w:t>immunostainer</w:t>
      </w:r>
      <w:proofErr w:type="spellEnd"/>
      <w:r w:rsidRPr="003F1ED6">
        <w:t xml:space="preserve"> (Benchmark Ultra; </w:t>
      </w:r>
      <w:proofErr w:type="spellStart"/>
      <w:r w:rsidRPr="003F1ED6">
        <w:t>Ventana</w:t>
      </w:r>
      <w:proofErr w:type="spellEnd"/>
      <w:r w:rsidRPr="003F1ED6">
        <w:t xml:space="preserve"> Medical Systems) for ACE2 (primary: R&amp;D Systems AF933; secondary: donkey anti-goat IgG (H+L)-Alexa Fluor 488, Invitrogen A-</w:t>
      </w:r>
      <w:r w:rsidRPr="003F1ED6">
        <w:lastRenderedPageBreak/>
        <w:t xml:space="preserve">11055). Cell nuclei were counterstained with DAPI (Invitrogen). Tissue slides were visualized using a LEICA (DM IRB) inverted microscope and </w:t>
      </w:r>
      <w:proofErr w:type="spellStart"/>
      <w:r w:rsidRPr="003F1ED6">
        <w:t>ImageJ</w:t>
      </w:r>
      <w:proofErr w:type="spellEnd"/>
      <w:r w:rsidRPr="003F1ED6">
        <w:t xml:space="preserve"> was used to analyze the signals.</w:t>
      </w:r>
    </w:p>
    <w:p w14:paraId="4C3A970E" w14:textId="77777777" w:rsidR="005775B6" w:rsidRDefault="005775B6" w:rsidP="005775B6">
      <w:pPr>
        <w:spacing w:line="360" w:lineRule="auto"/>
        <w:ind w:firstLine="720"/>
        <w:jc w:val="both"/>
        <w:rPr>
          <w:bdr w:val="none" w:sz="0" w:space="0" w:color="auto" w:frame="1"/>
          <w:shd w:val="clear" w:color="auto" w:fill="FFFFFF"/>
        </w:rPr>
      </w:pPr>
      <w:r w:rsidRPr="003F1ED6">
        <w:t xml:space="preserve">Alternatively, single cells were obtained from </w:t>
      </w:r>
      <w:r w:rsidRPr="003F1ED6">
        <w:rPr>
          <w:lang w:val="en-GB"/>
        </w:rPr>
        <w:t xml:space="preserve">gut </w:t>
      </w:r>
      <w:r w:rsidRPr="003F1ED6">
        <w:t>organoid culture</w:t>
      </w:r>
      <w:r w:rsidRPr="003F1ED6">
        <w:rPr>
          <w:lang w:val="en-GB"/>
        </w:rPr>
        <w:t>s</w:t>
      </w:r>
      <w:r w:rsidRPr="003F1ED6">
        <w:t xml:space="preserve"> as described above, washed thoroughly with PBS, and stained with goat anti-ACE2 (R&amp;D Systems AF933) followed by donkey anti-goat IgG (H+L)-Alexa Fluor 488 (Invitrogen A-11055). </w:t>
      </w:r>
      <w:r w:rsidRPr="003F1ED6">
        <w:rPr>
          <w:bdr w:val="none" w:sz="0" w:space="0" w:color="auto" w:frame="1"/>
          <w:shd w:val="clear" w:color="auto" w:fill="FFFFFF"/>
        </w:rPr>
        <w:t>ACE2 expression was quantified using flow cytometry (</w:t>
      </w:r>
      <w:proofErr w:type="spellStart"/>
      <w:r w:rsidRPr="003F1ED6">
        <w:rPr>
          <w:bdr w:val="none" w:sz="0" w:space="0" w:color="auto" w:frame="1"/>
          <w:shd w:val="clear" w:color="auto" w:fill="FFFFFF"/>
        </w:rPr>
        <w:t>FACSCanto</w:t>
      </w:r>
      <w:proofErr w:type="spellEnd"/>
      <w:r w:rsidRPr="003F1ED6">
        <w:rPr>
          <w:bdr w:val="none" w:sz="0" w:space="0" w:color="auto" w:frame="1"/>
          <w:shd w:val="clear" w:color="auto" w:fill="FFFFFF"/>
        </w:rPr>
        <w:t xml:space="preserve"> II, BD Biosciences) and </w:t>
      </w:r>
      <w:proofErr w:type="spellStart"/>
      <w:r w:rsidRPr="003F1ED6">
        <w:rPr>
          <w:bdr w:val="none" w:sz="0" w:space="0" w:color="auto" w:frame="1"/>
          <w:shd w:val="clear" w:color="auto" w:fill="FFFFFF"/>
        </w:rPr>
        <w:t>analysed</w:t>
      </w:r>
      <w:proofErr w:type="spellEnd"/>
      <w:r w:rsidRPr="003F1ED6">
        <w:rPr>
          <w:bdr w:val="none" w:sz="0" w:space="0" w:color="auto" w:frame="1"/>
          <w:shd w:val="clear" w:color="auto" w:fill="FFFFFF"/>
        </w:rPr>
        <w:t xml:space="preserve"> using </w:t>
      </w:r>
      <w:proofErr w:type="spellStart"/>
      <w:r w:rsidRPr="003F1ED6">
        <w:rPr>
          <w:bdr w:val="none" w:sz="0" w:space="0" w:color="auto" w:frame="1"/>
          <w:shd w:val="clear" w:color="auto" w:fill="FFFFFF"/>
        </w:rPr>
        <w:t>FlowJo</w:t>
      </w:r>
      <w:proofErr w:type="spellEnd"/>
      <w:r w:rsidRPr="003F1ED6">
        <w:rPr>
          <w:bdr w:val="none" w:sz="0" w:space="0" w:color="auto" w:frame="1"/>
          <w:shd w:val="clear" w:color="auto" w:fill="FFFFFF"/>
        </w:rPr>
        <w:t xml:space="preserve"> (version 10.8, </w:t>
      </w:r>
      <w:proofErr w:type="spellStart"/>
      <w:r w:rsidRPr="003F1ED6">
        <w:rPr>
          <w:bdr w:val="none" w:sz="0" w:space="0" w:color="auto" w:frame="1"/>
          <w:shd w:val="clear" w:color="auto" w:fill="FFFFFF"/>
        </w:rPr>
        <w:t>Treestar</w:t>
      </w:r>
      <w:proofErr w:type="spellEnd"/>
      <w:r w:rsidRPr="003F1ED6">
        <w:rPr>
          <w:bdr w:val="none" w:sz="0" w:space="0" w:color="auto" w:frame="1"/>
          <w:shd w:val="clear" w:color="auto" w:fill="FFFFFF"/>
        </w:rPr>
        <w:t>).</w:t>
      </w:r>
    </w:p>
    <w:p w14:paraId="7EC1E06E" w14:textId="77777777" w:rsidR="00243008" w:rsidRDefault="00243008" w:rsidP="005775B6">
      <w:pPr>
        <w:spacing w:line="360" w:lineRule="auto"/>
        <w:ind w:firstLine="720"/>
        <w:jc w:val="both"/>
        <w:rPr>
          <w:bdr w:val="none" w:sz="0" w:space="0" w:color="auto" w:frame="1"/>
          <w:shd w:val="clear" w:color="auto" w:fill="FFFFFF"/>
        </w:rPr>
      </w:pPr>
    </w:p>
    <w:p w14:paraId="6ECBCED3" w14:textId="77777777" w:rsidR="00243008" w:rsidRPr="003F1ED6" w:rsidRDefault="00243008" w:rsidP="00243008">
      <w:pPr>
        <w:spacing w:line="360" w:lineRule="auto"/>
        <w:jc w:val="both"/>
        <w:rPr>
          <w:b/>
          <w:i/>
          <w:iCs/>
          <w:shd w:val="clear" w:color="auto" w:fill="FFFFFF"/>
          <w:lang w:val="en-GB"/>
        </w:rPr>
      </w:pPr>
      <w:r>
        <w:rPr>
          <w:b/>
          <w:i/>
          <w:iCs/>
          <w:shd w:val="clear" w:color="auto" w:fill="FFFFFF"/>
        </w:rPr>
        <w:t>M4. Cell line culture conditions</w:t>
      </w:r>
    </w:p>
    <w:p w14:paraId="1BCA6007" w14:textId="77777777" w:rsidR="00243008" w:rsidRPr="003F1ED6" w:rsidRDefault="00243008" w:rsidP="00243008">
      <w:pPr>
        <w:spacing w:line="360" w:lineRule="auto"/>
        <w:jc w:val="both"/>
      </w:pPr>
      <w:r w:rsidRPr="003F1ED6">
        <w:rPr>
          <w:shd w:val="clear" w:color="auto" w:fill="FFFFFF"/>
        </w:rPr>
        <w:t xml:space="preserve">The </w:t>
      </w:r>
      <w:proofErr w:type="spellStart"/>
      <w:r w:rsidRPr="003F1ED6">
        <w:rPr>
          <w:shd w:val="clear" w:color="auto" w:fill="FFFFFF"/>
        </w:rPr>
        <w:t>Caco</w:t>
      </w:r>
      <w:proofErr w:type="spellEnd"/>
      <w:r w:rsidRPr="003F1ED6">
        <w:rPr>
          <w:shd w:val="clear" w:color="auto" w:fill="FFFFFF"/>
          <w:lang w:val="en-GB"/>
        </w:rPr>
        <w:t>-</w:t>
      </w:r>
      <w:r w:rsidRPr="003F1ED6">
        <w:rPr>
          <w:shd w:val="clear" w:color="auto" w:fill="FFFFFF"/>
        </w:rPr>
        <w:t>2 cell line w</w:t>
      </w:r>
      <w:r w:rsidRPr="003F1ED6">
        <w:rPr>
          <w:shd w:val="clear" w:color="auto" w:fill="FFFFFF"/>
          <w:lang w:val="en-GB"/>
        </w:rPr>
        <w:t>as</w:t>
      </w:r>
      <w:r w:rsidRPr="003F1ED6">
        <w:rPr>
          <w:shd w:val="clear" w:color="auto" w:fill="FFFFFF"/>
        </w:rPr>
        <w:t xml:space="preserve"> maintained in EMEM (ATCC #30-2003) either with 8% FCS (</w:t>
      </w:r>
      <w:r>
        <w:rPr>
          <w:shd w:val="clear" w:color="auto" w:fill="FFFFFF"/>
        </w:rPr>
        <w:t>Bio-connect</w:t>
      </w:r>
      <w:r w:rsidRPr="003F1ED6">
        <w:rPr>
          <w:shd w:val="clear" w:color="auto" w:fill="FFFFFF"/>
        </w:rPr>
        <w:t>), 2mM L-glutamine (</w:t>
      </w:r>
      <w:proofErr w:type="spellStart"/>
      <w:r w:rsidRPr="003F1ED6">
        <w:rPr>
          <w:shd w:val="clear" w:color="auto" w:fill="FFFFFF"/>
        </w:rPr>
        <w:t>Lonza</w:t>
      </w:r>
      <w:proofErr w:type="spellEnd"/>
      <w:r w:rsidRPr="003F1ED6">
        <w:rPr>
          <w:shd w:val="clear" w:color="auto" w:fill="FFFFFF"/>
        </w:rPr>
        <w:t>), 1x</w:t>
      </w:r>
      <w:r w:rsidRPr="003F1ED6">
        <w:rPr>
          <w:b/>
          <w:bCs/>
          <w:shd w:val="clear" w:color="auto" w:fill="FFFFFF"/>
        </w:rPr>
        <w:t xml:space="preserve"> </w:t>
      </w:r>
      <w:r w:rsidRPr="003F1ED6">
        <w:rPr>
          <w:shd w:val="clear" w:color="auto" w:fill="FFFFFF"/>
        </w:rPr>
        <w:t>non-essential amino acids (</w:t>
      </w:r>
      <w:proofErr w:type="spellStart"/>
      <w:r w:rsidRPr="003F1ED6">
        <w:rPr>
          <w:shd w:val="clear" w:color="auto" w:fill="FFFFFF"/>
        </w:rPr>
        <w:t>SanBio</w:t>
      </w:r>
      <w:proofErr w:type="spellEnd"/>
      <w:r w:rsidRPr="003F1ED6">
        <w:rPr>
          <w:shd w:val="clear" w:color="auto" w:fill="FFFFFF"/>
        </w:rPr>
        <w:t xml:space="preserve"> SCC0823), and penicillin/streptomycin (10 U/ml and 10 </w:t>
      </w:r>
      <w:proofErr w:type="spellStart"/>
      <w:r w:rsidRPr="003F1ED6">
        <w:rPr>
          <w:shd w:val="clear" w:color="auto" w:fill="FFFFFF"/>
        </w:rPr>
        <w:t>μg</w:t>
      </w:r>
      <w:proofErr w:type="spellEnd"/>
      <w:r w:rsidRPr="003F1ED6">
        <w:rPr>
          <w:shd w:val="clear" w:color="auto" w:fill="FFFFFF"/>
        </w:rPr>
        <w:t>/ml, respectively; Invitrogen). Caco-2 cells used in Omicron BA.2 and BA.5 infection assays were maintained in EMEM (ATCC#30-2003) with only 20% FBA (</w:t>
      </w:r>
      <w:proofErr w:type="spellStart"/>
      <w:r w:rsidRPr="003F1ED6">
        <w:rPr>
          <w:shd w:val="clear" w:color="auto" w:fill="FFFFFF"/>
        </w:rPr>
        <w:t>Thermo</w:t>
      </w:r>
      <w:proofErr w:type="spellEnd"/>
      <w:r w:rsidRPr="003F1ED6">
        <w:rPr>
          <w:shd w:val="clear" w:color="auto" w:fill="FFFFFF"/>
        </w:rPr>
        <w:t xml:space="preserve"> Scientific) and no additional antibiotics or supplements.</w:t>
      </w:r>
    </w:p>
    <w:p w14:paraId="3DD2AB42" w14:textId="77777777" w:rsidR="00243008" w:rsidRPr="00482D52" w:rsidRDefault="00243008" w:rsidP="00482D52">
      <w:pPr>
        <w:spacing w:line="360" w:lineRule="auto"/>
        <w:jc w:val="both"/>
        <w:rPr>
          <w:shd w:val="clear" w:color="auto" w:fill="FFFFFF"/>
        </w:rPr>
      </w:pPr>
      <w:r>
        <w:rPr>
          <w:shd w:val="clear" w:color="auto" w:fill="FFFFFF"/>
        </w:rPr>
        <w:t xml:space="preserve">The </w:t>
      </w:r>
      <w:r w:rsidRPr="003F1ED6">
        <w:rPr>
          <w:shd w:val="clear" w:color="auto" w:fill="FFFFFF"/>
        </w:rPr>
        <w:t xml:space="preserve">U87.CD4.CCR5 </w:t>
      </w:r>
      <w:r>
        <w:rPr>
          <w:shd w:val="clear" w:color="auto" w:fill="FFFFFF"/>
        </w:rPr>
        <w:t xml:space="preserve">and U87.LC3-mCherry-GFP cell lines </w:t>
      </w:r>
      <w:r w:rsidRPr="003F1ED6">
        <w:rPr>
          <w:shd w:val="clear" w:color="auto" w:fill="FFFFFF"/>
        </w:rPr>
        <w:t xml:space="preserve">were maintained in </w:t>
      </w:r>
      <w:proofErr w:type="spellStart"/>
      <w:r w:rsidRPr="003F1ED6">
        <w:rPr>
          <w:shd w:val="clear" w:color="auto" w:fill="FFFFFF"/>
        </w:rPr>
        <w:t>Iscoves</w:t>
      </w:r>
      <w:proofErr w:type="spellEnd"/>
      <w:r w:rsidRPr="003F1ED6">
        <w:rPr>
          <w:shd w:val="clear" w:color="auto" w:fill="FFFFFF"/>
        </w:rPr>
        <w:t xml:space="preserve"> Modified Dulbecco's Medium (IMDM, </w:t>
      </w:r>
      <w:proofErr w:type="spellStart"/>
      <w:r w:rsidRPr="003F1ED6">
        <w:rPr>
          <w:shd w:val="clear" w:color="auto" w:fill="FFFFFF"/>
        </w:rPr>
        <w:t>Thermo</w:t>
      </w:r>
      <w:proofErr w:type="spellEnd"/>
      <w:r w:rsidRPr="003F1ED6">
        <w:rPr>
          <w:shd w:val="clear" w:color="auto" w:fill="FFFFFF"/>
        </w:rPr>
        <w:t xml:space="preserve"> Fischer Scientific, USA) supplemented with 10% FCS and penicillin/streptomycin (10 U/ml and 10 </w:t>
      </w:r>
      <w:proofErr w:type="spellStart"/>
      <w:r w:rsidRPr="003F1ED6">
        <w:rPr>
          <w:shd w:val="clear" w:color="auto" w:fill="FFFFFF"/>
        </w:rPr>
        <w:t>μg</w:t>
      </w:r>
      <w:proofErr w:type="spellEnd"/>
      <w:r w:rsidRPr="003F1ED6">
        <w:rPr>
          <w:shd w:val="clear" w:color="auto" w:fill="FFFFFF"/>
        </w:rPr>
        <w:t>/ml, respectively; Invitrogen).</w:t>
      </w:r>
    </w:p>
    <w:p w14:paraId="5600DE17" w14:textId="77777777" w:rsidR="005775B6" w:rsidRDefault="005775B6" w:rsidP="005775B6">
      <w:pPr>
        <w:spacing w:line="360" w:lineRule="auto"/>
        <w:ind w:firstLine="720"/>
        <w:jc w:val="both"/>
        <w:rPr>
          <w:bdr w:val="none" w:sz="0" w:space="0" w:color="auto" w:frame="1"/>
          <w:shd w:val="clear" w:color="auto" w:fill="FFFFFF"/>
        </w:rPr>
      </w:pPr>
    </w:p>
    <w:p w14:paraId="7A54ED65" w14:textId="77777777" w:rsidR="00C408F3" w:rsidRPr="003F1ED6" w:rsidRDefault="00C408F3" w:rsidP="00C408F3">
      <w:pPr>
        <w:spacing w:line="360" w:lineRule="auto"/>
        <w:jc w:val="both"/>
        <w:rPr>
          <w:b/>
          <w:i/>
          <w:iCs/>
          <w:shd w:val="clear" w:color="auto" w:fill="FFFFFF"/>
        </w:rPr>
      </w:pPr>
      <w:r>
        <w:rPr>
          <w:b/>
          <w:i/>
          <w:iCs/>
          <w:shd w:val="clear" w:color="auto" w:fill="FFFFFF"/>
        </w:rPr>
        <w:t xml:space="preserve">M5. </w:t>
      </w:r>
      <w:r w:rsidRPr="003F1ED6">
        <w:rPr>
          <w:b/>
          <w:i/>
          <w:iCs/>
          <w:shd w:val="clear" w:color="auto" w:fill="FFFFFF"/>
        </w:rPr>
        <w:t xml:space="preserve">Cell viability </w:t>
      </w:r>
    </w:p>
    <w:p w14:paraId="35092748" w14:textId="0C2D399F" w:rsidR="005775B6" w:rsidRDefault="00C408F3" w:rsidP="00C408F3">
      <w:pPr>
        <w:spacing w:line="360" w:lineRule="auto"/>
        <w:jc w:val="both"/>
        <w:rPr>
          <w:bdr w:val="none" w:sz="0" w:space="0" w:color="auto" w:frame="1"/>
          <w:shd w:val="clear" w:color="auto" w:fill="FFFFFF"/>
        </w:rPr>
      </w:pPr>
      <w:r w:rsidRPr="003F1ED6">
        <w:rPr>
          <w:shd w:val="clear" w:color="auto" w:fill="FFFFFF"/>
        </w:rPr>
        <w:t xml:space="preserve">Cell viability was measured using the ATP-based </w:t>
      </w:r>
      <w:proofErr w:type="spellStart"/>
      <w:r w:rsidRPr="003F1ED6">
        <w:rPr>
          <w:shd w:val="clear" w:color="auto" w:fill="FFFFFF"/>
        </w:rPr>
        <w:t>CellTiter-Glo</w:t>
      </w:r>
      <w:proofErr w:type="spellEnd"/>
      <w:r w:rsidRPr="003F1ED6">
        <w:rPr>
          <w:shd w:val="clear" w:color="auto" w:fill="FFFFFF"/>
        </w:rPr>
        <w:t xml:space="preserve"> 3D reagent (</w:t>
      </w:r>
      <w:proofErr w:type="spellStart"/>
      <w:r w:rsidRPr="003F1ED6">
        <w:rPr>
          <w:shd w:val="clear" w:color="auto" w:fill="FFFFFF"/>
        </w:rPr>
        <w:t>Promega</w:t>
      </w:r>
      <w:proofErr w:type="spellEnd"/>
      <w:r w:rsidRPr="003F1ED6">
        <w:rPr>
          <w:shd w:val="clear" w:color="auto" w:fill="FFFFFF"/>
        </w:rPr>
        <w:t xml:space="preserve">) according to the manufacturer’s instructions. Briefly, the </w:t>
      </w:r>
      <w:proofErr w:type="spellStart"/>
      <w:r w:rsidRPr="003F1ED6">
        <w:rPr>
          <w:shd w:val="clear" w:color="auto" w:fill="FFFFFF"/>
        </w:rPr>
        <w:t>CellTiter-Glo</w:t>
      </w:r>
      <w:proofErr w:type="spellEnd"/>
      <w:r w:rsidRPr="003F1ED6">
        <w:rPr>
          <w:shd w:val="clear" w:color="auto" w:fill="FFFFFF"/>
        </w:rPr>
        <w:t xml:space="preserve"> 3D reagent and white 96-well plate were equilibrated to RT. Medium was removed from the cells and 100 </w:t>
      </w:r>
      <w:proofErr w:type="spellStart"/>
      <w:r w:rsidRPr="003F1ED6">
        <w:rPr>
          <w:shd w:val="clear" w:color="auto" w:fill="FFFFFF"/>
        </w:rPr>
        <w:t>ul</w:t>
      </w:r>
      <w:proofErr w:type="spellEnd"/>
      <w:r w:rsidRPr="003F1ED6">
        <w:rPr>
          <w:shd w:val="clear" w:color="auto" w:fill="FFFFFF"/>
        </w:rPr>
        <w:t xml:space="preserve"> of 1:1 ratio of </w:t>
      </w:r>
      <w:proofErr w:type="spellStart"/>
      <w:r w:rsidRPr="003F1ED6">
        <w:rPr>
          <w:shd w:val="clear" w:color="auto" w:fill="FFFFFF"/>
        </w:rPr>
        <w:t>CellTiter-Glo</w:t>
      </w:r>
      <w:proofErr w:type="spellEnd"/>
      <w:r w:rsidRPr="003F1ED6">
        <w:rPr>
          <w:shd w:val="clear" w:color="auto" w:fill="FFFFFF"/>
        </w:rPr>
        <w:t xml:space="preserve"> 3D reagent and </w:t>
      </w:r>
      <w:proofErr w:type="spellStart"/>
      <w:r w:rsidRPr="003F1ED6">
        <w:rPr>
          <w:shd w:val="clear" w:color="auto" w:fill="FFFFFF"/>
        </w:rPr>
        <w:t>dPBS</w:t>
      </w:r>
      <w:proofErr w:type="spellEnd"/>
      <w:r w:rsidRPr="003F1ED6">
        <w:rPr>
          <w:shd w:val="clear" w:color="auto" w:fill="FFFFFF"/>
        </w:rPr>
        <w:t xml:space="preserve"> (</w:t>
      </w:r>
      <w:proofErr w:type="spellStart"/>
      <w:r w:rsidRPr="003F1ED6">
        <w:rPr>
          <w:shd w:val="clear" w:color="auto" w:fill="FFFFFF"/>
        </w:rPr>
        <w:t>Lonza</w:t>
      </w:r>
      <w:proofErr w:type="spellEnd"/>
      <w:r w:rsidRPr="003F1ED6">
        <w:rPr>
          <w:shd w:val="clear" w:color="auto" w:fill="FFFFFF"/>
        </w:rPr>
        <w:t>) was added to the cells and mixed vigorously. After incubating for 15 minutes at 37</w:t>
      </w:r>
      <w:r w:rsidRPr="003F1ED6">
        <w:t xml:space="preserve">°C to induce cell lysis, the suspension was transferred to the </w:t>
      </w:r>
      <w:r w:rsidRPr="003F1ED6">
        <w:rPr>
          <w:shd w:val="clear" w:color="auto" w:fill="FFFFFF"/>
        </w:rPr>
        <w:t xml:space="preserve">white 96-well plate and luminescence was measured by the </w:t>
      </w:r>
      <w:proofErr w:type="spellStart"/>
      <w:r w:rsidRPr="003F1ED6">
        <w:t>SynergyHTX</w:t>
      </w:r>
      <w:proofErr w:type="spellEnd"/>
      <w:r w:rsidRPr="003F1ED6">
        <w:t xml:space="preserve"> (</w:t>
      </w:r>
      <w:proofErr w:type="spellStart"/>
      <w:r w:rsidRPr="003F1ED6">
        <w:t>BioTek</w:t>
      </w:r>
      <w:proofErr w:type="spellEnd"/>
      <w:r w:rsidRPr="003F1ED6">
        <w:t>) plate reader.</w:t>
      </w:r>
    </w:p>
    <w:p w14:paraId="3B34B957" w14:textId="77777777" w:rsidR="005775B6" w:rsidRDefault="005775B6" w:rsidP="005775B6">
      <w:pPr>
        <w:spacing w:line="360" w:lineRule="auto"/>
        <w:ind w:firstLine="720"/>
        <w:jc w:val="both"/>
        <w:rPr>
          <w:bdr w:val="none" w:sz="0" w:space="0" w:color="auto" w:frame="1"/>
          <w:shd w:val="clear" w:color="auto" w:fill="FFFFFF"/>
        </w:rPr>
      </w:pPr>
    </w:p>
    <w:p w14:paraId="70B723AE" w14:textId="77777777" w:rsidR="005775B6" w:rsidRPr="003F1ED6" w:rsidRDefault="00C408F3" w:rsidP="005775B6">
      <w:pPr>
        <w:spacing w:line="360" w:lineRule="auto"/>
        <w:jc w:val="both"/>
        <w:rPr>
          <w:b/>
          <w:bCs/>
          <w:i/>
          <w:iCs/>
          <w:shd w:val="clear" w:color="auto" w:fill="FFFFFF"/>
          <w:lang w:val="en-GB"/>
        </w:rPr>
      </w:pPr>
      <w:r>
        <w:rPr>
          <w:b/>
          <w:bCs/>
          <w:i/>
          <w:iCs/>
          <w:shd w:val="clear" w:color="auto" w:fill="FFFFFF"/>
          <w:lang w:val="en-GB"/>
        </w:rPr>
        <w:t>M6</w:t>
      </w:r>
      <w:r w:rsidR="004E142E">
        <w:rPr>
          <w:b/>
          <w:bCs/>
          <w:i/>
          <w:iCs/>
          <w:shd w:val="clear" w:color="auto" w:fill="FFFFFF"/>
          <w:lang w:val="en-GB"/>
        </w:rPr>
        <w:t xml:space="preserve">. </w:t>
      </w:r>
      <w:r w:rsidR="005775B6" w:rsidRPr="003F1ED6">
        <w:rPr>
          <w:b/>
          <w:bCs/>
          <w:i/>
          <w:iCs/>
          <w:shd w:val="clear" w:color="auto" w:fill="FFFFFF"/>
          <w:lang w:val="en-GB"/>
        </w:rPr>
        <w:t>SARS-CoV-2 pseudovirus production</w:t>
      </w:r>
    </w:p>
    <w:p w14:paraId="3CE0CBB0" w14:textId="3CB89E76" w:rsidR="005775B6" w:rsidRDefault="005775B6" w:rsidP="005775B6">
      <w:pPr>
        <w:spacing w:line="360" w:lineRule="auto"/>
        <w:ind w:firstLine="720"/>
        <w:jc w:val="both"/>
        <w:rPr>
          <w:color w:val="000000"/>
          <w:shd w:val="clear" w:color="auto" w:fill="FFFFFF"/>
        </w:rPr>
      </w:pPr>
      <w:r w:rsidRPr="003F1ED6">
        <w:t>Single-round infection pseudotyped SARS-CoV-2 (NL4.3-ΔENV-luc-GB-pseudo-SARS-CoV-2-SpikeΔ21) were generated as described previously</w:t>
      </w:r>
      <w:r w:rsidR="00B83A04">
        <w:t xml:space="preserve"> [50,51]. </w:t>
      </w:r>
      <w:r w:rsidRPr="003F1ED6">
        <w:t xml:space="preserve">Briefly, plasmid amplification was achieved by transformation into DH5α </w:t>
      </w:r>
      <w:r w:rsidRPr="003F1ED6">
        <w:rPr>
          <w:lang w:val="en-GB"/>
        </w:rPr>
        <w:t xml:space="preserve">or </w:t>
      </w:r>
      <w:r w:rsidRPr="003F1ED6">
        <w:t xml:space="preserve">Stbl3 </w:t>
      </w:r>
      <w:r w:rsidRPr="003F1ED6">
        <w:rPr>
          <w:i/>
          <w:iCs/>
        </w:rPr>
        <w:t>E. coli</w:t>
      </w:r>
      <w:r w:rsidRPr="003F1ED6">
        <w:t xml:space="preserve"> bacteria (Invitrogen)</w:t>
      </w:r>
      <w:r w:rsidRPr="003F1ED6">
        <w:rPr>
          <w:lang w:val="en-GB"/>
        </w:rPr>
        <w:t>, respectively,</w:t>
      </w:r>
      <w:r w:rsidRPr="003F1ED6">
        <w:t xml:space="preserve"> and subsequent co-transfection of plasmids was performed in human embryonic kidney (HEK)-293T cells using a </w:t>
      </w:r>
      <w:proofErr w:type="spellStart"/>
      <w:r w:rsidRPr="003F1ED6">
        <w:t>GeneJuice</w:t>
      </w:r>
      <w:proofErr w:type="spellEnd"/>
      <w:r w:rsidRPr="003F1ED6">
        <w:t xml:space="preserve"> (</w:t>
      </w:r>
      <w:proofErr w:type="spellStart"/>
      <w:r w:rsidRPr="003F1ED6">
        <w:t>Novagen</w:t>
      </w:r>
      <w:proofErr w:type="spellEnd"/>
      <w:r w:rsidRPr="003F1ED6">
        <w:t xml:space="preserve">, USA) transfection kit, according to manufacturer instructions. Virus was collected 2 days after transfection and filtered over a </w:t>
      </w:r>
      <w:r w:rsidRPr="003F1ED6">
        <w:lastRenderedPageBreak/>
        <w:t xml:space="preserve">0.2µM nitrocellulose membrane (Sartorius </w:t>
      </w:r>
      <w:proofErr w:type="spellStart"/>
      <w:r w:rsidRPr="003F1ED6">
        <w:t>Stedim</w:t>
      </w:r>
      <w:proofErr w:type="spellEnd"/>
      <w:r w:rsidRPr="003F1ED6">
        <w:t xml:space="preserve">, Gottingen, Germany). SARS-CoV-2 pseudovirus </w:t>
      </w:r>
      <w:proofErr w:type="spellStart"/>
      <w:r w:rsidRPr="003F1ED6">
        <w:t>titre</w:t>
      </w:r>
      <w:proofErr w:type="spellEnd"/>
      <w:r w:rsidRPr="003F1ED6">
        <w:t xml:space="preserve"> was determined by luciferase reporter activity after 3 days of infection in </w:t>
      </w:r>
      <w:r w:rsidRPr="003F1ED6">
        <w:rPr>
          <w:shd w:val="clear" w:color="auto" w:fill="FFFFFF"/>
        </w:rPr>
        <w:t xml:space="preserve">Human embryonic kidney 293 </w:t>
      </w:r>
      <w:r>
        <w:rPr>
          <w:shd w:val="clear" w:color="auto" w:fill="FFFFFF"/>
        </w:rPr>
        <w:t>(</w:t>
      </w:r>
      <w:r w:rsidRPr="003F1ED6">
        <w:t>HEK-293T</w:t>
      </w:r>
      <w:r>
        <w:t>)</w:t>
      </w:r>
      <w:r w:rsidRPr="003F1ED6">
        <w:t xml:space="preserve"> cells expressing human ACE2 (HEK-293T-hACE2) obtained through BEI Resources, NIAID, NIH: Human Embryonic Kidney Cells (HEK-293T) Expressing Human Angiotensin-Converting Enzyme 2, HEK-293T-hACE2 Cell Line, NR-52511. </w:t>
      </w:r>
      <w:r w:rsidRPr="003F1ED6">
        <w:rPr>
          <w:shd w:val="clear" w:color="auto" w:fill="FFFFFF"/>
        </w:rPr>
        <w:t xml:space="preserve">Stock titers </w:t>
      </w:r>
      <w:r w:rsidR="00463898">
        <w:rPr>
          <w:shd w:val="clear" w:color="auto" w:fill="FFFFFF"/>
        </w:rPr>
        <w:t xml:space="preserve">(tissue culture infection dose 50, TCID50) </w:t>
      </w:r>
      <w:r w:rsidRPr="003F1ED6">
        <w:rPr>
          <w:shd w:val="clear" w:color="auto" w:fill="FFFFFF"/>
        </w:rPr>
        <w:t xml:space="preserve">were determined by titration on Vero cells. </w:t>
      </w:r>
    </w:p>
    <w:p w14:paraId="16F2F3FC" w14:textId="77777777" w:rsidR="00463898" w:rsidRDefault="00463898" w:rsidP="00463898">
      <w:pPr>
        <w:spacing w:line="360" w:lineRule="auto"/>
        <w:jc w:val="both"/>
        <w:rPr>
          <w:color w:val="000000"/>
          <w:shd w:val="clear" w:color="auto" w:fill="FFFFFF"/>
        </w:rPr>
      </w:pPr>
    </w:p>
    <w:p w14:paraId="0186C43F" w14:textId="77777777" w:rsidR="00463898" w:rsidRPr="003F1ED6" w:rsidRDefault="00463898" w:rsidP="00463898">
      <w:pPr>
        <w:spacing w:line="360" w:lineRule="auto"/>
        <w:jc w:val="both"/>
        <w:rPr>
          <w:b/>
          <w:bCs/>
          <w:i/>
          <w:iCs/>
          <w:lang w:val="en-GB"/>
        </w:rPr>
      </w:pPr>
      <w:r>
        <w:rPr>
          <w:b/>
          <w:bCs/>
          <w:i/>
          <w:iCs/>
          <w:lang w:val="en-GB"/>
        </w:rPr>
        <w:t xml:space="preserve">M7. </w:t>
      </w:r>
      <w:r w:rsidRPr="003F1ED6">
        <w:rPr>
          <w:b/>
          <w:bCs/>
          <w:i/>
          <w:iCs/>
          <w:lang w:val="en-GB"/>
        </w:rPr>
        <w:t>SARS-CoV-2 Omicron BA.2 and BA.5 production</w:t>
      </w:r>
    </w:p>
    <w:p w14:paraId="2A23531E" w14:textId="77777777" w:rsidR="00463898" w:rsidRPr="003F1ED6" w:rsidRDefault="00463898" w:rsidP="00463898">
      <w:pPr>
        <w:spacing w:line="360" w:lineRule="auto"/>
        <w:jc w:val="both"/>
      </w:pPr>
      <w:r w:rsidRPr="003F1ED6">
        <w:t>All infections with replicative SARS-CoV-2 viruses were carried out in the UBC FINDER or SFU BIO3 Biosafety Level 3 (BSL3) facilities in accordance with the Public Health Agency of Canada and UBC FINDER or SFU BIO3 regulations (UBC BSL3 Permit # B20-0105 and SFU Permit #361-2021).</w:t>
      </w:r>
      <w:r w:rsidRPr="003F1ED6">
        <w:rPr>
          <w:b/>
          <w:bCs/>
        </w:rPr>
        <w:t xml:space="preserve"> </w:t>
      </w:r>
      <w:r w:rsidRPr="003F1ED6">
        <w:t xml:space="preserve">SARS-CoV-2 Omicron BA.2 was kindly provided by Dr. Mel </w:t>
      </w:r>
      <w:proofErr w:type="spellStart"/>
      <w:r w:rsidRPr="003F1ED6">
        <w:t>Krajden</w:t>
      </w:r>
      <w:proofErr w:type="spellEnd"/>
      <w:r w:rsidRPr="003F1ED6">
        <w:t xml:space="preserve"> (BC Centre for Disease Control, BC, Canada).</w:t>
      </w:r>
      <w:r w:rsidRPr="003F1ED6">
        <w:rPr>
          <w:lang w:val="en-GB"/>
        </w:rPr>
        <w:t xml:space="preserve"> </w:t>
      </w:r>
      <w:r w:rsidRPr="003F1ED6">
        <w:rPr>
          <w:bdr w:val="none" w:sz="0" w:space="0" w:color="auto" w:frame="1"/>
          <w:shd w:val="clear" w:color="auto" w:fill="FFFFFF"/>
        </w:rPr>
        <w:t>SARS-CoV-2 Omicron BA.5 was isolated by Dr. Masahiro </w:t>
      </w:r>
      <w:proofErr w:type="spellStart"/>
      <w:r w:rsidRPr="003F1ED6">
        <w:rPr>
          <w:bdr w:val="none" w:sz="0" w:space="0" w:color="auto" w:frame="1"/>
          <w:shd w:val="clear" w:color="auto" w:fill="FFFFFF"/>
        </w:rPr>
        <w:t>Niikura</w:t>
      </w:r>
      <w:proofErr w:type="spellEnd"/>
      <w:r w:rsidRPr="003F1ED6">
        <w:rPr>
          <w:bdr w:val="none" w:sz="0" w:space="0" w:color="auto" w:frame="1"/>
          <w:shd w:val="clear" w:color="auto" w:fill="FFFFFF"/>
        </w:rPr>
        <w:t xml:space="preserve"> (SFU) from a clinical specimen in VeroE6/TMPRSS2 cells and confirmed as a BA.5 variant by complete genome sequencing (sequence available in GISAID). Omicron subvariants BA.2 and BA.5 were amplified in VeroE6/TMPRSS2 cells and used in the experiments at passage 2.</w:t>
      </w:r>
    </w:p>
    <w:p w14:paraId="28388283" w14:textId="77777777" w:rsidR="00463898" w:rsidRPr="003F1ED6" w:rsidRDefault="00463898" w:rsidP="00482D52">
      <w:pPr>
        <w:spacing w:line="360" w:lineRule="auto"/>
        <w:jc w:val="both"/>
      </w:pPr>
    </w:p>
    <w:p w14:paraId="1AF3AE0D" w14:textId="77777777" w:rsidR="00E220C8" w:rsidRPr="005775B6" w:rsidRDefault="00201F91" w:rsidP="005775B6"/>
    <w:sectPr w:rsidR="00E220C8" w:rsidRPr="005775B6" w:rsidSect="00201F91">
      <w:footerReference w:type="default" r:id="rId7"/>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778EC" w16cex:dateUtc="2023-02-03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CBDD19" w16cid:durableId="278778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102CF" w14:textId="77777777" w:rsidR="00201F91" w:rsidRDefault="00201F91" w:rsidP="00201F91">
      <w:r>
        <w:separator/>
      </w:r>
    </w:p>
  </w:endnote>
  <w:endnote w:type="continuationSeparator" w:id="0">
    <w:p w14:paraId="750A720C" w14:textId="77777777" w:rsidR="00201F91" w:rsidRDefault="00201F91" w:rsidP="0020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838836"/>
      <w:docPartObj>
        <w:docPartGallery w:val="Page Numbers (Bottom of Page)"/>
        <w:docPartUnique/>
      </w:docPartObj>
    </w:sdtPr>
    <w:sdtContent>
      <w:sdt>
        <w:sdtPr>
          <w:id w:val="-1769616900"/>
          <w:docPartObj>
            <w:docPartGallery w:val="Page Numbers (Top of Page)"/>
            <w:docPartUnique/>
          </w:docPartObj>
        </w:sdtPr>
        <w:sdtContent>
          <w:p w14:paraId="00FF4F5C" w14:textId="1574A200" w:rsidR="00201F91" w:rsidRDefault="00201F91" w:rsidP="00201F91">
            <w:pPr>
              <w:pStyle w:val="Voettekst"/>
              <w:jc w:val="right"/>
            </w:pPr>
            <w:r w:rsidRPr="00AF64C9">
              <w:rPr>
                <w:sz w:val="18"/>
                <w:szCs w:val="18"/>
              </w:rPr>
              <w:t>Cloherty &amp; Rader</w:t>
            </w:r>
            <w:r>
              <w:rPr>
                <w:sz w:val="18"/>
                <w:szCs w:val="18"/>
              </w:rPr>
              <w:t xml:space="preserve"> </w:t>
            </w:r>
            <w:r w:rsidRPr="00AF64C9">
              <w:rPr>
                <w:i/>
                <w:sz w:val="18"/>
                <w:szCs w:val="18"/>
              </w:rPr>
              <w:t>et. al.</w:t>
            </w:r>
            <w:r w:rsidRPr="00AF64C9">
              <w:rPr>
                <w:sz w:val="18"/>
                <w:szCs w:val="18"/>
              </w:rPr>
              <w:t xml:space="preserve"> | </w:t>
            </w:r>
            <w:r>
              <w:rPr>
                <w:sz w:val="18"/>
                <w:szCs w:val="18"/>
              </w:rPr>
              <w:t>Supplementary material</w:t>
            </w:r>
            <w:r w:rsidRPr="00AF64C9">
              <w:rPr>
                <w:sz w:val="18"/>
                <w:szCs w:val="18"/>
              </w:rPr>
              <w:t xml:space="preserve"> | Page </w:t>
            </w:r>
            <w:r w:rsidRPr="00AF64C9">
              <w:rPr>
                <w:bCs/>
                <w:sz w:val="18"/>
                <w:szCs w:val="18"/>
              </w:rPr>
              <w:fldChar w:fldCharType="begin"/>
            </w:r>
            <w:r w:rsidRPr="00AF64C9">
              <w:rPr>
                <w:bCs/>
                <w:sz w:val="18"/>
                <w:szCs w:val="18"/>
              </w:rPr>
              <w:instrText xml:space="preserve"> PAGE </w:instrText>
            </w:r>
            <w:r w:rsidRPr="00AF64C9">
              <w:rPr>
                <w:bCs/>
                <w:sz w:val="18"/>
                <w:szCs w:val="18"/>
              </w:rPr>
              <w:fldChar w:fldCharType="separate"/>
            </w:r>
            <w:r>
              <w:rPr>
                <w:bCs/>
                <w:noProof/>
                <w:sz w:val="18"/>
                <w:szCs w:val="18"/>
              </w:rPr>
              <w:t>3</w:t>
            </w:r>
            <w:r w:rsidRPr="00AF64C9">
              <w:rPr>
                <w:bCs/>
                <w:sz w:val="18"/>
                <w:szCs w:val="18"/>
              </w:rPr>
              <w:fldChar w:fldCharType="end"/>
            </w:r>
            <w:r w:rsidRPr="00AF64C9">
              <w:rPr>
                <w:sz w:val="18"/>
                <w:szCs w:val="18"/>
              </w:rPr>
              <w:t xml:space="preserve"> of </w:t>
            </w:r>
            <w:r w:rsidRPr="00AF64C9">
              <w:rPr>
                <w:bCs/>
                <w:sz w:val="18"/>
                <w:szCs w:val="18"/>
              </w:rPr>
              <w:fldChar w:fldCharType="begin"/>
            </w:r>
            <w:r w:rsidRPr="00AF64C9">
              <w:rPr>
                <w:bCs/>
                <w:sz w:val="18"/>
                <w:szCs w:val="18"/>
              </w:rPr>
              <w:instrText xml:space="preserve"> NUMPAGES  </w:instrText>
            </w:r>
            <w:r w:rsidRPr="00AF64C9">
              <w:rPr>
                <w:bCs/>
                <w:sz w:val="18"/>
                <w:szCs w:val="18"/>
              </w:rPr>
              <w:fldChar w:fldCharType="separate"/>
            </w:r>
            <w:r>
              <w:rPr>
                <w:bCs/>
                <w:noProof/>
                <w:sz w:val="18"/>
                <w:szCs w:val="18"/>
              </w:rPr>
              <w:t>3</w:t>
            </w:r>
            <w:r w:rsidRPr="00AF64C9">
              <w:rPr>
                <w:bCs/>
                <w:sz w:val="18"/>
                <w:szCs w:val="18"/>
              </w:rPr>
              <w:fldChar w:fldCharType="end"/>
            </w:r>
          </w:p>
        </w:sdtContent>
      </w:sdt>
    </w:sdtContent>
  </w:sdt>
  <w:p w14:paraId="272ADC7E" w14:textId="77777777" w:rsidR="00201F91" w:rsidRDefault="00201F9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E0C82" w14:textId="77777777" w:rsidR="00201F91" w:rsidRDefault="00201F91" w:rsidP="00201F91">
      <w:r>
        <w:separator/>
      </w:r>
    </w:p>
  </w:footnote>
  <w:footnote w:type="continuationSeparator" w:id="0">
    <w:p w14:paraId="20144862" w14:textId="77777777" w:rsidR="00201F91" w:rsidRDefault="00201F91" w:rsidP="00201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5B6"/>
    <w:rsid w:val="00033E1F"/>
    <w:rsid w:val="00145776"/>
    <w:rsid w:val="00201F91"/>
    <w:rsid w:val="00243008"/>
    <w:rsid w:val="003A213D"/>
    <w:rsid w:val="00463898"/>
    <w:rsid w:val="00482D52"/>
    <w:rsid w:val="004E142E"/>
    <w:rsid w:val="00511124"/>
    <w:rsid w:val="005775B6"/>
    <w:rsid w:val="005C44F6"/>
    <w:rsid w:val="006E54C0"/>
    <w:rsid w:val="00850E28"/>
    <w:rsid w:val="00881F82"/>
    <w:rsid w:val="00966DF8"/>
    <w:rsid w:val="00B542EB"/>
    <w:rsid w:val="00B83A04"/>
    <w:rsid w:val="00C408F3"/>
    <w:rsid w:val="00EC2F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AA6BE"/>
  <w15:chartTrackingRefBased/>
  <w15:docId w15:val="{0919A76E-67ED-4576-8485-E8919B693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775B6"/>
    <w:pPr>
      <w:spacing w:after="0" w:line="240" w:lineRule="auto"/>
    </w:pPr>
    <w:rPr>
      <w:rFonts w:ascii="Times New Roman" w:eastAsia="Times New Roman" w:hAnsi="Times New Roman" w:cs="Times New Roman"/>
      <w:sz w:val="24"/>
      <w:szCs w:val="24"/>
      <w:lang w:val="en-US"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5775B6"/>
    <w:rPr>
      <w:sz w:val="16"/>
      <w:szCs w:val="16"/>
    </w:rPr>
  </w:style>
  <w:style w:type="paragraph" w:styleId="Tekstopmerking">
    <w:name w:val="annotation text"/>
    <w:basedOn w:val="Standaard"/>
    <w:link w:val="TekstopmerkingChar"/>
    <w:uiPriority w:val="99"/>
    <w:unhideWhenUsed/>
    <w:rsid w:val="005775B6"/>
    <w:rPr>
      <w:sz w:val="20"/>
      <w:szCs w:val="20"/>
    </w:rPr>
  </w:style>
  <w:style w:type="character" w:customStyle="1" w:styleId="TekstopmerkingChar">
    <w:name w:val="Tekst opmerking Char"/>
    <w:basedOn w:val="Standaardalinea-lettertype"/>
    <w:link w:val="Tekstopmerking"/>
    <w:uiPriority w:val="99"/>
    <w:rsid w:val="005775B6"/>
    <w:rPr>
      <w:rFonts w:ascii="Times New Roman" w:eastAsia="Times New Roman" w:hAnsi="Times New Roman" w:cs="Times New Roman"/>
      <w:sz w:val="20"/>
      <w:szCs w:val="20"/>
      <w:lang w:val="en-US" w:eastAsia="en-GB"/>
    </w:rPr>
  </w:style>
  <w:style w:type="paragraph" w:styleId="Ballontekst">
    <w:name w:val="Balloon Text"/>
    <w:basedOn w:val="Standaard"/>
    <w:link w:val="BallontekstChar"/>
    <w:uiPriority w:val="99"/>
    <w:semiHidden/>
    <w:unhideWhenUsed/>
    <w:rsid w:val="005775B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775B6"/>
    <w:rPr>
      <w:rFonts w:ascii="Segoe UI" w:eastAsia="Times New Roman" w:hAnsi="Segoe UI" w:cs="Segoe UI"/>
      <w:sz w:val="18"/>
      <w:szCs w:val="18"/>
      <w:lang w:val="en-US" w:eastAsia="en-GB"/>
    </w:rPr>
  </w:style>
  <w:style w:type="paragraph" w:styleId="Revisie">
    <w:name w:val="Revision"/>
    <w:hidden/>
    <w:uiPriority w:val="99"/>
    <w:semiHidden/>
    <w:rsid w:val="00243008"/>
    <w:pPr>
      <w:spacing w:after="0" w:line="240" w:lineRule="auto"/>
    </w:pPr>
    <w:rPr>
      <w:rFonts w:ascii="Times New Roman" w:eastAsia="Times New Roman" w:hAnsi="Times New Roman" w:cs="Times New Roman"/>
      <w:sz w:val="24"/>
      <w:szCs w:val="24"/>
      <w:lang w:val="en-US" w:eastAsia="en-GB"/>
    </w:rPr>
  </w:style>
  <w:style w:type="paragraph" w:styleId="Onderwerpvanopmerking">
    <w:name w:val="annotation subject"/>
    <w:basedOn w:val="Tekstopmerking"/>
    <w:next w:val="Tekstopmerking"/>
    <w:link w:val="OnderwerpvanopmerkingChar"/>
    <w:uiPriority w:val="99"/>
    <w:semiHidden/>
    <w:unhideWhenUsed/>
    <w:rsid w:val="00EC2F6C"/>
    <w:rPr>
      <w:b/>
      <w:bCs/>
    </w:rPr>
  </w:style>
  <w:style w:type="character" w:customStyle="1" w:styleId="OnderwerpvanopmerkingChar">
    <w:name w:val="Onderwerp van opmerking Char"/>
    <w:basedOn w:val="TekstopmerkingChar"/>
    <w:link w:val="Onderwerpvanopmerking"/>
    <w:uiPriority w:val="99"/>
    <w:semiHidden/>
    <w:rsid w:val="00EC2F6C"/>
    <w:rPr>
      <w:rFonts w:ascii="Times New Roman" w:eastAsia="Times New Roman" w:hAnsi="Times New Roman" w:cs="Times New Roman"/>
      <w:b/>
      <w:bCs/>
      <w:sz w:val="20"/>
      <w:szCs w:val="20"/>
      <w:lang w:val="en-US" w:eastAsia="en-GB"/>
    </w:rPr>
  </w:style>
  <w:style w:type="paragraph" w:styleId="Koptekst">
    <w:name w:val="header"/>
    <w:basedOn w:val="Standaard"/>
    <w:link w:val="KoptekstChar"/>
    <w:uiPriority w:val="99"/>
    <w:unhideWhenUsed/>
    <w:rsid w:val="00201F91"/>
    <w:pPr>
      <w:tabs>
        <w:tab w:val="center" w:pos="4680"/>
        <w:tab w:val="right" w:pos="9360"/>
      </w:tabs>
    </w:pPr>
  </w:style>
  <w:style w:type="character" w:customStyle="1" w:styleId="KoptekstChar">
    <w:name w:val="Koptekst Char"/>
    <w:basedOn w:val="Standaardalinea-lettertype"/>
    <w:link w:val="Koptekst"/>
    <w:uiPriority w:val="99"/>
    <w:rsid w:val="00201F91"/>
    <w:rPr>
      <w:rFonts w:ascii="Times New Roman" w:eastAsia="Times New Roman" w:hAnsi="Times New Roman" w:cs="Times New Roman"/>
      <w:sz w:val="24"/>
      <w:szCs w:val="24"/>
      <w:lang w:val="en-US" w:eastAsia="en-GB"/>
    </w:rPr>
  </w:style>
  <w:style w:type="paragraph" w:styleId="Voettekst">
    <w:name w:val="footer"/>
    <w:basedOn w:val="Standaard"/>
    <w:link w:val="VoettekstChar"/>
    <w:uiPriority w:val="99"/>
    <w:unhideWhenUsed/>
    <w:rsid w:val="00201F91"/>
    <w:pPr>
      <w:tabs>
        <w:tab w:val="center" w:pos="4680"/>
        <w:tab w:val="right" w:pos="9360"/>
      </w:tabs>
    </w:pPr>
  </w:style>
  <w:style w:type="character" w:customStyle="1" w:styleId="VoettekstChar">
    <w:name w:val="Voettekst Char"/>
    <w:basedOn w:val="Standaardalinea-lettertype"/>
    <w:link w:val="Voettekst"/>
    <w:uiPriority w:val="99"/>
    <w:rsid w:val="00201F91"/>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A3F5ED5-D510-6E42-A7F1-442BE131BC08}">
  <we:reference id="wa104382081" version="1.46.0.0" store="en-US" storeType="OMEX"/>
  <we:alternateReferences>
    <we:reference id="WA104382081" version="1.46.0.0" store="" storeType="OMEX"/>
  </we:alternateReferences>
  <we:properties>
    <we:property name="MENDELEY_CITATIONS" value="[{&quot;citationID&quot;:&quot;MENDELEY_CITATION_a336e0c8-ef2c-44f3-9f8a-7397980ad875&quot;,&quot;properties&quot;:{&quot;noteIndex&quot;:0},&quot;isEdited&quot;:false,&quot;manualOverride&quot;:{&quot;isManuallyOverridden&quot;:false,&quot;citeprocText&quot;:&quot;[1]&quot;,&quot;manualOverrideText&quot;:&quot;&quot;},&quot;citationTag&quot;:&quot;MENDELEY_CITATION_v3_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&quot;,&quot;citationItems&quot;:[{&quot;id&quot;:&quot;7afea2e5-a7bd-396d-964e-491a75faaf88&quot;,&quot;itemData&quot;:{&quot;type&quot;:&quot;article-journal&quot;,&quot;id&quot;:&quot;7afea2e5-a7bd-396d-964e-491a75faaf88&quot;,&quot;title&quot;:&quot;In vitro co-culture of human intestinal organoids and lamina propria-derived CD4+ T cells&quot;,&quot;author&quot;:[{&quot;family&quot;:&quot;Schreurs&quot;,&quot;given&quot;:&quot;Renée R C E&quot;,&quot;parse-names&quot;:false,&quot;dropping-particle&quot;:&quot;&quot;,&quot;non-dropping-particle&quot;:&quot;&quot;},{&quot;family&quot;:&quot;Baumdick&quot;,&quot;given&quot;:&quot;Martin E&quot;,&quot;parse-names&quot;:false,&quot;dropping-particle&quot;:&quot;&quot;,&quot;non-dropping-particle&quot;:&quot;&quot;},{&quot;family&quot;:&quot;Drewniak&quot;,&quot;given&quot;:&quot;Agata&quot;,&quot;parse-names&quot;:false,&quot;dropping-particle&quot;:&quot;&quot;,&quot;non-dropping-particle&quot;:&quot;&quot;},{&quot;family&quot;:&quot;Bunders&quot;,&quot;given&quot;:&quot;Madeleine J&quot;,&quot;parse-names&quot;:false,&quot;dropping-particle&quot;:&quot;&quot;,&quot;non-dropping-particle&quot;:&quot;&quot;}],&quot;container-title&quot;:&quot;STAR Protocols&quot;,&quot;DOI&quot;:&quot;https://doi.org/10.1016/j.xpro.2021.100519&quot;,&quot;ISSN&quot;:&quot;2666-1667&quot;,&quot;PMID&quot;:&quot;34036282&quot;,&quot;issued&quot;:{&quot;date-parts&quot;:[[2021]]},&quot;page&quot;:&quot;100519&quot;,&quot;abstract&quot;:&quot;Summary\nCrosstalk between immune cells and intestinal stem cells (ISCs) in vivo plays a critical role in tissue homeostasis and inflammation; however, in vitro models based on primary cells recapitulating this interaction were lacking. Here, we provide a detailed protocol for an autologous in vitro long-term 3D co-culture system of human intestinal CD4+ T cells and ISCs to study T cell-intestinal epithelial cell interactions during tissue development and inflammation. For complete details on the use and execution of this protocol, please refer to Schreurs et al. (2019).&quot;,&quot;issue&quot;:&quot;2&quot;,&quot;volume&quot;:&quot;2&quot;,&quot;container-title-short&quot;:&quot;STAR Protoc&quot;},&quot;isTemporary&quot;:false}]},{&quot;citationID&quot;:&quot;MENDELEY_CITATION_b488a17d-a6a2-4537-bc66-b7a2cee5e90f&quot;,&quot;properties&quot;:{&quot;noteIndex&quot;:0},&quot;isEdited&quot;:false,&quot;manualOverride&quot;:{&quot;isManuallyOverridden&quot;:false,&quot;citeprocText&quot;:&quot;[2,3]&quot;,&quot;manualOverrideText&quot;:&quot;&quot;},&quot;citationTag&quot;:&quot;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&quot;,&quot;citationItems&quot;:[{&quot;id&quot;:&quot;fbf970a3-e29d-3710-a2b2-b232d4d6ff24&quot;,&quot;itemData&quot;:{&quot;type&quot;:&quot;article-journal&quot;,&quot;id&quot;:&quot;fbf970a3-e29d-3710-a2b2-b232d4d6ff24&quot;,&quot;title&quot;:&quot;Protocol and reagents for pseudotyping lentiviral particles with SARS-CoV-2 spike protein for neutralization assays&quot;,&quot;author&quot;:[{&quot;family&quot;:&quot;Crawford&quot;,&quot;given&quot;:&quot;Katharine H.D.&quot;,&quot;parse-names&quot;:false,&quot;dropping-particle&quot;:&quot;&quot;,&quot;non-dropping-particle&quot;:&quot;&quot;},{&quot;family&quot;:&quot;Eguia&quot;,&quot;given&quot;:&quot;Rachel&quot;,&quot;parse-names&quot;:false,&quot;dropping-particle&quot;:&quot;&quot;,&quot;non-dropping-particle&quot;:&quot;&quot;},{&quot;family&quot;:&quot;Dingens&quot;,&quot;given&quot;:&quot;Adam S.&quot;,&quot;parse-names&quot;:false,&quot;dropping-particle&quot;:&quot;&quot;,&quot;non-dropping-particle&quot;:&quot;&quot;},{&quot;family&quot;:&quot;Loes&quot;,&quot;given&quot;:&quot;Andrea N.&quot;,&quot;parse-names&quot;:false,&quot;dropping-particle&quot;:&quot;&quot;,&quot;non-dropping-particle&quot;:&quot;&quot;},{&quot;family&quot;:&quot;Malone&quot;,&quot;given&quot;:&quot;Keara D.&quot;,&quot;parse-names&quot;:false,&quot;dropping-particle&quot;:&quot;&quot;,&quot;non-dropping-particle&quot;:&quot;&quot;},{&quot;family&quot;:&quot;Wolf&quot;,&quot;given&quot;:&quot;Caitlin R.&quot;,&quot;parse-names&quot;:false,&quot;dropping-particle&quot;:&quot;&quot;,&quot;non-dropping-particle&quot;:&quot;&quot;},{&quot;family&quot;:&quot;Chu&quot;,&quot;given&quot;:&quot;Helen Y.&quot;,&quot;parse-names&quot;:false,&quot;dropping-particle&quot;:&quot;&quot;,&quot;non-dropping-particle&quot;:&quot;&quot;},{&quot;family&quot;:&quot;Tortorici&quot;,&quot;given&quot;:&quot;M. Alejandra&quot;,&quot;parse-names&quot;:false,&quot;dropping-particle&quot;:&quot;&quot;,&quot;non-dropping-particle&quot;:&quot;&quot;},{&quot;family&quot;:&quot;Veesler&quot;,&quot;given&quot;:&quot;David&quot;,&quot;parse-names&quot;:false,&quot;dropping-particle&quot;:&quot;&quot;,&quot;non-dropping-particle&quot;:&quot;&quot;},{&quot;family&quot;:&quot;Murphy&quot;,&quot;given&quot;:&quot;Michael&quot;,&quot;parse-names&quot;:false,&quot;dropping-particle&quot;:&quot;&quot;,&quot;non-dropping-particle&quot;:&quot;&quot;},{&quot;family&quot;:&quot;Pettie&quot;,&quot;given&quot;:&quot;Deleah&quot;,&quot;parse-names&quot;:false,&quot;dropping-particle&quot;:&quot;&quot;,&quot;non-dropping-particle&quot;:&quot;&quot;},{&quot;family&quot;:&quot;King&quot;,&quot;given&quot;:&quot;Neil P.&quot;,&quot;parse-names&quot;:false,&quot;dropping-particle&quot;:&quot;&quot;,&quot;non-dropping-particle&quot;:&quot;&quot;},{&quot;family&quot;:&quot;Balazs&quot;,&quot;given&quot;:&quot;Alejandro B.&quot;,&quot;parse-names&quot;:false,&quot;dropping-particle&quot;:&quot;&quot;,&quot;non-dropping-particle&quot;:&quot;&quot;},{&quot;family&quot;:&quot;Bloom&quot;,&quot;given&quot;:&quot;Jesse D.&quot;,&quot;parse-names&quot;:false,&quot;dropping-particle&quot;:&quot;&quot;,&quot;non-dropping-particle&quot;:&quot;&quot;}],&quot;container-title&quot;:&quot;Viruses&quot;,&quot;container-title-short&quot;:&quot;Viruses&quot;,&quot;DOI&quot;:&quot;10.3390/v12050513&quot;,&quot;ISSN&quot;:&quot;19994915&quot;,&quot;PMID&quot;:&quot;32384820&quot;,&quot;issued&quot;:{&quot;date-parts&quot;:[[2020,5,1]]},&quot;abstract&quot;:&quot;SARS-CoV-2 enters cells using its Spike protein, which is also the main target of neutralizing antibodies. Therefore, assays to measure how antibodies and sera affect Spikemediated viral infection are important for studying immunity. Because SARS-CoV-2 is a biosafetylevel- 3 virus, one way to simplify such assays is to pseudotype biosafety-level-2 viral particles with Spike. Such pseudotyping has now been described for single-cycle lentiviral, retroviral, and vesicular stomatitis virus (VSV) particles, but the reagents and protocols are not widely available. Here, we detailed how to effectively pseudotype lentiviral particles with SARS-CoV-2 Spike and infect 293T cells engineered to express the SARS-CoV-2 receptor, ACE2. We also made all the key experimental reagents available in the BEI Resources repository of ATCC and the NIH. Furthermore, we demonstrated how these pseudotyped lentiviral particles could be used to measure the neutralizing activity of human sera or plasma against SARS-CoV-2 in convenient luciferase-based assays, thereby providing a valuable complement to ELISA-based methods that measure antibody binding rather than neutralization.&quot;,&quot;publisher&quot;:&quot;MDPI AG&quot;,&quot;issue&quot;:&quot;5&quot;,&quot;volume&quot;:&quot;12&quot;},&quot;isTemporary&quot;:false},{&quot;id&quot;:&quot;30c99989-ca7d-3f19-9e97-2cc1a6ae6ea7&quot;,&quot;itemData&quot;:{&quot;type&quot;:&quot;article-journal&quot;,&quot;id&quot;:&quot;30c99989-ca7d-3f19-9e97-2cc1a6ae6ea7&quot;,&quot;title&quot;:&quot;Infection and transmission of SARS‐CoV‐2 depend on heparan sulfate proteoglycans&quot;,&quot;author&quot;:[{&quot;family&quot;:&quot;Bermejo‐Jambrina&quot;,&quot;given&quot;:&quot;Marta&quot;,&quot;parse-names&quot;:false,&quot;dropping-particle&quot;:&quot;&quot;,&quot;non-dropping-particle&quot;:&quot;&quot;},{&quot;family&quot;:&quot;Eder&quot;,&quot;given&quot;:&quot;Julia&quot;,&quot;parse-names&quot;:false,&quot;dropping-particle&quot;:&quot;&quot;,&quot;non-dropping-particle&quot;:&quot;&quot;},{&quot;family&quot;:&quot;Kaptein&quot;,&quot;given&quot;:&quot;Tanja M&quot;,&quot;parse-names&quot;:false,&quot;dropping-particle&quot;:&quot;&quot;,&quot;non-dropping-particle&quot;:&quot;&quot;},{&quot;family&quot;:&quot;Hamme&quot;,&quot;given&quot;:&quot;John L&quot;,&quot;parse-names&quot;:false,&quot;dropping-particle&quot;:&quot;&quot;,&quot;non-dropping-particle&quot;:&quot;&quot;},{&quot;family&quot;:&quot;Helgers&quot;,&quot;given&quot;:&quot;Leanne C&quot;,&quot;parse-names&quot;:false,&quot;dropping-particle&quot;:&quot;&quot;,&quot;non-dropping-particle&quot;:&quot;&quot;},{&quot;family&quot;:&quot;Vlaming&quot;,&quot;given&quot;:&quot;Killian E&quot;,&quot;parse-names&quot;:false,&quot;dropping-particle&quot;:&quot;&quot;,&quot;non-dropping-particle&quot;:&quot;&quot;},{&quot;family&quot;:&quot;Brouwer&quot;,&quot;given&quot;:&quot;Philip J M&quot;,&quot;parse-names&quot;:false,&quot;dropping-particle&quot;:&quot;&quot;,&quot;non-dropping-particle&quot;:&quot;&quot;},{&quot;family&quot;:&quot;Nuenen&quot;,&quot;given&quot;:&quot;Ad C&quot;,&quot;parse-names&quot;:false,&quot;dropping-particle&quot;:&quot;&quot;,&quot;non-dropping-particle&quot;:&quot;&quot;},{&quot;family&quot;:&quot;Spaargaren&quot;,&quot;given&quot;:&quot;Marcel&quot;,&quot;parse-names&quot;:false,&quot;dropping-particle&quot;:&quot;&quot;,&quot;non-dropping-particle&quot;:&quot;&quot;},{&quot;family&quot;:&quot;Bree&quot;,&quot;given&quot;:&quot;Godelieve J&quot;,&quot;parse-names&quot;:false,&quot;dropping-particle&quot;:&quot;&quot;,&quot;non-dropping-particle&quot;:&quot;&quot;},{&quot;family&quot;:&quot;Nijmeijer&quot;,&quot;given&quot;:&quot;Bernadien M&quot;,&quot;parse-names&quot;:false,&quot;dropping-particle&quot;:&quot;&quot;,&quot;non-dropping-particle&quot;:&quot;&quot;},{&quot;family&quot;:&quot;Kootstra&quot;,&quot;given&quot;:&quot;Neeltje A&quot;,&quot;parse-names&quot;:false,&quot;dropping-particle&quot;:&quot;&quot;,&quot;non-dropping-particle&quot;:&quot;&quot;},{&quot;family&quot;:&quot;Gils&quot;,&quot;given&quot;:&quot;Marit J&quot;,&quot;parse-names&quot;:false,&quot;dropping-particle&quot;:&quot;&quot;,&quot;non-dropping-particle&quot;:&quot;&quot;},{&quot;family&quot;:&quot;Sanders&quot;,&quot;given&quot;:&quot;Rogier W&quot;,&quot;parse-names&quot;:false,&quot;dropping-particle&quot;:&quot;&quot;,&quot;non-dropping-particle&quot;:&quot;&quot;},{&quot;family&quot;:&quot;Geijtenbeek&quot;,&quot;given&quot;:&quot;Teunis B H&quot;,&quot;parse-names&quot;:false,&quot;dropping-particle&quot;:&quot;&quot;,&quot;non-dropping-particle&quot;:&quot;&quot;}],&quot;container-title&quot;:&quot;The EMBO Journal&quot;,&quot;container-title-short&quot;:&quot;EMBO J&quot;,&quot;DOI&quot;:&quot;10.15252/embj.2020106765&quot;,&quot;ISSN&quot;:&quot;0261-4189&quot;,&quot;PMID&quot;:&quot;34510494&quot;,&quot;issued&quot;:{&quot;date-parts&quot;:[[2021,10,18]]},&quot;abstract&quot;:&quot;nl (TBHG) ¶ These authors contributed equally. Abstract The current pandemic caused by severe acute respiratory syndrome coronavirus-2 (SARS-CoV-2) and outbreaks of new variants highlight the need for preventive treatments. Here we identified heparan sulfate proteoglycans as attachment receptors for SARS-CoV-2. Notably, neutralizing antibodies against SARS-CoV-2 isolated from COVID-19 patients interfered with SARS-CoV-2 binding to heparan sulfate proteoglycans, which might be an additional mechanism of antibodies to neutralize infection. SARS-CoV-2 binding to and infection of epithelial cells was blocked by low molecular weight heparins (LMWH). Although dendritic cells (DCs) and mucosal Langerhans cells (LCs) were not infected by SARS-CoV-2, both DC subsets efficiently captured SARS-CoV-2 via heparan sulfate proteoglycans, and transmitted the virus to ACE2-positive cells. Moreover, human primary nasal cells were infected by SARS-CoV-2 and infection was blocked by pre-treatment with LMWH. These data strongly suggest that heparan sulfate proteoglycans are important attachment receptors facilitating infection and transmission, and support the use of LMWH as prophylaxis against SARS-CoV-2 infection.&quot;,&quot;publisher&quot;:&quot;EMBO&quot;,&quot;issue&quot;:&quot;20&quot;,&quot;volume&quot;:&quot;40&quot;},&quot;isTemporary&quot;:false}]},{&quot;citationID&quot;:&quot;MENDELEY_CITATION_84be5322-e864-4972-8c8d-b386d895a0d0&quot;,&quot;properties&quot;:{&quot;noteIndex&quot;:0},&quot;isEdited&quot;:false,&quot;manualOverride&quot;:{&quot;isManuallyOverridden&quot;:true,&quot;citeprocText&quot;:&quot;[4,5]&quot;,&quot;manualOverrideText&quot;:&quot;&quot;},&quot;citationTag&quot;:&quot;MENDELEY_CITATION_v3_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&quot;,&quot;citationItems&quot;:[{&quot;id&quot;:&quot;d062341c-17dc-314d-97cc-2cbe6f470bc8&quot;,&quot;itemData&quot;:{&quot;type&quot;:&quot;article-journal&quot;,&quot;id&quot;:&quot;d062341c-17dc-314d-97cc-2cbe6f470bc8&quot;,&quot;title&quot;:&quot;The method of 'right and wrong cases' ('constant stimuli') without Gauss's formulae&quot;,&quot;author&quot;:[{&quot;family&quot;:&quot;Spearman&quot;,&quot;given&quot;:&quot;C&quot;,&quot;parse-names&quot;:false,&quot;dropping-particle&quot;:&quot;&quot;,&quot;non-dropping-particle&quot;:&quot;&quot;}],&quot;container-title&quot;:&quot;British Journal of Psychology, 1904-1920&quot;,&quot;DOI&quot;:&quot;https://doi.org/10.1111/j.2044-8295.1908.tb00176.x&quot;,&quot;ISSN&quot;:&quot;0950-5652&quot;,&quot;issued&quot;:{&quot;date-parts&quot;:[[1908,1,1]]},&quot;page&quot;:&quot;227-242&quot;,&quot;publisher&quot;:&quot;John Wiley &amp; Sons, Ltd&quot;,&quot;issue&quot;:&quot;3&quot;,&quot;volume&quot;:&quot;2&quot;,&quot;container-title-short&quot;:&quot;&quot;},&quot;isTemporary&quot;:false},{&quot;id&quot;:&quot;223a2617-0e08-38ff-b252-e0915eee4caa&quot;,&quot;itemData&quot;:{&quot;type&quot;:&quot;article-journal&quot;,&quot;id&quot;:&quot;223a2617-0e08-38ff-b252-e0915eee4caa&quot;,&quot;title&quot;:&quot;Beitrag zur kollektiven Behandlung pharmakologischer Reihenversuche&quot;,&quot;author&quot;:[{&quot;family&quot;:&quot;Kärber&quot;,&quot;given&quot;:&quot;G&quot;,&quot;parse-names&quot;:false,&quot;dropping-particle&quot;:&quot;&quot;,&quot;non-dropping-particle&quot;:&quot;&quot;}],&quot;container-title&quot;:&quot;Naunyn-Schmiedebergs Archiv für experimentelle Pathologie und Pharmakologie&quot;,&quot;DOI&quot;:&quot;10.1007/BF01863914&quot;,&quot;ISSN&quot;:&quot;1432-1912&quot;,&quot;PMID&quot;:&quot;22143697&quot;,&quot;issued&quot;:{&quot;date-parts&quot;:[[1931]]},&quot;page&quot;:&quot;480-483&quot;,&quot;abstract&quot;:&quot;Es wird ein Verfahren zur kollektiven Behandlung von Reihenversuchen angegeben, das gestattet, auch bei kleinerem Umfang des Kollektivs (Reihenversuch mit vier bis fünf Gruppen zu je sechs Tieren) und bei starker Streuung zu einem zahlenmäßigen Ausdruck des Versuchsergebnisses zu gelangen.&quot;,&quot;issue&quot;:&quot;4&quot;,&quot;volume&quot;:&quot;162&quot;,&quot;container-title-short&quot;:&quot;Naunyn Schmiedebergs Arch Exp Pathol Pharmakol&quot;},&quot;isTemporary&quot;:false}]}]"/>
    <we:property name="MENDELEY_CITATIONS_LOCALE_CODE" value="&quot;en-US&quot;"/>
    <we:property name="MENDELEY_CITATIONS_STYLE" value="{&quot;id&quot;:&quot;https://www.zotero.org/styles/taylor-and-francis-national-library-of-medicine&quot;,&quot;title&quot;:&quot;Taylor &amp; Francis - National Library of Medicine&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94B13-89A2-4191-BFCD-CA346FA6C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949</Words>
  <Characters>5412</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AMC</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Rader, A.G. (Anusca)</dc:creator>
  <cp:keywords/>
  <dc:description/>
  <cp:lastModifiedBy>Rader, A.G. (Anusca)</cp:lastModifiedBy>
  <cp:revision>12</cp:revision>
  <dcterms:created xsi:type="dcterms:W3CDTF">2023-01-25T15:32:00Z</dcterms:created>
  <dcterms:modified xsi:type="dcterms:W3CDTF">2023-03-08T12:27:00Z</dcterms:modified>
</cp:coreProperties>
</file>