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8A601" w14:textId="06D99B13" w:rsidR="00302E42" w:rsidRPr="00F30479" w:rsidRDefault="00CE69A3" w:rsidP="005643A7">
      <w:pPr>
        <w:jc w:val="left"/>
        <w:rPr>
          <w:rFonts w:ascii="Times New Roman" w:hAnsi="Times New Roman" w:cs="Times New Roman"/>
          <w:b/>
          <w:bCs/>
        </w:rPr>
      </w:pPr>
      <w:r w:rsidRPr="00F30479">
        <w:rPr>
          <w:rFonts w:ascii="Times New Roman" w:hAnsi="Times New Roman" w:cs="Times New Roman"/>
          <w:b/>
          <w:bCs/>
        </w:rPr>
        <w:t xml:space="preserve">Table </w:t>
      </w:r>
      <w:r w:rsidR="005643A7" w:rsidRPr="00F30479">
        <w:rPr>
          <w:rFonts w:ascii="Times New Roman" w:hAnsi="Times New Roman" w:cs="Times New Roman"/>
          <w:b/>
          <w:bCs/>
        </w:rPr>
        <w:t>S</w:t>
      </w:r>
      <w:r w:rsidRPr="00F30479">
        <w:rPr>
          <w:rFonts w:ascii="Times New Roman" w:hAnsi="Times New Roman" w:cs="Times New Roman"/>
          <w:b/>
          <w:bCs/>
        </w:rPr>
        <w:t>1</w:t>
      </w:r>
      <w:r w:rsidR="005643A7" w:rsidRPr="00F30479">
        <w:rPr>
          <w:rFonts w:ascii="Times New Roman" w:hAnsi="Times New Roman" w:cs="Times New Roman"/>
          <w:b/>
          <w:bCs/>
        </w:rPr>
        <w:t>.</w:t>
      </w:r>
      <w:r w:rsidRPr="00F30479">
        <w:rPr>
          <w:rFonts w:ascii="Times New Roman" w:hAnsi="Times New Roman" w:cs="Times New Roman"/>
          <w:b/>
          <w:bCs/>
        </w:rPr>
        <w:t xml:space="preserve"> </w:t>
      </w:r>
      <w:r w:rsidR="005643A7" w:rsidRPr="00F30479">
        <w:rPr>
          <w:rFonts w:ascii="Times New Roman" w:hAnsi="Times New Roman" w:cs="Times New Roman"/>
          <w:b/>
          <w:bCs/>
        </w:rPr>
        <w:t>HA protein sequences of H1N1 influenza vaccines for strains recommended by the WHO from 2011 to 2020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  <w:gridCol w:w="1198"/>
        <w:gridCol w:w="1174"/>
        <w:gridCol w:w="2029"/>
      </w:tblGrid>
      <w:tr w:rsidR="00080A1C" w:rsidRPr="00F30479" w14:paraId="78679B53" w14:textId="77777777" w:rsidTr="00CE69A3">
        <w:trPr>
          <w:jc w:val="center"/>
        </w:trPr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D0E87" w14:textId="77A21D12" w:rsidR="00080A1C" w:rsidRPr="00F30479" w:rsidRDefault="005643A7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F2B5B" w14:textId="02854A01" w:rsidR="00080A1C" w:rsidRPr="00F30479" w:rsidRDefault="003A7DBB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Subtype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4F12" w14:textId="5108AABE" w:rsidR="00080A1C" w:rsidRPr="00F30479" w:rsidRDefault="005643A7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5376" w14:textId="3B59A2D1" w:rsidR="00080A1C" w:rsidRPr="00F30479" w:rsidRDefault="00CE69A3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 xml:space="preserve">GISAID </w:t>
            </w:r>
            <w:r w:rsidR="003A7DBB" w:rsidRPr="00F30479">
              <w:rPr>
                <w:rFonts w:ascii="Times New Roman" w:hAnsi="Times New Roman" w:cs="Times New Roman"/>
              </w:rPr>
              <w:t>Accession</w:t>
            </w:r>
          </w:p>
        </w:tc>
      </w:tr>
      <w:tr w:rsidR="00080A1C" w:rsidRPr="00F30479" w14:paraId="3F7493E2" w14:textId="77777777" w:rsidTr="00CE69A3">
        <w:trPr>
          <w:jc w:val="center"/>
        </w:trPr>
        <w:tc>
          <w:tcPr>
            <w:tcW w:w="3905" w:type="dxa"/>
            <w:tcBorders>
              <w:top w:val="single" w:sz="4" w:space="0" w:color="auto"/>
            </w:tcBorders>
            <w:vAlign w:val="center"/>
          </w:tcPr>
          <w:p w14:paraId="39BEA79A" w14:textId="5A75D068" w:rsidR="00080A1C" w:rsidRPr="00F30479" w:rsidRDefault="00080A1C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A/California/7/2009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4A508C46" w14:textId="29A0B8C8" w:rsidR="00080A1C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vAlign w:val="center"/>
          </w:tcPr>
          <w:p w14:paraId="6230A0E0" w14:textId="3F6FDAB5" w:rsidR="00080A1C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14:paraId="7E989AB8" w14:textId="77037378" w:rsidR="00080A1C" w:rsidRPr="00F30479" w:rsidRDefault="00080A1C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EPI1593569</w:t>
            </w:r>
          </w:p>
        </w:tc>
      </w:tr>
      <w:tr w:rsidR="00E067DA" w:rsidRPr="00F30479" w14:paraId="3B2FA4D6" w14:textId="77777777" w:rsidTr="00CE69A3">
        <w:trPr>
          <w:jc w:val="center"/>
        </w:trPr>
        <w:tc>
          <w:tcPr>
            <w:tcW w:w="3905" w:type="dxa"/>
            <w:vAlign w:val="center"/>
          </w:tcPr>
          <w:p w14:paraId="765A157F" w14:textId="5B8703B4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A/Christchurch/16/2010</w:t>
            </w:r>
          </w:p>
        </w:tc>
        <w:tc>
          <w:tcPr>
            <w:tcW w:w="1198" w:type="dxa"/>
            <w:vAlign w:val="center"/>
          </w:tcPr>
          <w:p w14:paraId="2C01E7AA" w14:textId="68EA5EC5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78F7A584" w14:textId="6F3B2535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4F95A6DF" w14:textId="2CAF81B9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EPI280344</w:t>
            </w:r>
          </w:p>
        </w:tc>
      </w:tr>
      <w:tr w:rsidR="00E067DA" w:rsidRPr="00F30479" w14:paraId="5C96C846" w14:textId="77777777" w:rsidTr="00CE69A3">
        <w:trPr>
          <w:jc w:val="center"/>
        </w:trPr>
        <w:tc>
          <w:tcPr>
            <w:tcW w:w="3905" w:type="dxa"/>
            <w:vAlign w:val="center"/>
          </w:tcPr>
          <w:p w14:paraId="205BA82F" w14:textId="04D93B96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A/Michigan/45/2015</w:t>
            </w:r>
          </w:p>
        </w:tc>
        <w:tc>
          <w:tcPr>
            <w:tcW w:w="1198" w:type="dxa"/>
            <w:vAlign w:val="center"/>
          </w:tcPr>
          <w:p w14:paraId="734C69F1" w14:textId="237BBDFF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774FD742" w14:textId="4B0F647B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4D01E40E" w14:textId="66945E6D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EPI1349891</w:t>
            </w:r>
          </w:p>
        </w:tc>
      </w:tr>
      <w:tr w:rsidR="00E067DA" w:rsidRPr="00F30479" w14:paraId="7A2369B8" w14:textId="77777777" w:rsidTr="00CE69A3">
        <w:trPr>
          <w:jc w:val="center"/>
        </w:trPr>
        <w:tc>
          <w:tcPr>
            <w:tcW w:w="3905" w:type="dxa"/>
            <w:vAlign w:val="center"/>
          </w:tcPr>
          <w:p w14:paraId="6A4B8B07" w14:textId="270E91E6" w:rsidR="00E067DA" w:rsidRPr="00F30479" w:rsidRDefault="00E067DA" w:rsidP="00E067DA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A/Brisbane/02/2018</w:t>
            </w:r>
          </w:p>
        </w:tc>
        <w:tc>
          <w:tcPr>
            <w:tcW w:w="1198" w:type="dxa"/>
            <w:vAlign w:val="center"/>
          </w:tcPr>
          <w:p w14:paraId="6F216C7F" w14:textId="4B1D5F08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704C45FC" w14:textId="288E90D6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3925CC82" w14:textId="4E9C7871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EPI1312566</w:t>
            </w:r>
          </w:p>
        </w:tc>
      </w:tr>
      <w:tr w:rsidR="00E067DA" w:rsidRPr="00F30479" w14:paraId="64E535D3" w14:textId="77777777" w:rsidTr="00CE69A3">
        <w:trPr>
          <w:jc w:val="center"/>
        </w:trPr>
        <w:tc>
          <w:tcPr>
            <w:tcW w:w="3905" w:type="dxa"/>
            <w:vAlign w:val="center"/>
          </w:tcPr>
          <w:p w14:paraId="1F8E0172" w14:textId="3A55C272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</w:rPr>
              <w:t>A/Guangdong-</w:t>
            </w:r>
            <w:proofErr w:type="spellStart"/>
            <w:r w:rsidRPr="00F30479">
              <w:rPr>
                <w:rFonts w:ascii="Times New Roman" w:hAnsi="Times New Roman" w:cs="Times New Roman"/>
                <w:kern w:val="0"/>
              </w:rPr>
              <w:t>Maonan</w:t>
            </w:r>
            <w:proofErr w:type="spellEnd"/>
            <w:r w:rsidRPr="00F30479">
              <w:rPr>
                <w:rFonts w:ascii="Times New Roman" w:hAnsi="Times New Roman" w:cs="Times New Roman"/>
                <w:kern w:val="0"/>
              </w:rPr>
              <w:t>/SWL1536/2019</w:t>
            </w:r>
          </w:p>
        </w:tc>
        <w:tc>
          <w:tcPr>
            <w:tcW w:w="1198" w:type="dxa"/>
            <w:vAlign w:val="center"/>
          </w:tcPr>
          <w:p w14:paraId="0BB0906F" w14:textId="43EE41D2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25DA27FD" w14:textId="00572688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3D3CE9E1" w14:textId="438F424F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</w:rPr>
              <w:t>EPI1542573</w:t>
            </w:r>
          </w:p>
        </w:tc>
      </w:tr>
      <w:tr w:rsidR="00E067DA" w:rsidRPr="00F30479" w14:paraId="5CB5DB40" w14:textId="77777777" w:rsidTr="00CE69A3">
        <w:trPr>
          <w:jc w:val="center"/>
        </w:trPr>
        <w:tc>
          <w:tcPr>
            <w:tcW w:w="3905" w:type="dxa"/>
            <w:vAlign w:val="center"/>
          </w:tcPr>
          <w:p w14:paraId="40D7F309" w14:textId="627799D5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A/Victoria/2570/2019</w:t>
            </w:r>
          </w:p>
        </w:tc>
        <w:tc>
          <w:tcPr>
            <w:tcW w:w="1198" w:type="dxa"/>
            <w:vAlign w:val="center"/>
          </w:tcPr>
          <w:p w14:paraId="3793674D" w14:textId="1C92162F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2CEED64E" w14:textId="2A6DD925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61A0464D" w14:textId="65024A87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EPI1801565</w:t>
            </w:r>
          </w:p>
        </w:tc>
      </w:tr>
      <w:tr w:rsidR="00E067DA" w:rsidRPr="00F30479" w14:paraId="645EF60D" w14:textId="77777777" w:rsidTr="00CE69A3">
        <w:trPr>
          <w:jc w:val="center"/>
        </w:trPr>
        <w:tc>
          <w:tcPr>
            <w:tcW w:w="3905" w:type="dxa"/>
            <w:vAlign w:val="center"/>
          </w:tcPr>
          <w:p w14:paraId="49023F9C" w14:textId="3A57B936" w:rsidR="00E067DA" w:rsidRPr="00F30479" w:rsidRDefault="00E067DA" w:rsidP="00E067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A/Wisconsin/588/2019</w:t>
            </w:r>
          </w:p>
        </w:tc>
        <w:tc>
          <w:tcPr>
            <w:tcW w:w="1198" w:type="dxa"/>
            <w:vAlign w:val="center"/>
          </w:tcPr>
          <w:p w14:paraId="764F28F9" w14:textId="043FC2DA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55E3C879" w14:textId="53301A96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1E8EB914" w14:textId="26F2484F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EPI1661758</w:t>
            </w:r>
          </w:p>
        </w:tc>
      </w:tr>
      <w:tr w:rsidR="00E067DA" w:rsidRPr="00F30479" w14:paraId="72A2FFD5" w14:textId="77777777" w:rsidTr="00CE69A3">
        <w:trPr>
          <w:jc w:val="center"/>
        </w:trPr>
        <w:tc>
          <w:tcPr>
            <w:tcW w:w="3905" w:type="dxa"/>
            <w:vAlign w:val="center"/>
          </w:tcPr>
          <w:p w14:paraId="484EDEBB" w14:textId="12C75FC6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A/Hawaii/70/2019</w:t>
            </w:r>
          </w:p>
        </w:tc>
        <w:tc>
          <w:tcPr>
            <w:tcW w:w="1198" w:type="dxa"/>
            <w:vAlign w:val="center"/>
          </w:tcPr>
          <w:p w14:paraId="4AB834BC" w14:textId="0502E1B2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H1N1</w:t>
            </w:r>
          </w:p>
        </w:tc>
        <w:tc>
          <w:tcPr>
            <w:tcW w:w="1174" w:type="dxa"/>
            <w:vAlign w:val="center"/>
          </w:tcPr>
          <w:p w14:paraId="14C3882C" w14:textId="7778D2EB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029" w:type="dxa"/>
            <w:vAlign w:val="center"/>
          </w:tcPr>
          <w:p w14:paraId="2C4BCA77" w14:textId="3CF27147" w:rsidR="00E067DA" w:rsidRPr="00F30479" w:rsidRDefault="00E067DA" w:rsidP="00E067DA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EPI1617983</w:t>
            </w:r>
          </w:p>
        </w:tc>
      </w:tr>
    </w:tbl>
    <w:p w14:paraId="12B32134" w14:textId="7D0D8EB2" w:rsidR="00171EA0" w:rsidRPr="00F30479" w:rsidRDefault="00171EA0">
      <w:pPr>
        <w:rPr>
          <w:rFonts w:ascii="Times New Roman" w:hAnsi="Times New Roman" w:cs="Times New Roman"/>
        </w:rPr>
      </w:pPr>
    </w:p>
    <w:p w14:paraId="0109FFD8" w14:textId="3CD341E0" w:rsidR="00171EA0" w:rsidRPr="00F30479" w:rsidRDefault="00171EA0" w:rsidP="005643A7">
      <w:pPr>
        <w:jc w:val="left"/>
        <w:rPr>
          <w:rFonts w:ascii="Times New Roman" w:hAnsi="Times New Roman" w:cs="Times New Roman"/>
          <w:b/>
          <w:bCs/>
        </w:rPr>
      </w:pPr>
      <w:r w:rsidRPr="00F30479">
        <w:rPr>
          <w:rFonts w:ascii="Times New Roman" w:hAnsi="Times New Roman" w:cs="Times New Roman"/>
          <w:b/>
          <w:bCs/>
        </w:rPr>
        <w:t xml:space="preserve">Table </w:t>
      </w:r>
      <w:r w:rsidR="005643A7" w:rsidRPr="00F30479">
        <w:rPr>
          <w:rFonts w:ascii="Times New Roman" w:hAnsi="Times New Roman" w:cs="Times New Roman"/>
          <w:b/>
          <w:bCs/>
        </w:rPr>
        <w:t>S</w:t>
      </w:r>
      <w:r w:rsidRPr="00F30479">
        <w:rPr>
          <w:rFonts w:ascii="Times New Roman" w:hAnsi="Times New Roman" w:cs="Times New Roman"/>
          <w:b/>
          <w:bCs/>
        </w:rPr>
        <w:t>2</w:t>
      </w:r>
      <w:r w:rsidR="005643A7" w:rsidRPr="00F30479">
        <w:rPr>
          <w:rFonts w:ascii="Times New Roman" w:hAnsi="Times New Roman" w:cs="Times New Roman"/>
          <w:b/>
          <w:bCs/>
        </w:rPr>
        <w:t>.</w:t>
      </w:r>
      <w:r w:rsidRPr="00F30479">
        <w:rPr>
          <w:rFonts w:ascii="Times New Roman" w:hAnsi="Times New Roman" w:cs="Times New Roman"/>
          <w:b/>
          <w:bCs/>
        </w:rPr>
        <w:t xml:space="preserve"> </w:t>
      </w:r>
      <w:r w:rsidR="00A14743" w:rsidRPr="00F30479">
        <w:rPr>
          <w:rFonts w:ascii="Times New Roman" w:hAnsi="Times New Roman" w:cs="Times New Roman"/>
          <w:b/>
          <w:bCs/>
        </w:rPr>
        <w:t>Average p</w:t>
      </w:r>
      <w:r w:rsidRPr="00F30479">
        <w:rPr>
          <w:rFonts w:ascii="Times New Roman" w:hAnsi="Times New Roman" w:cs="Times New Roman"/>
          <w:b/>
          <w:bCs/>
        </w:rPr>
        <w:t>article size, PDI and encapsulation efficiency of H1c-mRNA-LNP</w:t>
      </w:r>
      <w:r w:rsidR="005643A7" w:rsidRPr="00F30479">
        <w:rPr>
          <w:rFonts w:ascii="Times New Roman" w:hAnsi="Times New Roman" w:cs="Times New Roman"/>
          <w:b/>
          <w:bCs/>
        </w:rPr>
        <w:t>s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2221"/>
        <w:gridCol w:w="1559"/>
        <w:gridCol w:w="2636"/>
      </w:tblGrid>
      <w:tr w:rsidR="00C14401" w:rsidRPr="00F30479" w14:paraId="750388E6" w14:textId="77777777" w:rsidTr="00A14743">
        <w:trPr>
          <w:jc w:val="center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47DA8C6" w14:textId="5F0C35DD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0479">
              <w:rPr>
                <w:rFonts w:ascii="Times New Roman" w:hAnsi="Times New Roman" w:cs="Times New Roman"/>
                <w:b/>
                <w:bCs/>
              </w:rPr>
              <w:t>Record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1F61" w14:textId="4451FB2C" w:rsidR="00C14401" w:rsidRPr="00F30479" w:rsidRDefault="00A14743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b/>
                <w:bCs/>
              </w:rPr>
              <w:t>Average particle</w:t>
            </w:r>
            <w:r w:rsidR="00C14401" w:rsidRPr="00F30479">
              <w:rPr>
                <w:rFonts w:ascii="Times New Roman" w:hAnsi="Times New Roman" w:cs="Times New Roman"/>
                <w:b/>
                <w:bCs/>
              </w:rPr>
              <w:t xml:space="preserve"> size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8E07" w14:textId="26C42328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b/>
                <w:bCs/>
              </w:rPr>
              <w:t>PDI</w:t>
            </w:r>
          </w:p>
        </w:tc>
        <w:tc>
          <w:tcPr>
            <w:tcW w:w="2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CEFAD" w14:textId="2B905E69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b/>
                <w:bCs/>
              </w:rPr>
              <w:t>encapsulation efficiency</w:t>
            </w:r>
          </w:p>
        </w:tc>
      </w:tr>
      <w:tr w:rsidR="00C14401" w:rsidRPr="00F30479" w14:paraId="2952521F" w14:textId="77777777" w:rsidTr="00A14743">
        <w:trPr>
          <w:jc w:val="center"/>
        </w:trPr>
        <w:tc>
          <w:tcPr>
            <w:tcW w:w="1890" w:type="dxa"/>
            <w:tcBorders>
              <w:top w:val="single" w:sz="4" w:space="0" w:color="auto"/>
            </w:tcBorders>
          </w:tcPr>
          <w:p w14:paraId="5EAC5D7C" w14:textId="727B590A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14:paraId="23A7E395" w14:textId="13C098A3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76.56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AD280B3" w14:textId="79791249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14:paraId="38EAF8AA" w14:textId="0E5F37F8" w:rsidR="00C14401" w:rsidRPr="00F30479" w:rsidRDefault="00BC0B75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94.5%</w:t>
            </w:r>
          </w:p>
        </w:tc>
      </w:tr>
      <w:tr w:rsidR="00C14401" w:rsidRPr="00F30479" w14:paraId="78DB1175" w14:textId="77777777" w:rsidTr="00A14743">
        <w:trPr>
          <w:jc w:val="center"/>
        </w:trPr>
        <w:tc>
          <w:tcPr>
            <w:tcW w:w="1890" w:type="dxa"/>
          </w:tcPr>
          <w:p w14:paraId="1B4A55DA" w14:textId="0113DB35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2</w:t>
            </w:r>
          </w:p>
        </w:tc>
        <w:tc>
          <w:tcPr>
            <w:tcW w:w="2221" w:type="dxa"/>
            <w:vAlign w:val="center"/>
          </w:tcPr>
          <w:p w14:paraId="56254A39" w14:textId="158B47B3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77.46</w:t>
            </w:r>
          </w:p>
        </w:tc>
        <w:tc>
          <w:tcPr>
            <w:tcW w:w="1559" w:type="dxa"/>
            <w:vAlign w:val="center"/>
          </w:tcPr>
          <w:p w14:paraId="6F9D5A2D" w14:textId="0D59C68A" w:rsidR="00C14401" w:rsidRPr="00F30479" w:rsidRDefault="00C14401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636" w:type="dxa"/>
            <w:vAlign w:val="center"/>
          </w:tcPr>
          <w:p w14:paraId="4FEAAC26" w14:textId="6D0FB352" w:rsidR="00C14401" w:rsidRPr="00F30479" w:rsidRDefault="00BC0B75" w:rsidP="00683B9D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94.2%</w:t>
            </w:r>
          </w:p>
        </w:tc>
      </w:tr>
      <w:tr w:rsidR="00C14401" w:rsidRPr="00F30479" w14:paraId="390BDED9" w14:textId="77777777" w:rsidTr="00A14743">
        <w:trPr>
          <w:jc w:val="center"/>
        </w:trPr>
        <w:tc>
          <w:tcPr>
            <w:tcW w:w="1890" w:type="dxa"/>
          </w:tcPr>
          <w:p w14:paraId="718DC5D1" w14:textId="71CD3C6B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3</w:t>
            </w:r>
          </w:p>
        </w:tc>
        <w:tc>
          <w:tcPr>
            <w:tcW w:w="2221" w:type="dxa"/>
            <w:vAlign w:val="center"/>
          </w:tcPr>
          <w:p w14:paraId="55ABDA57" w14:textId="0DCC4C0A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77.24</w:t>
            </w:r>
          </w:p>
        </w:tc>
        <w:tc>
          <w:tcPr>
            <w:tcW w:w="1559" w:type="dxa"/>
            <w:vAlign w:val="center"/>
          </w:tcPr>
          <w:p w14:paraId="3CE411B3" w14:textId="04919574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2636" w:type="dxa"/>
            <w:vAlign w:val="center"/>
          </w:tcPr>
          <w:p w14:paraId="1487CE8E" w14:textId="6B6F0EEB" w:rsidR="00C14401" w:rsidRPr="00F30479" w:rsidRDefault="00BC0B75" w:rsidP="00C14401">
            <w:pPr>
              <w:jc w:val="center"/>
              <w:rPr>
                <w:rFonts w:ascii="Times New Roman" w:hAnsi="Times New Roman" w:cs="Times New Roman"/>
                <w:kern w:val="0"/>
                <w:lang w:val="zh-CN"/>
              </w:rPr>
            </w:pP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9</w:t>
            </w:r>
            <w:r w:rsidR="00E12FF8" w:rsidRPr="00F30479">
              <w:rPr>
                <w:rFonts w:ascii="Times New Roman" w:hAnsi="Times New Roman" w:cs="Times New Roman"/>
                <w:kern w:val="0"/>
                <w:lang w:val="zh-CN"/>
              </w:rPr>
              <w:t>5</w:t>
            </w: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.</w:t>
            </w:r>
            <w:r w:rsidR="00E12FF8" w:rsidRPr="00F30479">
              <w:rPr>
                <w:rFonts w:ascii="Times New Roman" w:hAnsi="Times New Roman" w:cs="Times New Roman"/>
                <w:kern w:val="0"/>
                <w:lang w:val="zh-CN"/>
              </w:rPr>
              <w:t>7</w:t>
            </w:r>
            <w:r w:rsidRPr="00F30479">
              <w:rPr>
                <w:rFonts w:ascii="Times New Roman" w:hAnsi="Times New Roman" w:cs="Times New Roman"/>
                <w:kern w:val="0"/>
                <w:lang w:val="zh-CN"/>
              </w:rPr>
              <w:t>%</w:t>
            </w:r>
          </w:p>
        </w:tc>
      </w:tr>
      <w:tr w:rsidR="00C14401" w:rsidRPr="00F30479" w14:paraId="14405578" w14:textId="77777777" w:rsidTr="00A14743">
        <w:trPr>
          <w:jc w:val="center"/>
        </w:trPr>
        <w:tc>
          <w:tcPr>
            <w:tcW w:w="1890" w:type="dxa"/>
          </w:tcPr>
          <w:p w14:paraId="57DC8B91" w14:textId="63DABB6A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2221" w:type="dxa"/>
            <w:vAlign w:val="center"/>
          </w:tcPr>
          <w:p w14:paraId="22EA4B9F" w14:textId="5042F2E2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77.09</w:t>
            </w:r>
          </w:p>
        </w:tc>
        <w:tc>
          <w:tcPr>
            <w:tcW w:w="1559" w:type="dxa"/>
            <w:vAlign w:val="center"/>
          </w:tcPr>
          <w:p w14:paraId="1163D30E" w14:textId="61334E56" w:rsidR="00C14401" w:rsidRPr="00F30479" w:rsidRDefault="00C14401" w:rsidP="00C14401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2636" w:type="dxa"/>
            <w:vAlign w:val="center"/>
          </w:tcPr>
          <w:p w14:paraId="6811F712" w14:textId="56B455CF" w:rsidR="00C14401" w:rsidRPr="00F30479" w:rsidRDefault="00E12FF8" w:rsidP="00C14401">
            <w:pPr>
              <w:jc w:val="center"/>
              <w:rPr>
                <w:rFonts w:ascii="Times New Roman" w:hAnsi="Times New Roman" w:cs="Times New Roman"/>
              </w:rPr>
            </w:pPr>
            <w:r w:rsidRPr="00F30479">
              <w:rPr>
                <w:rFonts w:ascii="Times New Roman" w:hAnsi="Times New Roman" w:cs="Times New Roman"/>
              </w:rPr>
              <w:t>94.8%</w:t>
            </w:r>
          </w:p>
        </w:tc>
      </w:tr>
    </w:tbl>
    <w:p w14:paraId="180CC356" w14:textId="004C6805" w:rsidR="00A14743" w:rsidRPr="00F30479" w:rsidRDefault="00A14743" w:rsidP="007E0EDB">
      <w:pPr>
        <w:rPr>
          <w:rFonts w:ascii="Times New Roman" w:hAnsi="Times New Roman" w:cs="Times New Roman"/>
        </w:rPr>
      </w:pPr>
    </w:p>
    <w:p w14:paraId="5FDD7DAB" w14:textId="203AAB0C" w:rsidR="00A14743" w:rsidRPr="00F30479" w:rsidRDefault="00907908" w:rsidP="00782B76">
      <w:pPr>
        <w:widowControl/>
        <w:spacing w:line="480" w:lineRule="auto"/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</w:pPr>
      <w:r w:rsidRPr="00F30479">
        <w:rPr>
          <w:rFonts w:ascii="Times New Roman" w:hAnsi="Times New Roman" w:cs="Times New Roman"/>
          <w:b/>
          <w:bCs/>
          <w:kern w:val="0"/>
          <w:sz w:val="24"/>
          <w:szCs w:val="24"/>
          <w:lang w:val="en-GB" w:eastAsia="en-GB"/>
        </w:rPr>
        <w:t>Figure S1.</w:t>
      </w:r>
      <w:r w:rsidRPr="00F30479">
        <w:rPr>
          <w:rFonts w:ascii="Times New Roman" w:hAnsi="Times New Roman" w:cs="Times New Roman"/>
          <w:kern w:val="0"/>
          <w:sz w:val="24"/>
          <w:szCs w:val="24"/>
          <w:lang w:val="en-GB" w:eastAsia="en-GB"/>
        </w:rPr>
        <w:t xml:space="preserve"> Cross-reactive neutralizing antibody response of H1c-mRNA-LNPs in mice. </w:t>
      </w:r>
      <w:r w:rsidR="00A14743" w:rsidRPr="00F30479">
        <w:rPr>
          <w:rFonts w:ascii="Times New Roman" w:hAnsi="Times New Roman" w:cs="Times New Roman"/>
          <w:kern w:val="0"/>
          <w:sz w:val="24"/>
          <w:szCs w:val="24"/>
          <w:lang w:val="en-GB" w:eastAsia="en-GB"/>
        </w:rPr>
        <w:t>Each BALB/c female mouse received intramuscular immunization with 2 µg (n = 9), 10 µg (n = 9), or 20 µg (n = 9) of H1c-mRNA-LNPs, followed by a booster at the same dose on day 21. Mice received 15 µg of the H1N1 split vaccine (n = 9) or PBS (n = 9) as control. Serum was harvested on days 21 and 42 after the initial immunization</w:t>
      </w:r>
      <w:r w:rsidRPr="00F30479">
        <w:rPr>
          <w:rFonts w:ascii="Times New Roman" w:hAnsi="Times New Roman" w:cs="Times New Roman"/>
          <w:kern w:val="0"/>
          <w:sz w:val="24"/>
          <w:szCs w:val="24"/>
          <w:lang w:val="en-GB" w:eastAsia="en-GB"/>
        </w:rPr>
        <w:t xml:space="preserve">. Neutralizing antibodies were measured by </w:t>
      </w:r>
      <w:r w:rsidR="00A14743" w:rsidRPr="00F30479">
        <w:rPr>
          <w:rFonts w:ascii="Times New Roman" w:hAnsi="Times New Roman" w:cs="Times New Roman"/>
          <w:kern w:val="0"/>
          <w:sz w:val="24"/>
          <w:szCs w:val="24"/>
          <w:lang w:val="en-GB" w:eastAsia="en-GB"/>
        </w:rPr>
        <w:t>microneutralization assay</w:t>
      </w:r>
      <w:r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. </w:t>
      </w:r>
      <w:bookmarkStart w:id="0" w:name="OLE_LINK24"/>
      <w:r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>T</w:t>
      </w:r>
      <w:r w:rsidRPr="00F30479">
        <w:rPr>
          <w:rFonts w:ascii="Times New Roman" w:hAnsi="Times New Roman" w:cs="Times New Roman"/>
          <w:kern w:val="0"/>
          <w:sz w:val="24"/>
          <w:szCs w:val="24"/>
          <w:lang w:val="en-GB" w:eastAsia="en-GB"/>
        </w:rPr>
        <w:t>wo-way</w:t>
      </w:r>
      <w:r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 ANOVA was used to compare the differences</w:t>
      </w:r>
      <w:bookmarkEnd w:id="0"/>
      <w:r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. ns, not significant; 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*, </w:t>
      </w:r>
      <w:r w:rsidR="00DB2068" w:rsidRPr="00F30479">
        <w:rPr>
          <w:rFonts w:ascii="Times New Roman" w:eastAsia="宋体" w:hAnsi="Times New Roman" w:cs="Times New Roman"/>
          <w:i/>
          <w:iCs/>
          <w:color w:val="000000" w:themeColor="text1"/>
          <w:kern w:val="0"/>
          <w:sz w:val="24"/>
          <w:lang w:val="en-GB" w:eastAsia="en-GB"/>
        </w:rPr>
        <w:t>P &lt;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 0.05; **, </w:t>
      </w:r>
      <w:r w:rsidR="00DB2068" w:rsidRPr="00F30479">
        <w:rPr>
          <w:rFonts w:ascii="Times New Roman" w:eastAsia="宋体" w:hAnsi="Times New Roman" w:cs="Times New Roman"/>
          <w:i/>
          <w:iCs/>
          <w:color w:val="000000" w:themeColor="text1"/>
          <w:kern w:val="0"/>
          <w:sz w:val="24"/>
          <w:lang w:val="en-GB" w:eastAsia="en-GB"/>
        </w:rPr>
        <w:t>P &lt;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 0.01; ***, </w:t>
      </w:r>
      <w:r w:rsidR="00DB2068" w:rsidRPr="00F30479">
        <w:rPr>
          <w:rFonts w:ascii="Times New Roman" w:eastAsia="宋体" w:hAnsi="Times New Roman" w:cs="Times New Roman"/>
          <w:i/>
          <w:iCs/>
          <w:color w:val="000000" w:themeColor="text1"/>
          <w:kern w:val="0"/>
          <w:sz w:val="24"/>
          <w:lang w:val="en-GB" w:eastAsia="en-GB"/>
        </w:rPr>
        <w:t>P &lt;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 0.001; ****, </w:t>
      </w:r>
      <w:r w:rsidR="00DB2068" w:rsidRPr="00F30479">
        <w:rPr>
          <w:rFonts w:ascii="Times New Roman" w:eastAsia="宋体" w:hAnsi="Times New Roman" w:cs="Times New Roman"/>
          <w:i/>
          <w:iCs/>
          <w:color w:val="000000" w:themeColor="text1"/>
          <w:kern w:val="0"/>
          <w:sz w:val="24"/>
          <w:lang w:val="en-GB" w:eastAsia="en-GB"/>
        </w:rPr>
        <w:t>P &lt;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 0.0001; ns, not significant. </w:t>
      </w:r>
      <w:r w:rsidR="0015122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MN, </w:t>
      </w:r>
      <w:r w:rsidR="0015122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/>
        </w:rPr>
        <w:t>m</w:t>
      </w:r>
      <w:r w:rsidR="0015122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 xml:space="preserve">icroneutralization; </w:t>
      </w:r>
      <w:r w:rsidR="00DB2068" w:rsidRPr="00F30479">
        <w:rPr>
          <w:rFonts w:ascii="Times New Roman" w:eastAsia="宋体" w:hAnsi="Times New Roman" w:cs="Times New Roman"/>
          <w:color w:val="000000" w:themeColor="text1"/>
          <w:kern w:val="0"/>
          <w:sz w:val="24"/>
          <w:lang w:val="en-GB" w:eastAsia="en-GB"/>
        </w:rPr>
        <w:t>ANOVA, analysis of variance; PBS, phosphate-buffered saline</w:t>
      </w:r>
    </w:p>
    <w:sectPr w:rsidR="00A14743" w:rsidRPr="00F30479" w:rsidSect="00DA2A1D">
      <w:pgSz w:w="11906" w:h="16838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89D2" w14:textId="77777777" w:rsidR="00544D74" w:rsidRDefault="00544D74" w:rsidP="00080A1C">
      <w:r>
        <w:separator/>
      </w:r>
    </w:p>
  </w:endnote>
  <w:endnote w:type="continuationSeparator" w:id="0">
    <w:p w14:paraId="5840174E" w14:textId="77777777" w:rsidR="00544D74" w:rsidRDefault="00544D74" w:rsidP="0008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FC51" w14:textId="77777777" w:rsidR="00544D74" w:rsidRDefault="00544D74" w:rsidP="00080A1C">
      <w:r>
        <w:separator/>
      </w:r>
    </w:p>
  </w:footnote>
  <w:footnote w:type="continuationSeparator" w:id="0">
    <w:p w14:paraId="265344AD" w14:textId="77777777" w:rsidR="00544D74" w:rsidRDefault="00544D74" w:rsidP="00080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8C328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4584FA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4868478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37694D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DB6C43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6C2090A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82C7F3C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2001E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C204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7E8597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493379768">
    <w:abstractNumId w:val="8"/>
  </w:num>
  <w:num w:numId="2" w16cid:durableId="498810634">
    <w:abstractNumId w:val="3"/>
  </w:num>
  <w:num w:numId="3" w16cid:durableId="1076854210">
    <w:abstractNumId w:val="2"/>
  </w:num>
  <w:num w:numId="4" w16cid:durableId="1380010516">
    <w:abstractNumId w:val="1"/>
  </w:num>
  <w:num w:numId="5" w16cid:durableId="322661254">
    <w:abstractNumId w:val="0"/>
  </w:num>
  <w:num w:numId="6" w16cid:durableId="1955163182">
    <w:abstractNumId w:val="9"/>
  </w:num>
  <w:num w:numId="7" w16cid:durableId="1369910220">
    <w:abstractNumId w:val="7"/>
  </w:num>
  <w:num w:numId="8" w16cid:durableId="1888490151">
    <w:abstractNumId w:val="6"/>
  </w:num>
  <w:num w:numId="9" w16cid:durableId="1205673024">
    <w:abstractNumId w:val="5"/>
  </w:num>
  <w:num w:numId="10" w16cid:durableId="1793018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DE5"/>
    <w:rsid w:val="00080A1C"/>
    <w:rsid w:val="001507BF"/>
    <w:rsid w:val="00151228"/>
    <w:rsid w:val="00171EA0"/>
    <w:rsid w:val="001E5596"/>
    <w:rsid w:val="001E7228"/>
    <w:rsid w:val="002101E3"/>
    <w:rsid w:val="002817A8"/>
    <w:rsid w:val="003A7DBB"/>
    <w:rsid w:val="004E3C6C"/>
    <w:rsid w:val="00544D74"/>
    <w:rsid w:val="005643A7"/>
    <w:rsid w:val="005D5AAB"/>
    <w:rsid w:val="00687E50"/>
    <w:rsid w:val="006F0D2B"/>
    <w:rsid w:val="00782B76"/>
    <w:rsid w:val="007E0EDB"/>
    <w:rsid w:val="008D5E69"/>
    <w:rsid w:val="00907908"/>
    <w:rsid w:val="00A14743"/>
    <w:rsid w:val="00A57A17"/>
    <w:rsid w:val="00A62746"/>
    <w:rsid w:val="00AB084A"/>
    <w:rsid w:val="00B017C6"/>
    <w:rsid w:val="00B41048"/>
    <w:rsid w:val="00BC0B75"/>
    <w:rsid w:val="00C14401"/>
    <w:rsid w:val="00C41FE5"/>
    <w:rsid w:val="00C47DE5"/>
    <w:rsid w:val="00C74536"/>
    <w:rsid w:val="00CE69A3"/>
    <w:rsid w:val="00D80FB9"/>
    <w:rsid w:val="00DA2A1D"/>
    <w:rsid w:val="00DB2068"/>
    <w:rsid w:val="00E067DA"/>
    <w:rsid w:val="00E12FF8"/>
    <w:rsid w:val="00F3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C7DDB"/>
  <w15:chartTrackingRefBased/>
  <w15:docId w15:val="{6490CEC6-46A1-4A28-B642-423D5250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4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A1C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A1C"/>
    <w:rPr>
      <w:noProof/>
      <w:sz w:val="18"/>
      <w:szCs w:val="18"/>
    </w:rPr>
  </w:style>
  <w:style w:type="table" w:styleId="a7">
    <w:name w:val="Table Grid"/>
    <w:basedOn w:val="a1"/>
    <w:uiPriority w:val="39"/>
    <w:rsid w:val="00080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3047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ma</dc:creator>
  <cp:keywords/>
  <dc:description/>
  <cp:lastModifiedBy>ning ma</cp:lastModifiedBy>
  <cp:revision>37</cp:revision>
  <dcterms:created xsi:type="dcterms:W3CDTF">2022-12-04T01:58:00Z</dcterms:created>
  <dcterms:modified xsi:type="dcterms:W3CDTF">2023-01-21T22:59:00Z</dcterms:modified>
</cp:coreProperties>
</file>