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C9CC6E" w14:textId="1CFAA049" w:rsidR="00341F95" w:rsidRPr="00341F95" w:rsidRDefault="00341F95" w:rsidP="00341F95">
      <w:pPr>
        <w:rPr>
          <w:rFonts w:ascii="Times New Roman" w:eastAsia="宋体" w:hAnsi="Times New Roman"/>
          <w:b/>
          <w:bCs/>
        </w:rPr>
      </w:pPr>
      <w:bookmarkStart w:id="0" w:name="_Hlk140071033"/>
      <w:bookmarkStart w:id="1" w:name="_Hlk139282093"/>
      <w:bookmarkEnd w:id="0"/>
      <w:r w:rsidRPr="00341F95">
        <w:rPr>
          <w:rFonts w:ascii="Times New Roman" w:eastAsia="宋体" w:hAnsi="Times New Roman"/>
          <w:b/>
          <w:bCs/>
        </w:rPr>
        <w:t>1</w:t>
      </w:r>
      <w:r w:rsidR="003A7429">
        <w:rPr>
          <w:rFonts w:ascii="Times New Roman" w:eastAsia="宋体" w:hAnsi="Times New Roman"/>
          <w:b/>
          <w:bCs/>
        </w:rPr>
        <w:t>.</w:t>
      </w:r>
      <w:r w:rsidRPr="00341F95">
        <w:rPr>
          <w:rFonts w:ascii="Times New Roman" w:eastAsia="宋体" w:hAnsi="Times New Roman"/>
          <w:b/>
          <w:bCs/>
        </w:rPr>
        <w:t xml:space="preserve"> Structure of PBPK-DDI Model</w:t>
      </w:r>
    </w:p>
    <w:bookmarkEnd w:id="1"/>
    <w:p w14:paraId="3FA7A03A" w14:textId="1EABDE36" w:rsidR="00084AFF" w:rsidRPr="00341F95" w:rsidRDefault="00341F95" w:rsidP="00341F95">
      <w:pPr>
        <w:rPr>
          <w:rFonts w:ascii="Times New Roman" w:eastAsia="宋体" w:hAnsi="Times New Roman"/>
        </w:rPr>
      </w:pPr>
      <w:r w:rsidRPr="00341F95">
        <w:rPr>
          <w:rFonts w:ascii="Times New Roman" w:eastAsia="宋体" w:hAnsi="Times New Roman"/>
        </w:rPr>
        <w:t>During the development of the PBPK (Physiologically Based Pharmacokinetic) model, we encountered challenges in obtaining comprehensive human tissue distribution data. The inclusion of these data, whether through computational simulations or estimations based on preclinical data, introduces an inherent variable that cannot be controlled in the PBPK model. Mechanistically, drug absorption predominantly occurs in the intestines and liver, where drug-drug interactions (DDIs) occur. The concentrations in these organs play a pivotal role in influencing the occurrence of DDIs. Additionally, renal excretion has a significant impact on the contribution of liver metabolism to overall drug clearance, making it a crucial parameter. To address these complexities, we have simplified the PBPK model by retaining the key organs involved in absorption and metabolism, namely the intestines, liver, kidneys, and plasma, while integrating the remaining organs. The resulting simplified model is visually represented in the diagram below:</w:t>
      </w:r>
    </w:p>
    <w:p w14:paraId="23FBBBD9" w14:textId="51019F93" w:rsidR="00341F95" w:rsidRPr="00341F95" w:rsidRDefault="00341F95" w:rsidP="00341F95">
      <w:pPr>
        <w:rPr>
          <w:rFonts w:ascii="Times New Roman" w:eastAsia="宋体" w:hAnsi="Times New Roman"/>
        </w:rPr>
      </w:pPr>
      <w:r w:rsidRPr="00341F95">
        <w:rPr>
          <w:rFonts w:ascii="Times New Roman" w:eastAsia="宋体" w:hAnsi="Times New Roman"/>
          <w:noProof/>
        </w:rPr>
        <w:drawing>
          <wp:inline distT="0" distB="0" distL="0" distR="0" wp14:anchorId="4653B912" wp14:editId="0B2614C3">
            <wp:extent cx="5274310" cy="2900680"/>
            <wp:effectExtent l="0" t="0" r="2540" b="0"/>
            <wp:docPr id="18822430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243058" name=""/>
                    <pic:cNvPicPr/>
                  </pic:nvPicPr>
                  <pic:blipFill>
                    <a:blip r:embed="rId7"/>
                    <a:stretch>
                      <a:fillRect/>
                    </a:stretch>
                  </pic:blipFill>
                  <pic:spPr>
                    <a:xfrm>
                      <a:off x="0" y="0"/>
                      <a:ext cx="5274310" cy="2900680"/>
                    </a:xfrm>
                    <a:prstGeom prst="rect">
                      <a:avLst/>
                    </a:prstGeom>
                  </pic:spPr>
                </pic:pic>
              </a:graphicData>
            </a:graphic>
          </wp:inline>
        </w:drawing>
      </w:r>
    </w:p>
    <w:p w14:paraId="664607E6" w14:textId="362DFBF5" w:rsidR="00341F95" w:rsidRPr="00341F95" w:rsidRDefault="00341F95" w:rsidP="00341F95">
      <w:pPr>
        <w:spacing w:after="120" w:line="480" w:lineRule="auto"/>
        <w:rPr>
          <w:rFonts w:ascii="Times New Roman" w:eastAsia="宋体" w:hAnsi="Times New Roman"/>
          <w:iCs/>
          <w:sz w:val="24"/>
          <w:szCs w:val="24"/>
        </w:rPr>
      </w:pPr>
      <w:r w:rsidRPr="00341F95">
        <w:rPr>
          <w:rFonts w:ascii="Times New Roman" w:eastAsia="宋体" w:hAnsi="Times New Roman" w:hint="eastAsia"/>
          <w:iCs/>
          <w:sz w:val="24"/>
          <w:szCs w:val="24"/>
        </w:rPr>
        <w:t xml:space="preserve">Figure </w:t>
      </w:r>
      <w:r w:rsidR="000F799B">
        <w:rPr>
          <w:rFonts w:ascii="Times New Roman" w:eastAsia="宋体" w:hAnsi="Times New Roman"/>
          <w:iCs/>
          <w:sz w:val="24"/>
          <w:szCs w:val="24"/>
        </w:rPr>
        <w:t>S</w:t>
      </w:r>
      <w:r w:rsidR="00247914">
        <w:rPr>
          <w:rFonts w:ascii="Times New Roman" w:eastAsia="宋体" w:hAnsi="Times New Roman"/>
          <w:iCs/>
          <w:sz w:val="24"/>
          <w:szCs w:val="24"/>
        </w:rPr>
        <w:t>1</w:t>
      </w:r>
      <w:r w:rsidRPr="00341F95">
        <w:rPr>
          <w:rFonts w:ascii="Times New Roman" w:eastAsia="宋体" w:hAnsi="Times New Roman" w:hint="eastAsia"/>
          <w:iCs/>
          <w:sz w:val="24"/>
          <w:szCs w:val="24"/>
        </w:rPr>
        <w:t xml:space="preserve">. </w:t>
      </w:r>
      <w:r w:rsidRPr="00341F95">
        <w:rPr>
          <w:rFonts w:ascii="Times New Roman" w:eastAsia="宋体" w:hAnsi="Times New Roman"/>
          <w:iCs/>
          <w:sz w:val="24"/>
          <w:szCs w:val="24"/>
        </w:rPr>
        <w:t xml:space="preserve">Model of PBPK-DDI model. </w:t>
      </w:r>
    </w:p>
    <w:p w14:paraId="27A9EE87" w14:textId="4C424BDF" w:rsidR="00341F95" w:rsidRDefault="00341F95" w:rsidP="00341F95">
      <w:pPr>
        <w:spacing w:after="120"/>
        <w:rPr>
          <w:rFonts w:ascii="Times New Roman" w:eastAsia="宋体" w:hAnsi="Times New Roman"/>
          <w:iCs/>
          <w:sz w:val="24"/>
          <w:szCs w:val="24"/>
        </w:rPr>
      </w:pPr>
      <w:r w:rsidRPr="00341F95">
        <w:rPr>
          <w:rFonts w:ascii="Times New Roman" w:eastAsia="宋体" w:hAnsi="Times New Roman"/>
          <w:iCs/>
          <w:sz w:val="24"/>
          <w:szCs w:val="24"/>
        </w:rPr>
        <w:t>Compartments and arrows with dash lines represent the options in the model. PC1, peripheral compartment 1; PC2, peripheral compartment 2; K</w:t>
      </w:r>
      <w:r w:rsidRPr="00341F95">
        <w:rPr>
          <w:rFonts w:ascii="Times New Roman" w:eastAsia="宋体" w:hAnsi="Times New Roman"/>
          <w:iCs/>
          <w:sz w:val="24"/>
          <w:szCs w:val="24"/>
          <w:vertAlign w:val="subscript"/>
        </w:rPr>
        <w:t>12</w:t>
      </w:r>
      <w:r w:rsidRPr="00341F95">
        <w:rPr>
          <w:rFonts w:ascii="Times New Roman" w:eastAsia="宋体" w:hAnsi="Times New Roman"/>
          <w:iCs/>
          <w:sz w:val="24"/>
          <w:szCs w:val="24"/>
        </w:rPr>
        <w:t>, transfer rate constant from central compartment to peripheral compartment; K</w:t>
      </w:r>
      <w:r w:rsidRPr="00341F95">
        <w:rPr>
          <w:rFonts w:ascii="Times New Roman" w:eastAsia="宋体" w:hAnsi="Times New Roman"/>
          <w:iCs/>
          <w:sz w:val="24"/>
          <w:szCs w:val="24"/>
          <w:vertAlign w:val="subscript"/>
        </w:rPr>
        <w:t>21</w:t>
      </w:r>
      <w:r w:rsidRPr="00341F95">
        <w:rPr>
          <w:rFonts w:ascii="Times New Roman" w:eastAsia="宋体" w:hAnsi="Times New Roman"/>
          <w:iCs/>
          <w:sz w:val="24"/>
          <w:szCs w:val="24"/>
        </w:rPr>
        <w:t>, transfer rate constant from peripheral compartment to peripheral central compartment; K</w:t>
      </w:r>
      <w:r w:rsidRPr="00341F95">
        <w:rPr>
          <w:rFonts w:ascii="Times New Roman" w:eastAsia="宋体" w:hAnsi="Times New Roman"/>
          <w:iCs/>
          <w:sz w:val="24"/>
          <w:szCs w:val="24"/>
          <w:vertAlign w:val="subscript"/>
        </w:rPr>
        <w:t>13</w:t>
      </w:r>
      <w:r w:rsidRPr="00341F95">
        <w:rPr>
          <w:rFonts w:ascii="Times New Roman" w:eastAsia="宋体" w:hAnsi="Times New Roman"/>
          <w:iCs/>
          <w:sz w:val="24"/>
          <w:szCs w:val="24"/>
        </w:rPr>
        <w:t>, transfer rate constant from central compartment to peripheral compartment 2; K</w:t>
      </w:r>
      <w:r w:rsidRPr="00341F95">
        <w:rPr>
          <w:rFonts w:ascii="Times New Roman" w:eastAsia="宋体" w:hAnsi="Times New Roman"/>
          <w:iCs/>
          <w:sz w:val="24"/>
          <w:szCs w:val="24"/>
          <w:vertAlign w:val="subscript"/>
        </w:rPr>
        <w:t>31</w:t>
      </w:r>
      <w:r w:rsidRPr="00341F95">
        <w:rPr>
          <w:rFonts w:ascii="Times New Roman" w:eastAsia="宋体" w:hAnsi="Times New Roman"/>
          <w:iCs/>
          <w:sz w:val="24"/>
          <w:szCs w:val="24"/>
        </w:rPr>
        <w:t>, transfer rate constant from peripheral compartment 2 to peripheral central compartment; V</w:t>
      </w:r>
      <w:r w:rsidRPr="00341F95">
        <w:rPr>
          <w:rFonts w:ascii="Times New Roman" w:eastAsia="宋体" w:hAnsi="Times New Roman"/>
          <w:iCs/>
          <w:sz w:val="24"/>
          <w:szCs w:val="24"/>
          <w:vertAlign w:val="subscript"/>
        </w:rPr>
        <w:t>max</w:t>
      </w:r>
      <w:r w:rsidRPr="00341F95">
        <w:rPr>
          <w:rFonts w:ascii="Times New Roman" w:eastAsia="宋体" w:hAnsi="Times New Roman"/>
          <w:iCs/>
          <w:sz w:val="24"/>
          <w:szCs w:val="24"/>
        </w:rPr>
        <w:t xml:space="preserve"> and K</w:t>
      </w:r>
      <w:r w:rsidRPr="00341F95">
        <w:rPr>
          <w:rFonts w:ascii="Times New Roman" w:eastAsia="宋体" w:hAnsi="Times New Roman"/>
          <w:iCs/>
          <w:sz w:val="24"/>
          <w:szCs w:val="24"/>
          <w:vertAlign w:val="subscript"/>
        </w:rPr>
        <w:t>m</w:t>
      </w:r>
      <w:r w:rsidRPr="00341F95">
        <w:rPr>
          <w:rFonts w:ascii="Times New Roman" w:eastAsia="宋体" w:hAnsi="Times New Roman"/>
          <w:iCs/>
          <w:sz w:val="24"/>
          <w:szCs w:val="24"/>
        </w:rPr>
        <w:t xml:space="preserve">, the constants of Michaelis-Menten reaction kinetics mediated by CYP3A4, which was assumed to be the unique metabolism rout; Ki is the inhibition rate constant of ketoconazole on the </w:t>
      </w:r>
      <w:proofErr w:type="spellStart"/>
      <w:r w:rsidRPr="00341F95">
        <w:rPr>
          <w:rFonts w:ascii="Times New Roman" w:eastAsia="宋体" w:hAnsi="Times New Roman"/>
          <w:iCs/>
          <w:sz w:val="24"/>
          <w:szCs w:val="24"/>
        </w:rPr>
        <w:t>K</w:t>
      </w:r>
      <w:r w:rsidRPr="00341F95">
        <w:rPr>
          <w:rFonts w:ascii="Times New Roman" w:eastAsia="宋体" w:hAnsi="Times New Roman"/>
          <w:iCs/>
          <w:sz w:val="24"/>
          <w:szCs w:val="24"/>
          <w:vertAlign w:val="subscript"/>
        </w:rPr>
        <w:t>max</w:t>
      </w:r>
      <w:proofErr w:type="spellEnd"/>
      <w:r w:rsidRPr="00341F95">
        <w:rPr>
          <w:rFonts w:ascii="Times New Roman" w:eastAsia="宋体" w:hAnsi="Times New Roman"/>
          <w:iCs/>
          <w:sz w:val="24"/>
          <w:szCs w:val="24"/>
        </w:rPr>
        <w:t xml:space="preserve"> and V</w:t>
      </w:r>
      <w:r w:rsidRPr="00341F95">
        <w:rPr>
          <w:rFonts w:ascii="Times New Roman" w:eastAsia="宋体" w:hAnsi="Times New Roman"/>
          <w:iCs/>
          <w:sz w:val="24"/>
          <w:szCs w:val="24"/>
          <w:vertAlign w:val="subscript"/>
        </w:rPr>
        <w:t>max</w:t>
      </w:r>
      <w:r w:rsidRPr="00341F95">
        <w:rPr>
          <w:rFonts w:ascii="Times New Roman" w:eastAsia="宋体" w:hAnsi="Times New Roman"/>
          <w:iCs/>
          <w:sz w:val="24"/>
          <w:szCs w:val="24"/>
        </w:rPr>
        <w:t xml:space="preserve"> of victim; ACAT, Advanced Compartmental Absorption &amp; Transit model</w:t>
      </w:r>
      <w:r w:rsidR="00911E28">
        <w:rPr>
          <w:rFonts w:ascii="Times New Roman" w:eastAsia="宋体" w:hAnsi="Times New Roman"/>
          <w:iCs/>
          <w:sz w:val="24"/>
          <w:szCs w:val="24"/>
        </w:rPr>
        <w:t>, which was</w:t>
      </w:r>
      <w:r w:rsidR="00911E28" w:rsidRPr="00911E28">
        <w:rPr>
          <w:rFonts w:ascii="Times New Roman" w:eastAsia="宋体" w:hAnsi="Times New Roman"/>
          <w:iCs/>
          <w:sz w:val="24"/>
          <w:szCs w:val="24"/>
        </w:rPr>
        <w:t xml:space="preserve"> utilized</w:t>
      </w:r>
      <w:r w:rsidR="00911E28">
        <w:rPr>
          <w:rFonts w:ascii="Times New Roman" w:eastAsia="宋体" w:hAnsi="Times New Roman"/>
          <w:iCs/>
          <w:sz w:val="24"/>
          <w:szCs w:val="24"/>
        </w:rPr>
        <w:t xml:space="preserve"> to simulate and</w:t>
      </w:r>
      <w:r w:rsidR="00911E28" w:rsidRPr="00911E28">
        <w:rPr>
          <w:rFonts w:ascii="Times New Roman" w:eastAsia="宋体" w:hAnsi="Times New Roman"/>
          <w:iCs/>
          <w:sz w:val="24"/>
          <w:szCs w:val="24"/>
        </w:rPr>
        <w:t xml:space="preserve"> predict oral drug absorption</w:t>
      </w:r>
      <w:r w:rsidRPr="00341F95">
        <w:rPr>
          <w:rFonts w:ascii="Times New Roman" w:eastAsia="宋体" w:hAnsi="Times New Roman"/>
          <w:iCs/>
          <w:sz w:val="24"/>
          <w:szCs w:val="24"/>
        </w:rPr>
        <w:t>. The absorption and dissolution related parameters, including permeability, solubility, mean precipitation time, and solubility factor were optimized by matching simulated excretion of unchanged drug in feces with actual data. The renal clearance can get the optimized values by matching the simulated excretion of unchanged drug in urine with actual data. The K</w:t>
      </w:r>
      <w:r w:rsidRPr="00341F95">
        <w:rPr>
          <w:rFonts w:ascii="Times New Roman" w:eastAsia="宋体" w:hAnsi="Times New Roman"/>
          <w:iCs/>
          <w:sz w:val="24"/>
          <w:szCs w:val="24"/>
          <w:vertAlign w:val="subscript"/>
        </w:rPr>
        <w:t>m</w:t>
      </w:r>
      <w:r w:rsidRPr="00341F95">
        <w:rPr>
          <w:rFonts w:ascii="Times New Roman" w:eastAsia="宋体" w:hAnsi="Times New Roman"/>
          <w:iCs/>
          <w:sz w:val="24"/>
          <w:szCs w:val="24"/>
        </w:rPr>
        <w:t>, V</w:t>
      </w:r>
      <w:r w:rsidRPr="00341F95">
        <w:rPr>
          <w:rFonts w:ascii="Times New Roman" w:eastAsia="宋体" w:hAnsi="Times New Roman"/>
          <w:iCs/>
          <w:sz w:val="24"/>
          <w:szCs w:val="24"/>
          <w:vertAlign w:val="subscript"/>
        </w:rPr>
        <w:t>max</w:t>
      </w:r>
      <w:r w:rsidRPr="00341F95">
        <w:rPr>
          <w:rFonts w:ascii="Times New Roman" w:eastAsia="宋体" w:hAnsi="Times New Roman"/>
          <w:iCs/>
          <w:sz w:val="24"/>
          <w:szCs w:val="24"/>
        </w:rPr>
        <w:t>, K</w:t>
      </w:r>
      <w:r w:rsidRPr="00341F95">
        <w:rPr>
          <w:rFonts w:ascii="Times New Roman" w:eastAsia="宋体" w:hAnsi="Times New Roman"/>
          <w:iCs/>
          <w:sz w:val="24"/>
          <w:szCs w:val="24"/>
          <w:vertAlign w:val="subscript"/>
        </w:rPr>
        <w:t>12</w:t>
      </w:r>
      <w:r w:rsidRPr="00341F95">
        <w:rPr>
          <w:rFonts w:ascii="Times New Roman" w:eastAsia="宋体" w:hAnsi="Times New Roman"/>
          <w:iCs/>
          <w:sz w:val="24"/>
          <w:szCs w:val="24"/>
        </w:rPr>
        <w:t>, K</w:t>
      </w:r>
      <w:r w:rsidRPr="00341F95">
        <w:rPr>
          <w:rFonts w:ascii="Times New Roman" w:eastAsia="宋体" w:hAnsi="Times New Roman"/>
          <w:iCs/>
          <w:sz w:val="24"/>
          <w:szCs w:val="24"/>
          <w:vertAlign w:val="subscript"/>
        </w:rPr>
        <w:t>21</w:t>
      </w:r>
      <w:r w:rsidRPr="00341F95">
        <w:rPr>
          <w:rFonts w:ascii="Times New Roman" w:eastAsia="宋体" w:hAnsi="Times New Roman"/>
          <w:iCs/>
          <w:sz w:val="24"/>
          <w:szCs w:val="24"/>
        </w:rPr>
        <w:t xml:space="preserve">, and </w:t>
      </w:r>
      <w:proofErr w:type="spellStart"/>
      <w:r w:rsidRPr="00341F95">
        <w:rPr>
          <w:rFonts w:ascii="Times New Roman" w:eastAsia="宋体" w:hAnsi="Times New Roman"/>
          <w:iCs/>
          <w:sz w:val="24"/>
          <w:szCs w:val="24"/>
        </w:rPr>
        <w:t>V</w:t>
      </w:r>
      <w:r w:rsidRPr="00341F95">
        <w:rPr>
          <w:rFonts w:ascii="Times New Roman" w:eastAsia="宋体" w:hAnsi="Times New Roman"/>
          <w:iCs/>
          <w:sz w:val="24"/>
          <w:szCs w:val="24"/>
          <w:vertAlign w:val="subscript"/>
        </w:rPr>
        <w:t>c</w:t>
      </w:r>
      <w:proofErr w:type="spellEnd"/>
      <w:r w:rsidRPr="00341F95">
        <w:rPr>
          <w:rFonts w:ascii="Times New Roman" w:eastAsia="宋体" w:hAnsi="Times New Roman"/>
          <w:iCs/>
          <w:sz w:val="24"/>
          <w:szCs w:val="24"/>
        </w:rPr>
        <w:t xml:space="preserve"> were calculated by matching the </w:t>
      </w:r>
      <w:r w:rsidRPr="00341F95">
        <w:rPr>
          <w:rFonts w:ascii="Times New Roman" w:eastAsia="宋体" w:hAnsi="Times New Roman"/>
          <w:iCs/>
          <w:sz w:val="24"/>
          <w:szCs w:val="24"/>
        </w:rPr>
        <w:lastRenderedPageBreak/>
        <w:t>plasma pharmacokinetic profiles with the actual data.</w:t>
      </w:r>
    </w:p>
    <w:p w14:paraId="1E88B778" w14:textId="1942C153" w:rsidR="002A6E38" w:rsidRDefault="002A6E38" w:rsidP="00341F95">
      <w:pPr>
        <w:spacing w:after="120"/>
        <w:rPr>
          <w:rFonts w:ascii="Times New Roman" w:eastAsia="宋体" w:hAnsi="Times New Roman"/>
          <w:iCs/>
          <w:sz w:val="24"/>
          <w:szCs w:val="24"/>
        </w:rPr>
      </w:pPr>
      <w:r>
        <w:rPr>
          <w:rFonts w:ascii="Times New Roman" w:eastAsia="宋体" w:hAnsi="Times New Roman" w:hint="eastAsia"/>
          <w:iCs/>
          <w:sz w:val="24"/>
          <w:szCs w:val="24"/>
        </w:rPr>
        <w:t>T</w:t>
      </w:r>
      <w:r>
        <w:rPr>
          <w:rFonts w:ascii="Times New Roman" w:eastAsia="宋体" w:hAnsi="Times New Roman"/>
          <w:iCs/>
          <w:sz w:val="24"/>
          <w:szCs w:val="24"/>
        </w:rPr>
        <w:t xml:space="preserve">he details of </w:t>
      </w:r>
      <w:r>
        <w:rPr>
          <w:rFonts w:ascii="Times New Roman" w:eastAsia="宋体" w:hAnsi="Times New Roman" w:hint="eastAsia"/>
          <w:iCs/>
          <w:sz w:val="24"/>
          <w:szCs w:val="24"/>
        </w:rPr>
        <w:t>ketoconazole</w:t>
      </w:r>
      <w:r>
        <w:rPr>
          <w:rFonts w:ascii="Times New Roman" w:eastAsia="宋体" w:hAnsi="Times New Roman"/>
          <w:iCs/>
          <w:sz w:val="24"/>
          <w:szCs w:val="24"/>
        </w:rPr>
        <w:t xml:space="preserve"> </w:t>
      </w:r>
      <w:r>
        <w:rPr>
          <w:rFonts w:ascii="Times New Roman" w:eastAsia="宋体" w:hAnsi="Times New Roman" w:hint="eastAsia"/>
          <w:iCs/>
          <w:sz w:val="24"/>
          <w:szCs w:val="24"/>
        </w:rPr>
        <w:t>PBPK</w:t>
      </w:r>
      <w:r>
        <w:rPr>
          <w:rFonts w:ascii="Times New Roman" w:eastAsia="宋体" w:hAnsi="Times New Roman"/>
          <w:iCs/>
          <w:sz w:val="24"/>
          <w:szCs w:val="24"/>
        </w:rPr>
        <w:t xml:space="preserve"> </w:t>
      </w:r>
      <w:r>
        <w:rPr>
          <w:rFonts w:ascii="Times New Roman" w:eastAsia="宋体" w:hAnsi="Times New Roman" w:hint="eastAsia"/>
          <w:iCs/>
          <w:sz w:val="24"/>
          <w:szCs w:val="24"/>
        </w:rPr>
        <w:t>m</w:t>
      </w:r>
      <w:r>
        <w:rPr>
          <w:rFonts w:ascii="Times New Roman" w:eastAsia="宋体" w:hAnsi="Times New Roman"/>
          <w:iCs/>
          <w:sz w:val="24"/>
          <w:szCs w:val="24"/>
        </w:rPr>
        <w:t xml:space="preserve">odel have been reported in our previous paper [9]. The model parameters were attached in </w:t>
      </w:r>
      <w:r w:rsidR="00583CA3">
        <w:rPr>
          <w:rFonts w:ascii="Times New Roman" w:eastAsia="宋体" w:hAnsi="Times New Roman"/>
          <w:iCs/>
          <w:sz w:val="24"/>
          <w:szCs w:val="24"/>
        </w:rPr>
        <w:t>T</w:t>
      </w:r>
      <w:r>
        <w:rPr>
          <w:rFonts w:ascii="Times New Roman" w:eastAsia="宋体" w:hAnsi="Times New Roman"/>
          <w:iCs/>
          <w:sz w:val="24"/>
          <w:szCs w:val="24"/>
        </w:rPr>
        <w:t>able S2.</w:t>
      </w:r>
    </w:p>
    <w:p w14:paraId="77EE4230" w14:textId="6DCDEBB5" w:rsidR="002A6E38" w:rsidRDefault="002A6E38" w:rsidP="00341F95">
      <w:pPr>
        <w:spacing w:after="120"/>
        <w:rPr>
          <w:rFonts w:ascii="Times New Roman" w:eastAsia="宋体" w:hAnsi="Times New Roman"/>
          <w:iCs/>
          <w:sz w:val="24"/>
          <w:szCs w:val="24"/>
        </w:rPr>
      </w:pPr>
      <w:r>
        <w:rPr>
          <w:rFonts w:ascii="Times New Roman" w:eastAsia="宋体" w:hAnsi="Times New Roman" w:hint="eastAsia"/>
          <w:iCs/>
          <w:sz w:val="24"/>
          <w:szCs w:val="24"/>
        </w:rPr>
        <w:t>T</w:t>
      </w:r>
      <w:r>
        <w:rPr>
          <w:rFonts w:ascii="Times New Roman" w:eastAsia="宋体" w:hAnsi="Times New Roman"/>
          <w:iCs/>
          <w:sz w:val="24"/>
          <w:szCs w:val="24"/>
        </w:rPr>
        <w:t>able S2.</w:t>
      </w:r>
      <w:r w:rsidR="00583CA3">
        <w:rPr>
          <w:rFonts w:ascii="Times New Roman" w:eastAsia="宋体" w:hAnsi="Times New Roman"/>
          <w:iCs/>
          <w:sz w:val="24"/>
          <w:szCs w:val="24"/>
        </w:rPr>
        <w:t xml:space="preserve"> </w:t>
      </w:r>
      <w:r w:rsidR="00583CA3" w:rsidRPr="00583CA3">
        <w:rPr>
          <w:rFonts w:ascii="Times New Roman" w:eastAsia="宋体" w:hAnsi="Times New Roman"/>
          <w:iCs/>
          <w:sz w:val="24"/>
          <w:szCs w:val="24"/>
        </w:rPr>
        <w:t>The PBPK parameters of ketoconazole.</w:t>
      </w:r>
    </w:p>
    <w:tbl>
      <w:tblPr>
        <w:tblW w:w="8390" w:type="dxa"/>
        <w:tblLook w:val="04A0" w:firstRow="1" w:lastRow="0" w:firstColumn="1" w:lastColumn="0" w:noHBand="0" w:noVBand="1"/>
      </w:tblPr>
      <w:tblGrid>
        <w:gridCol w:w="4871"/>
        <w:gridCol w:w="3519"/>
      </w:tblGrid>
      <w:tr w:rsidR="002A6E38" w:rsidRPr="002A6E38" w14:paraId="0C1CA5ED" w14:textId="77777777" w:rsidTr="00583CA3">
        <w:trPr>
          <w:trHeight w:val="328"/>
        </w:trPr>
        <w:tc>
          <w:tcPr>
            <w:tcW w:w="4871" w:type="dxa"/>
            <w:tcBorders>
              <w:top w:val="single" w:sz="8" w:space="0" w:color="auto"/>
              <w:left w:val="nil"/>
              <w:bottom w:val="single" w:sz="8" w:space="0" w:color="auto"/>
              <w:right w:val="nil"/>
            </w:tcBorders>
            <w:shd w:val="clear" w:color="auto" w:fill="auto"/>
            <w:vAlign w:val="center"/>
            <w:hideMark/>
          </w:tcPr>
          <w:p w14:paraId="0B29CADA"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Parameters</w:t>
            </w:r>
          </w:p>
        </w:tc>
        <w:tc>
          <w:tcPr>
            <w:tcW w:w="3519" w:type="dxa"/>
            <w:tcBorders>
              <w:top w:val="single" w:sz="8" w:space="0" w:color="auto"/>
              <w:left w:val="nil"/>
              <w:bottom w:val="single" w:sz="8" w:space="0" w:color="auto"/>
              <w:right w:val="nil"/>
            </w:tcBorders>
            <w:shd w:val="clear" w:color="auto" w:fill="auto"/>
            <w:vAlign w:val="center"/>
            <w:hideMark/>
          </w:tcPr>
          <w:p w14:paraId="5D57CB3C"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Value</w:t>
            </w:r>
          </w:p>
        </w:tc>
      </w:tr>
      <w:tr w:rsidR="002A6E38" w:rsidRPr="002A6E38" w14:paraId="55946E26" w14:textId="77777777" w:rsidTr="00583CA3">
        <w:trPr>
          <w:trHeight w:val="313"/>
        </w:trPr>
        <w:tc>
          <w:tcPr>
            <w:tcW w:w="4871" w:type="dxa"/>
            <w:tcBorders>
              <w:top w:val="nil"/>
              <w:left w:val="nil"/>
              <w:bottom w:val="nil"/>
              <w:right w:val="nil"/>
            </w:tcBorders>
            <w:shd w:val="clear" w:color="auto" w:fill="auto"/>
            <w:vAlign w:val="center"/>
            <w:hideMark/>
          </w:tcPr>
          <w:p w14:paraId="42162281" w14:textId="77777777" w:rsidR="002A6E38" w:rsidRPr="002A6E38" w:rsidRDefault="002A6E38" w:rsidP="002A6E38">
            <w:pPr>
              <w:widowControl/>
              <w:rPr>
                <w:rFonts w:ascii="Times New Roman" w:eastAsia="等线" w:hAnsi="Times New Roman" w:cs="Times New Roman"/>
                <w:b/>
                <w:bCs/>
                <w:i/>
                <w:iCs/>
                <w:color w:val="000000"/>
                <w:kern w:val="0"/>
                <w:sz w:val="24"/>
                <w:szCs w:val="24"/>
              </w:rPr>
            </w:pPr>
            <w:r w:rsidRPr="002A6E38">
              <w:rPr>
                <w:rFonts w:ascii="Times New Roman" w:eastAsia="等线" w:hAnsi="Times New Roman" w:cs="Times New Roman"/>
                <w:b/>
                <w:bCs/>
                <w:i/>
                <w:iCs/>
                <w:color w:val="000000"/>
                <w:kern w:val="0"/>
                <w:sz w:val="24"/>
                <w:szCs w:val="24"/>
              </w:rPr>
              <w:t>Physicochemical Parameters</w:t>
            </w:r>
          </w:p>
        </w:tc>
        <w:tc>
          <w:tcPr>
            <w:tcW w:w="3519" w:type="dxa"/>
            <w:tcBorders>
              <w:top w:val="nil"/>
              <w:left w:val="nil"/>
              <w:bottom w:val="nil"/>
              <w:right w:val="nil"/>
            </w:tcBorders>
            <w:shd w:val="clear" w:color="auto" w:fill="auto"/>
            <w:vAlign w:val="center"/>
            <w:hideMark/>
          </w:tcPr>
          <w:p w14:paraId="66368B8C" w14:textId="77777777" w:rsidR="002A6E38" w:rsidRPr="002A6E38" w:rsidRDefault="002A6E38" w:rsidP="002A6E38">
            <w:pPr>
              <w:widowControl/>
              <w:rPr>
                <w:rFonts w:ascii="Times New Roman" w:eastAsia="等线" w:hAnsi="Times New Roman" w:cs="Times New Roman"/>
                <w:b/>
                <w:bCs/>
                <w:i/>
                <w:iCs/>
                <w:color w:val="000000"/>
                <w:kern w:val="0"/>
                <w:sz w:val="24"/>
                <w:szCs w:val="24"/>
              </w:rPr>
            </w:pPr>
          </w:p>
        </w:tc>
      </w:tr>
      <w:tr w:rsidR="002A6E38" w:rsidRPr="002A6E38" w14:paraId="503A4DAC" w14:textId="77777777" w:rsidTr="00583CA3">
        <w:trPr>
          <w:trHeight w:val="313"/>
        </w:trPr>
        <w:tc>
          <w:tcPr>
            <w:tcW w:w="4871" w:type="dxa"/>
            <w:tcBorders>
              <w:top w:val="nil"/>
              <w:left w:val="nil"/>
              <w:bottom w:val="nil"/>
              <w:right w:val="nil"/>
            </w:tcBorders>
            <w:shd w:val="clear" w:color="auto" w:fill="auto"/>
            <w:vAlign w:val="center"/>
            <w:hideMark/>
          </w:tcPr>
          <w:p w14:paraId="3A527E0C"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Molecular Weight (g/mol)</w:t>
            </w:r>
          </w:p>
        </w:tc>
        <w:tc>
          <w:tcPr>
            <w:tcW w:w="3519" w:type="dxa"/>
            <w:tcBorders>
              <w:top w:val="nil"/>
              <w:left w:val="nil"/>
              <w:bottom w:val="nil"/>
              <w:right w:val="nil"/>
            </w:tcBorders>
            <w:shd w:val="clear" w:color="auto" w:fill="auto"/>
            <w:vAlign w:val="center"/>
            <w:hideMark/>
          </w:tcPr>
          <w:p w14:paraId="09BA6ED3"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531.44</w:t>
            </w:r>
          </w:p>
        </w:tc>
      </w:tr>
      <w:tr w:rsidR="002A6E38" w:rsidRPr="002A6E38" w14:paraId="62EC9B3F" w14:textId="77777777" w:rsidTr="00583CA3">
        <w:trPr>
          <w:trHeight w:val="313"/>
        </w:trPr>
        <w:tc>
          <w:tcPr>
            <w:tcW w:w="4871" w:type="dxa"/>
            <w:tcBorders>
              <w:top w:val="nil"/>
              <w:left w:val="nil"/>
              <w:bottom w:val="nil"/>
              <w:right w:val="nil"/>
            </w:tcBorders>
            <w:shd w:val="clear" w:color="auto" w:fill="auto"/>
            <w:vAlign w:val="center"/>
            <w:hideMark/>
          </w:tcPr>
          <w:p w14:paraId="67C2A217" w14:textId="77777777" w:rsidR="002A6E38" w:rsidRPr="002A6E38" w:rsidRDefault="002A6E38" w:rsidP="002A6E38">
            <w:pPr>
              <w:widowControl/>
              <w:rPr>
                <w:rFonts w:ascii="Times New Roman" w:eastAsia="等线" w:hAnsi="Times New Roman" w:cs="Times New Roman"/>
                <w:color w:val="000000"/>
                <w:kern w:val="0"/>
                <w:sz w:val="24"/>
                <w:szCs w:val="24"/>
              </w:rPr>
            </w:pPr>
            <w:proofErr w:type="spellStart"/>
            <w:r w:rsidRPr="002A6E38">
              <w:rPr>
                <w:rFonts w:ascii="Times New Roman" w:eastAsia="等线" w:hAnsi="Times New Roman" w:cs="Times New Roman"/>
                <w:color w:val="000000"/>
                <w:kern w:val="0"/>
                <w:sz w:val="24"/>
                <w:szCs w:val="24"/>
              </w:rPr>
              <w:t>LogP</w:t>
            </w:r>
            <w:proofErr w:type="spellEnd"/>
            <w:r w:rsidRPr="002A6E38">
              <w:rPr>
                <w:rFonts w:ascii="Times New Roman" w:eastAsia="等线" w:hAnsi="Times New Roman" w:cs="Times New Roman"/>
                <w:color w:val="000000"/>
                <w:kern w:val="0"/>
                <w:sz w:val="24"/>
                <w:szCs w:val="24"/>
              </w:rPr>
              <w:t xml:space="preserve"> (</w:t>
            </w:r>
            <w:proofErr w:type="spellStart"/>
            <w:r w:rsidRPr="002A6E38">
              <w:rPr>
                <w:rFonts w:ascii="Times New Roman" w:eastAsia="等线" w:hAnsi="Times New Roman" w:cs="Times New Roman"/>
                <w:color w:val="000000"/>
                <w:kern w:val="0"/>
                <w:sz w:val="24"/>
                <w:szCs w:val="24"/>
              </w:rPr>
              <w:t>LogD</w:t>
            </w:r>
            <w:proofErr w:type="spellEnd"/>
            <w:r w:rsidRPr="002A6E38">
              <w:rPr>
                <w:rFonts w:ascii="Times New Roman" w:eastAsia="等线" w:hAnsi="Times New Roman" w:cs="Times New Roman"/>
                <w:color w:val="000000"/>
                <w:kern w:val="0"/>
                <w:sz w:val="24"/>
                <w:szCs w:val="24"/>
              </w:rPr>
              <w:t>)</w:t>
            </w:r>
          </w:p>
        </w:tc>
        <w:tc>
          <w:tcPr>
            <w:tcW w:w="3519" w:type="dxa"/>
            <w:tcBorders>
              <w:top w:val="nil"/>
              <w:left w:val="nil"/>
              <w:bottom w:val="nil"/>
              <w:right w:val="nil"/>
            </w:tcBorders>
            <w:shd w:val="clear" w:color="auto" w:fill="auto"/>
            <w:vAlign w:val="center"/>
            <w:hideMark/>
          </w:tcPr>
          <w:p w14:paraId="30D127B2"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2.67 (@ pH 7.4)</w:t>
            </w:r>
          </w:p>
        </w:tc>
      </w:tr>
      <w:tr w:rsidR="002A6E38" w:rsidRPr="002A6E38" w14:paraId="35436EE6" w14:textId="77777777" w:rsidTr="00583CA3">
        <w:trPr>
          <w:trHeight w:val="313"/>
        </w:trPr>
        <w:tc>
          <w:tcPr>
            <w:tcW w:w="4871" w:type="dxa"/>
            <w:tcBorders>
              <w:top w:val="nil"/>
              <w:left w:val="nil"/>
              <w:bottom w:val="nil"/>
              <w:right w:val="nil"/>
            </w:tcBorders>
            <w:shd w:val="clear" w:color="auto" w:fill="auto"/>
            <w:vAlign w:val="center"/>
            <w:hideMark/>
          </w:tcPr>
          <w:p w14:paraId="2A0CB9F2" w14:textId="77777777" w:rsidR="002A6E38" w:rsidRPr="002A6E38" w:rsidRDefault="002A6E38" w:rsidP="002A6E38">
            <w:pPr>
              <w:widowControl/>
              <w:rPr>
                <w:rFonts w:ascii="Times New Roman" w:eastAsia="等线" w:hAnsi="Times New Roman" w:cs="Times New Roman"/>
                <w:color w:val="000000"/>
                <w:kern w:val="0"/>
                <w:sz w:val="24"/>
                <w:szCs w:val="24"/>
              </w:rPr>
            </w:pPr>
            <w:proofErr w:type="spellStart"/>
            <w:r w:rsidRPr="002A6E38">
              <w:rPr>
                <w:rFonts w:ascii="Times New Roman" w:eastAsia="等线" w:hAnsi="Times New Roman" w:cs="Times New Roman"/>
                <w:color w:val="000000"/>
                <w:kern w:val="0"/>
                <w:sz w:val="24"/>
                <w:szCs w:val="24"/>
              </w:rPr>
              <w:t>pKa</w:t>
            </w:r>
            <w:proofErr w:type="spellEnd"/>
            <w:r w:rsidRPr="002A6E38">
              <w:rPr>
                <w:rFonts w:ascii="Times New Roman" w:eastAsia="等线" w:hAnsi="Times New Roman" w:cs="Times New Roman"/>
                <w:color w:val="000000"/>
                <w:kern w:val="0"/>
                <w:sz w:val="24"/>
                <w:szCs w:val="24"/>
              </w:rPr>
              <w:t xml:space="preserve"> (Base)</w:t>
            </w:r>
          </w:p>
        </w:tc>
        <w:tc>
          <w:tcPr>
            <w:tcW w:w="3519" w:type="dxa"/>
            <w:tcBorders>
              <w:top w:val="nil"/>
              <w:left w:val="nil"/>
              <w:bottom w:val="nil"/>
              <w:right w:val="nil"/>
            </w:tcBorders>
            <w:shd w:val="clear" w:color="auto" w:fill="auto"/>
            <w:vAlign w:val="center"/>
            <w:hideMark/>
          </w:tcPr>
          <w:p w14:paraId="45464EA2"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6.51, 2.94</w:t>
            </w:r>
          </w:p>
        </w:tc>
      </w:tr>
      <w:tr w:rsidR="002A6E38" w:rsidRPr="002A6E38" w14:paraId="5E1B400B" w14:textId="77777777" w:rsidTr="00583CA3">
        <w:trPr>
          <w:trHeight w:val="313"/>
        </w:trPr>
        <w:tc>
          <w:tcPr>
            <w:tcW w:w="4871" w:type="dxa"/>
            <w:tcBorders>
              <w:top w:val="nil"/>
              <w:left w:val="nil"/>
              <w:bottom w:val="nil"/>
              <w:right w:val="nil"/>
            </w:tcBorders>
            <w:shd w:val="clear" w:color="auto" w:fill="auto"/>
            <w:vAlign w:val="center"/>
            <w:hideMark/>
          </w:tcPr>
          <w:p w14:paraId="7702436B"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Aqueous Solubility (mg/mL)</w:t>
            </w:r>
          </w:p>
        </w:tc>
        <w:tc>
          <w:tcPr>
            <w:tcW w:w="3519" w:type="dxa"/>
            <w:tcBorders>
              <w:top w:val="nil"/>
              <w:left w:val="nil"/>
              <w:bottom w:val="nil"/>
              <w:right w:val="nil"/>
            </w:tcBorders>
            <w:shd w:val="clear" w:color="auto" w:fill="auto"/>
            <w:vAlign w:val="center"/>
            <w:hideMark/>
          </w:tcPr>
          <w:p w14:paraId="2CE16638"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0.0069 (@ pH 6.5)</w:t>
            </w:r>
          </w:p>
        </w:tc>
      </w:tr>
      <w:tr w:rsidR="002A6E38" w:rsidRPr="002A6E38" w14:paraId="68ACAFAB" w14:textId="77777777" w:rsidTr="00583CA3">
        <w:trPr>
          <w:trHeight w:val="313"/>
        </w:trPr>
        <w:tc>
          <w:tcPr>
            <w:tcW w:w="4871" w:type="dxa"/>
            <w:tcBorders>
              <w:top w:val="nil"/>
              <w:left w:val="nil"/>
              <w:bottom w:val="nil"/>
              <w:right w:val="nil"/>
            </w:tcBorders>
            <w:shd w:val="clear" w:color="auto" w:fill="auto"/>
            <w:vAlign w:val="center"/>
            <w:hideMark/>
          </w:tcPr>
          <w:p w14:paraId="5674CDB2"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Biorelevant Solubility (mg/mL)</w:t>
            </w:r>
          </w:p>
        </w:tc>
        <w:tc>
          <w:tcPr>
            <w:tcW w:w="3519" w:type="dxa"/>
            <w:tcBorders>
              <w:top w:val="nil"/>
              <w:left w:val="nil"/>
              <w:bottom w:val="nil"/>
              <w:right w:val="nil"/>
            </w:tcBorders>
            <w:shd w:val="clear" w:color="auto" w:fill="auto"/>
            <w:vAlign w:val="center"/>
            <w:hideMark/>
          </w:tcPr>
          <w:p w14:paraId="5A040E7D"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0.02158 (</w:t>
            </w:r>
            <w:proofErr w:type="spellStart"/>
            <w:r w:rsidRPr="002A6E38">
              <w:rPr>
                <w:rFonts w:ascii="Times New Roman" w:eastAsia="等线" w:hAnsi="Times New Roman" w:cs="Times New Roman"/>
                <w:color w:val="000000"/>
                <w:kern w:val="0"/>
                <w:sz w:val="24"/>
                <w:szCs w:val="24"/>
              </w:rPr>
              <w:t>FaSSIF</w:t>
            </w:r>
            <w:proofErr w:type="spellEnd"/>
            <w:r w:rsidRPr="002A6E38">
              <w:rPr>
                <w:rFonts w:ascii="Times New Roman" w:eastAsia="等线" w:hAnsi="Times New Roman" w:cs="Times New Roman"/>
                <w:color w:val="000000"/>
                <w:kern w:val="0"/>
                <w:sz w:val="24"/>
                <w:szCs w:val="24"/>
              </w:rPr>
              <w:t>)</w:t>
            </w:r>
          </w:p>
        </w:tc>
      </w:tr>
      <w:tr w:rsidR="002A6E38" w:rsidRPr="002A6E38" w14:paraId="2FAD0FD1" w14:textId="77777777" w:rsidTr="00583CA3">
        <w:trPr>
          <w:trHeight w:val="313"/>
        </w:trPr>
        <w:tc>
          <w:tcPr>
            <w:tcW w:w="4871" w:type="dxa"/>
            <w:tcBorders>
              <w:top w:val="nil"/>
              <w:left w:val="nil"/>
              <w:bottom w:val="nil"/>
              <w:right w:val="nil"/>
            </w:tcBorders>
            <w:shd w:val="clear" w:color="auto" w:fill="auto"/>
            <w:vAlign w:val="center"/>
            <w:hideMark/>
          </w:tcPr>
          <w:p w14:paraId="43DC204B"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Solubilization Ratio (SR)</w:t>
            </w:r>
          </w:p>
        </w:tc>
        <w:tc>
          <w:tcPr>
            <w:tcW w:w="3519" w:type="dxa"/>
            <w:tcBorders>
              <w:top w:val="nil"/>
              <w:left w:val="nil"/>
              <w:bottom w:val="nil"/>
              <w:right w:val="nil"/>
            </w:tcBorders>
            <w:shd w:val="clear" w:color="auto" w:fill="auto"/>
            <w:vAlign w:val="center"/>
            <w:hideMark/>
          </w:tcPr>
          <w:p w14:paraId="6ECFA9AC"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87800</w:t>
            </w:r>
          </w:p>
        </w:tc>
      </w:tr>
      <w:tr w:rsidR="002A6E38" w:rsidRPr="002A6E38" w14:paraId="7422747F" w14:textId="77777777" w:rsidTr="00583CA3">
        <w:trPr>
          <w:trHeight w:val="313"/>
        </w:trPr>
        <w:tc>
          <w:tcPr>
            <w:tcW w:w="4871" w:type="dxa"/>
            <w:tcBorders>
              <w:top w:val="nil"/>
              <w:left w:val="nil"/>
              <w:bottom w:val="nil"/>
              <w:right w:val="nil"/>
            </w:tcBorders>
            <w:shd w:val="clear" w:color="auto" w:fill="auto"/>
            <w:vAlign w:val="center"/>
            <w:hideMark/>
          </w:tcPr>
          <w:p w14:paraId="1D4480CC"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Particle Radius (</w:t>
            </w:r>
            <w:proofErr w:type="spellStart"/>
            <w:r w:rsidRPr="002A6E38">
              <w:rPr>
                <w:rFonts w:ascii="Times New Roman" w:eastAsia="等线" w:hAnsi="Times New Roman" w:cs="Times New Roman"/>
                <w:color w:val="000000"/>
                <w:kern w:val="0"/>
                <w:sz w:val="24"/>
                <w:szCs w:val="24"/>
              </w:rPr>
              <w:t>μm</w:t>
            </w:r>
            <w:proofErr w:type="spellEnd"/>
            <w:r w:rsidRPr="002A6E38">
              <w:rPr>
                <w:rFonts w:ascii="Times New Roman" w:eastAsia="等线" w:hAnsi="Times New Roman" w:cs="Times New Roman"/>
                <w:color w:val="000000"/>
                <w:kern w:val="0"/>
                <w:sz w:val="24"/>
                <w:szCs w:val="24"/>
              </w:rPr>
              <w:t>)</w:t>
            </w:r>
          </w:p>
        </w:tc>
        <w:tc>
          <w:tcPr>
            <w:tcW w:w="3519" w:type="dxa"/>
            <w:tcBorders>
              <w:top w:val="nil"/>
              <w:left w:val="nil"/>
              <w:bottom w:val="nil"/>
              <w:right w:val="nil"/>
            </w:tcBorders>
            <w:shd w:val="clear" w:color="auto" w:fill="auto"/>
            <w:vAlign w:val="center"/>
            <w:hideMark/>
          </w:tcPr>
          <w:p w14:paraId="680DCA9A"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5</w:t>
            </w:r>
          </w:p>
        </w:tc>
      </w:tr>
      <w:tr w:rsidR="002A6E38" w:rsidRPr="002A6E38" w14:paraId="67EA55E1" w14:textId="77777777" w:rsidTr="00583CA3">
        <w:trPr>
          <w:trHeight w:val="313"/>
        </w:trPr>
        <w:tc>
          <w:tcPr>
            <w:tcW w:w="4871" w:type="dxa"/>
            <w:tcBorders>
              <w:top w:val="nil"/>
              <w:left w:val="nil"/>
              <w:bottom w:val="nil"/>
              <w:right w:val="nil"/>
            </w:tcBorders>
            <w:shd w:val="clear" w:color="auto" w:fill="auto"/>
            <w:vAlign w:val="center"/>
            <w:hideMark/>
          </w:tcPr>
          <w:p w14:paraId="68DC2452"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Mean Precipitation Time (s)</w:t>
            </w:r>
          </w:p>
        </w:tc>
        <w:tc>
          <w:tcPr>
            <w:tcW w:w="3519" w:type="dxa"/>
            <w:tcBorders>
              <w:top w:val="nil"/>
              <w:left w:val="nil"/>
              <w:bottom w:val="nil"/>
              <w:right w:val="nil"/>
            </w:tcBorders>
            <w:shd w:val="clear" w:color="auto" w:fill="auto"/>
            <w:vAlign w:val="center"/>
            <w:hideMark/>
          </w:tcPr>
          <w:p w14:paraId="606A451D"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8000</w:t>
            </w:r>
          </w:p>
        </w:tc>
      </w:tr>
      <w:tr w:rsidR="002A6E38" w:rsidRPr="002A6E38" w14:paraId="1924EE90" w14:textId="77777777" w:rsidTr="00583CA3">
        <w:trPr>
          <w:trHeight w:val="372"/>
        </w:trPr>
        <w:tc>
          <w:tcPr>
            <w:tcW w:w="4871" w:type="dxa"/>
            <w:tcBorders>
              <w:top w:val="nil"/>
              <w:left w:val="nil"/>
              <w:bottom w:val="nil"/>
              <w:right w:val="nil"/>
            </w:tcBorders>
            <w:shd w:val="clear" w:color="auto" w:fill="auto"/>
            <w:vAlign w:val="center"/>
            <w:hideMark/>
          </w:tcPr>
          <w:p w14:paraId="23ED8B9B" w14:textId="77777777" w:rsidR="002A6E38" w:rsidRPr="002A6E38" w:rsidRDefault="002A6E38" w:rsidP="002A6E38">
            <w:pPr>
              <w:widowControl/>
              <w:rPr>
                <w:rFonts w:ascii="Times New Roman" w:eastAsia="等线" w:hAnsi="Times New Roman" w:cs="Times New Roman"/>
                <w:color w:val="000000"/>
                <w:kern w:val="0"/>
                <w:sz w:val="24"/>
                <w:szCs w:val="24"/>
              </w:rPr>
            </w:pPr>
            <w:proofErr w:type="spellStart"/>
            <w:r w:rsidRPr="002A6E38">
              <w:rPr>
                <w:rFonts w:ascii="Times New Roman" w:eastAsia="等线" w:hAnsi="Times New Roman" w:cs="Times New Roman"/>
                <w:color w:val="000000"/>
                <w:kern w:val="0"/>
                <w:sz w:val="24"/>
                <w:szCs w:val="24"/>
              </w:rPr>
              <w:t>P</w:t>
            </w:r>
            <w:r w:rsidRPr="00E7517C">
              <w:rPr>
                <w:rFonts w:ascii="Times New Roman" w:eastAsia="等线" w:hAnsi="Times New Roman" w:cs="Times New Roman"/>
                <w:color w:val="000000"/>
                <w:kern w:val="0"/>
                <w:sz w:val="24"/>
                <w:szCs w:val="24"/>
                <w:vertAlign w:val="subscript"/>
              </w:rPr>
              <w:t>eff</w:t>
            </w:r>
            <w:proofErr w:type="spellEnd"/>
            <w:r w:rsidRPr="002A6E38">
              <w:rPr>
                <w:rFonts w:ascii="Times New Roman" w:eastAsia="等线" w:hAnsi="Times New Roman" w:cs="Times New Roman"/>
                <w:color w:val="000000"/>
                <w:kern w:val="0"/>
                <w:sz w:val="24"/>
                <w:szCs w:val="24"/>
              </w:rPr>
              <w:t xml:space="preserve"> (cm/s·10</w:t>
            </w:r>
            <w:r w:rsidRPr="002A6E38">
              <w:rPr>
                <w:rFonts w:ascii="Times New Roman" w:eastAsia="等线" w:hAnsi="Times New Roman" w:cs="Times New Roman"/>
                <w:color w:val="000000"/>
                <w:kern w:val="0"/>
                <w:sz w:val="24"/>
                <w:szCs w:val="24"/>
                <w:vertAlign w:val="superscript"/>
              </w:rPr>
              <w:t>4</w:t>
            </w:r>
            <w:r w:rsidRPr="002A6E38">
              <w:rPr>
                <w:rFonts w:ascii="Times New Roman" w:eastAsia="等线" w:hAnsi="Times New Roman" w:cs="Times New Roman"/>
                <w:color w:val="000000"/>
                <w:kern w:val="0"/>
                <w:sz w:val="24"/>
                <w:szCs w:val="24"/>
              </w:rPr>
              <w:t>)</w:t>
            </w:r>
          </w:p>
        </w:tc>
        <w:tc>
          <w:tcPr>
            <w:tcW w:w="3519" w:type="dxa"/>
            <w:tcBorders>
              <w:top w:val="nil"/>
              <w:left w:val="nil"/>
              <w:bottom w:val="nil"/>
              <w:right w:val="nil"/>
            </w:tcBorders>
            <w:shd w:val="clear" w:color="auto" w:fill="auto"/>
            <w:vAlign w:val="center"/>
            <w:hideMark/>
          </w:tcPr>
          <w:p w14:paraId="6B117E3E"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1.235</w:t>
            </w:r>
          </w:p>
        </w:tc>
      </w:tr>
      <w:tr w:rsidR="002A6E38" w:rsidRPr="002A6E38" w14:paraId="589D6CA9" w14:textId="77777777" w:rsidTr="00583CA3">
        <w:trPr>
          <w:trHeight w:val="313"/>
        </w:trPr>
        <w:tc>
          <w:tcPr>
            <w:tcW w:w="4871" w:type="dxa"/>
            <w:tcBorders>
              <w:top w:val="nil"/>
              <w:left w:val="nil"/>
              <w:bottom w:val="nil"/>
              <w:right w:val="nil"/>
            </w:tcBorders>
            <w:shd w:val="clear" w:color="auto" w:fill="auto"/>
            <w:vAlign w:val="center"/>
            <w:hideMark/>
          </w:tcPr>
          <w:p w14:paraId="38E0BC4A" w14:textId="77777777" w:rsidR="002A6E38" w:rsidRPr="002A6E38" w:rsidRDefault="002A6E38" w:rsidP="002A6E38">
            <w:pPr>
              <w:widowControl/>
              <w:rPr>
                <w:rFonts w:ascii="Times New Roman" w:eastAsia="等线" w:hAnsi="Times New Roman" w:cs="Times New Roman"/>
                <w:b/>
                <w:bCs/>
                <w:i/>
                <w:iCs/>
                <w:color w:val="000000"/>
                <w:kern w:val="0"/>
                <w:sz w:val="24"/>
                <w:szCs w:val="24"/>
              </w:rPr>
            </w:pPr>
            <w:r w:rsidRPr="002A6E38">
              <w:rPr>
                <w:rFonts w:ascii="Times New Roman" w:eastAsia="等线" w:hAnsi="Times New Roman" w:cs="Times New Roman"/>
                <w:b/>
                <w:bCs/>
                <w:i/>
                <w:iCs/>
                <w:color w:val="000000"/>
                <w:kern w:val="0"/>
                <w:sz w:val="24"/>
                <w:szCs w:val="24"/>
              </w:rPr>
              <w:t>Distribution Parameters</w:t>
            </w:r>
          </w:p>
        </w:tc>
        <w:tc>
          <w:tcPr>
            <w:tcW w:w="3519" w:type="dxa"/>
            <w:tcBorders>
              <w:top w:val="nil"/>
              <w:left w:val="nil"/>
              <w:bottom w:val="nil"/>
              <w:right w:val="nil"/>
            </w:tcBorders>
            <w:shd w:val="clear" w:color="auto" w:fill="auto"/>
            <w:vAlign w:val="center"/>
            <w:hideMark/>
          </w:tcPr>
          <w:p w14:paraId="20A442A5" w14:textId="77777777" w:rsidR="002A6E38" w:rsidRPr="002A6E38" w:rsidRDefault="002A6E38" w:rsidP="002A6E38">
            <w:pPr>
              <w:widowControl/>
              <w:rPr>
                <w:rFonts w:ascii="Times New Roman" w:eastAsia="等线" w:hAnsi="Times New Roman" w:cs="Times New Roman"/>
                <w:b/>
                <w:bCs/>
                <w:i/>
                <w:iCs/>
                <w:color w:val="000000"/>
                <w:kern w:val="0"/>
                <w:sz w:val="24"/>
                <w:szCs w:val="24"/>
              </w:rPr>
            </w:pPr>
          </w:p>
        </w:tc>
      </w:tr>
      <w:tr w:rsidR="002A6E38" w:rsidRPr="002A6E38" w14:paraId="321AC6E3" w14:textId="77777777" w:rsidTr="00583CA3">
        <w:trPr>
          <w:trHeight w:val="372"/>
        </w:trPr>
        <w:tc>
          <w:tcPr>
            <w:tcW w:w="4871" w:type="dxa"/>
            <w:tcBorders>
              <w:top w:val="nil"/>
              <w:left w:val="nil"/>
              <w:bottom w:val="nil"/>
              <w:right w:val="nil"/>
            </w:tcBorders>
            <w:shd w:val="clear" w:color="auto" w:fill="auto"/>
            <w:vAlign w:val="center"/>
            <w:hideMark/>
          </w:tcPr>
          <w:p w14:paraId="2A5E7C7E" w14:textId="03CE3FAD" w:rsidR="002A6E38" w:rsidRPr="002A6E38" w:rsidRDefault="00430A73" w:rsidP="002A6E38">
            <w:pPr>
              <w:widowControl/>
              <w:rPr>
                <w:rFonts w:ascii="Times New Roman" w:eastAsia="等线" w:hAnsi="Times New Roman" w:cs="Times New Roman"/>
                <w:color w:val="000000"/>
                <w:kern w:val="0"/>
                <w:sz w:val="24"/>
                <w:szCs w:val="24"/>
              </w:rPr>
            </w:pPr>
            <w:r>
              <w:rPr>
                <w:rFonts w:ascii="Times New Roman" w:eastAsia="等线" w:hAnsi="Times New Roman" w:cs="Times New Roman"/>
                <w:color w:val="000000"/>
                <w:kern w:val="0"/>
                <w:sz w:val="24"/>
                <w:szCs w:val="24"/>
              </w:rPr>
              <w:t>BP</w:t>
            </w:r>
          </w:p>
        </w:tc>
        <w:tc>
          <w:tcPr>
            <w:tcW w:w="3519" w:type="dxa"/>
            <w:tcBorders>
              <w:top w:val="nil"/>
              <w:left w:val="nil"/>
              <w:bottom w:val="nil"/>
              <w:right w:val="nil"/>
            </w:tcBorders>
            <w:shd w:val="clear" w:color="auto" w:fill="auto"/>
            <w:vAlign w:val="center"/>
            <w:hideMark/>
          </w:tcPr>
          <w:p w14:paraId="05DAB33C"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0.6</w:t>
            </w:r>
          </w:p>
        </w:tc>
      </w:tr>
      <w:tr w:rsidR="002A6E38" w:rsidRPr="002A6E38" w14:paraId="5D7C9C81" w14:textId="77777777" w:rsidTr="00583CA3">
        <w:trPr>
          <w:trHeight w:val="313"/>
        </w:trPr>
        <w:tc>
          <w:tcPr>
            <w:tcW w:w="4871" w:type="dxa"/>
            <w:tcBorders>
              <w:top w:val="nil"/>
              <w:left w:val="nil"/>
              <w:bottom w:val="nil"/>
              <w:right w:val="nil"/>
            </w:tcBorders>
            <w:shd w:val="clear" w:color="auto" w:fill="auto"/>
            <w:vAlign w:val="center"/>
            <w:hideMark/>
          </w:tcPr>
          <w:p w14:paraId="484CADE2" w14:textId="77777777" w:rsidR="002A6E38" w:rsidRPr="002A6E38" w:rsidRDefault="002A6E38" w:rsidP="002A6E38">
            <w:pPr>
              <w:widowControl/>
              <w:rPr>
                <w:rFonts w:ascii="Times New Roman" w:eastAsia="等线" w:hAnsi="Times New Roman" w:cs="Times New Roman"/>
                <w:color w:val="000000"/>
                <w:kern w:val="0"/>
                <w:sz w:val="24"/>
                <w:szCs w:val="24"/>
              </w:rPr>
            </w:pPr>
            <w:r w:rsidRPr="00E7517C">
              <w:rPr>
                <w:rFonts w:ascii="Times New Roman" w:eastAsia="等线" w:hAnsi="Times New Roman" w:cs="Times New Roman"/>
                <w:i/>
                <w:color w:val="000000"/>
                <w:kern w:val="0"/>
                <w:sz w:val="24"/>
                <w:szCs w:val="24"/>
              </w:rPr>
              <w:t>f</w:t>
            </w:r>
            <w:r w:rsidRPr="00E7517C">
              <w:rPr>
                <w:rFonts w:ascii="Times New Roman" w:eastAsia="等线" w:hAnsi="Times New Roman" w:cs="Times New Roman"/>
                <w:i/>
                <w:color w:val="000000"/>
                <w:kern w:val="0"/>
                <w:sz w:val="24"/>
                <w:szCs w:val="24"/>
                <w:vertAlign w:val="subscript"/>
              </w:rPr>
              <w:t>u</w:t>
            </w:r>
            <w:r w:rsidRPr="002A6E38">
              <w:rPr>
                <w:rFonts w:ascii="Times New Roman" w:eastAsia="等线" w:hAnsi="Times New Roman" w:cs="Times New Roman"/>
                <w:color w:val="000000"/>
                <w:kern w:val="0"/>
                <w:sz w:val="24"/>
                <w:szCs w:val="24"/>
              </w:rPr>
              <w:t xml:space="preserve"> (%)</w:t>
            </w:r>
          </w:p>
        </w:tc>
        <w:tc>
          <w:tcPr>
            <w:tcW w:w="3519" w:type="dxa"/>
            <w:tcBorders>
              <w:top w:val="nil"/>
              <w:left w:val="nil"/>
              <w:bottom w:val="nil"/>
              <w:right w:val="nil"/>
            </w:tcBorders>
            <w:shd w:val="clear" w:color="auto" w:fill="auto"/>
            <w:vAlign w:val="center"/>
            <w:hideMark/>
          </w:tcPr>
          <w:p w14:paraId="40B79284"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1.5</w:t>
            </w:r>
          </w:p>
        </w:tc>
      </w:tr>
      <w:tr w:rsidR="002A6E38" w:rsidRPr="002A6E38" w14:paraId="0B544534" w14:textId="77777777" w:rsidTr="00583CA3">
        <w:trPr>
          <w:trHeight w:val="372"/>
        </w:trPr>
        <w:tc>
          <w:tcPr>
            <w:tcW w:w="4871" w:type="dxa"/>
            <w:tcBorders>
              <w:top w:val="nil"/>
              <w:left w:val="nil"/>
              <w:bottom w:val="nil"/>
              <w:right w:val="nil"/>
            </w:tcBorders>
            <w:shd w:val="clear" w:color="auto" w:fill="auto"/>
            <w:vAlign w:val="center"/>
            <w:hideMark/>
          </w:tcPr>
          <w:p w14:paraId="108CF6CE" w14:textId="77777777" w:rsidR="002A6E38" w:rsidRPr="002A6E38" w:rsidRDefault="002A6E38" w:rsidP="002A6E38">
            <w:pPr>
              <w:widowControl/>
              <w:rPr>
                <w:rFonts w:ascii="Times New Roman" w:eastAsia="等线" w:hAnsi="Times New Roman" w:cs="Times New Roman"/>
                <w:color w:val="000000"/>
                <w:kern w:val="0"/>
                <w:sz w:val="24"/>
                <w:szCs w:val="24"/>
              </w:rPr>
            </w:pPr>
            <w:proofErr w:type="spellStart"/>
            <w:r w:rsidRPr="002A6E38">
              <w:rPr>
                <w:rFonts w:ascii="Times New Roman" w:eastAsia="等线" w:hAnsi="Times New Roman" w:cs="Times New Roman"/>
                <w:color w:val="000000"/>
                <w:kern w:val="0"/>
                <w:sz w:val="24"/>
                <w:szCs w:val="24"/>
              </w:rPr>
              <w:t>V</w:t>
            </w:r>
            <w:r w:rsidRPr="002A6E38">
              <w:rPr>
                <w:rFonts w:ascii="Times New Roman" w:eastAsia="等线" w:hAnsi="Times New Roman" w:cs="Times New Roman"/>
                <w:color w:val="000000"/>
                <w:kern w:val="0"/>
                <w:sz w:val="24"/>
                <w:szCs w:val="24"/>
                <w:vertAlign w:val="subscript"/>
              </w:rPr>
              <w:t>c</w:t>
            </w:r>
            <w:proofErr w:type="spellEnd"/>
            <w:r w:rsidRPr="002A6E38">
              <w:rPr>
                <w:rFonts w:ascii="Times New Roman" w:eastAsia="等线" w:hAnsi="Times New Roman" w:cs="Times New Roman"/>
                <w:color w:val="000000"/>
                <w:kern w:val="0"/>
                <w:sz w:val="24"/>
                <w:szCs w:val="24"/>
              </w:rPr>
              <w:t xml:space="preserve"> (L/Kg)</w:t>
            </w:r>
          </w:p>
        </w:tc>
        <w:tc>
          <w:tcPr>
            <w:tcW w:w="3519" w:type="dxa"/>
            <w:tcBorders>
              <w:top w:val="nil"/>
              <w:left w:val="nil"/>
              <w:bottom w:val="nil"/>
              <w:right w:val="nil"/>
            </w:tcBorders>
            <w:shd w:val="clear" w:color="auto" w:fill="auto"/>
            <w:vAlign w:val="center"/>
            <w:hideMark/>
          </w:tcPr>
          <w:p w14:paraId="0AE4EC92"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0.07617</w:t>
            </w:r>
          </w:p>
        </w:tc>
      </w:tr>
      <w:tr w:rsidR="002A6E38" w:rsidRPr="002A6E38" w14:paraId="08829F90" w14:textId="77777777" w:rsidTr="00583CA3">
        <w:trPr>
          <w:trHeight w:val="372"/>
        </w:trPr>
        <w:tc>
          <w:tcPr>
            <w:tcW w:w="4871" w:type="dxa"/>
            <w:tcBorders>
              <w:top w:val="nil"/>
              <w:left w:val="nil"/>
              <w:bottom w:val="nil"/>
              <w:right w:val="nil"/>
            </w:tcBorders>
            <w:shd w:val="clear" w:color="auto" w:fill="auto"/>
            <w:vAlign w:val="center"/>
            <w:hideMark/>
          </w:tcPr>
          <w:p w14:paraId="3AEF9D27"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K</w:t>
            </w:r>
            <w:r w:rsidRPr="002A6E38">
              <w:rPr>
                <w:rFonts w:ascii="Times New Roman" w:eastAsia="等线" w:hAnsi="Times New Roman" w:cs="Times New Roman"/>
                <w:color w:val="000000"/>
                <w:kern w:val="0"/>
                <w:sz w:val="24"/>
                <w:szCs w:val="24"/>
                <w:vertAlign w:val="subscript"/>
              </w:rPr>
              <w:t>12</w:t>
            </w:r>
            <w:r w:rsidRPr="002A6E38">
              <w:rPr>
                <w:rFonts w:ascii="Times New Roman" w:eastAsia="等线" w:hAnsi="Times New Roman" w:cs="Times New Roman"/>
                <w:color w:val="000000"/>
                <w:kern w:val="0"/>
                <w:sz w:val="24"/>
                <w:szCs w:val="24"/>
              </w:rPr>
              <w:t xml:space="preserve"> (1/h)</w:t>
            </w:r>
          </w:p>
        </w:tc>
        <w:tc>
          <w:tcPr>
            <w:tcW w:w="3519" w:type="dxa"/>
            <w:tcBorders>
              <w:top w:val="nil"/>
              <w:left w:val="nil"/>
              <w:bottom w:val="nil"/>
              <w:right w:val="nil"/>
            </w:tcBorders>
            <w:shd w:val="clear" w:color="auto" w:fill="auto"/>
            <w:vAlign w:val="center"/>
            <w:hideMark/>
          </w:tcPr>
          <w:p w14:paraId="156CC307"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0.29888</w:t>
            </w:r>
          </w:p>
        </w:tc>
      </w:tr>
      <w:tr w:rsidR="002A6E38" w:rsidRPr="002A6E38" w14:paraId="33D0CDD0" w14:textId="77777777" w:rsidTr="00583CA3">
        <w:trPr>
          <w:trHeight w:val="372"/>
        </w:trPr>
        <w:tc>
          <w:tcPr>
            <w:tcW w:w="4871" w:type="dxa"/>
            <w:tcBorders>
              <w:top w:val="nil"/>
              <w:left w:val="nil"/>
              <w:bottom w:val="nil"/>
              <w:right w:val="nil"/>
            </w:tcBorders>
            <w:shd w:val="clear" w:color="auto" w:fill="auto"/>
            <w:vAlign w:val="center"/>
            <w:hideMark/>
          </w:tcPr>
          <w:p w14:paraId="16301DBF"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K</w:t>
            </w:r>
            <w:r w:rsidRPr="002A6E38">
              <w:rPr>
                <w:rFonts w:ascii="Times New Roman" w:eastAsia="等线" w:hAnsi="Times New Roman" w:cs="Times New Roman"/>
                <w:color w:val="000000"/>
                <w:kern w:val="0"/>
                <w:sz w:val="24"/>
                <w:szCs w:val="24"/>
                <w:vertAlign w:val="subscript"/>
              </w:rPr>
              <w:t>21</w:t>
            </w:r>
            <w:r w:rsidRPr="002A6E38">
              <w:rPr>
                <w:rFonts w:ascii="Times New Roman" w:eastAsia="等线" w:hAnsi="Times New Roman" w:cs="Times New Roman"/>
                <w:color w:val="000000"/>
                <w:kern w:val="0"/>
                <w:sz w:val="24"/>
                <w:szCs w:val="24"/>
              </w:rPr>
              <w:t xml:space="preserve"> (1/h)</w:t>
            </w:r>
          </w:p>
        </w:tc>
        <w:tc>
          <w:tcPr>
            <w:tcW w:w="3519" w:type="dxa"/>
            <w:tcBorders>
              <w:top w:val="nil"/>
              <w:left w:val="nil"/>
              <w:bottom w:val="nil"/>
              <w:right w:val="nil"/>
            </w:tcBorders>
            <w:shd w:val="clear" w:color="auto" w:fill="auto"/>
            <w:vAlign w:val="center"/>
            <w:hideMark/>
          </w:tcPr>
          <w:p w14:paraId="4EF1F856"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0.19759</w:t>
            </w:r>
          </w:p>
        </w:tc>
      </w:tr>
      <w:tr w:rsidR="002A6E38" w:rsidRPr="002A6E38" w14:paraId="5C1E6957" w14:textId="77777777" w:rsidTr="00583CA3">
        <w:trPr>
          <w:trHeight w:val="372"/>
        </w:trPr>
        <w:tc>
          <w:tcPr>
            <w:tcW w:w="4871" w:type="dxa"/>
            <w:tcBorders>
              <w:top w:val="nil"/>
              <w:left w:val="nil"/>
              <w:bottom w:val="nil"/>
              <w:right w:val="nil"/>
            </w:tcBorders>
            <w:shd w:val="clear" w:color="auto" w:fill="auto"/>
            <w:vAlign w:val="center"/>
            <w:hideMark/>
          </w:tcPr>
          <w:p w14:paraId="6C7484D8"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K</w:t>
            </w:r>
            <w:r w:rsidRPr="002A6E38">
              <w:rPr>
                <w:rFonts w:ascii="Times New Roman" w:eastAsia="等线" w:hAnsi="Times New Roman" w:cs="Times New Roman"/>
                <w:color w:val="000000"/>
                <w:kern w:val="0"/>
                <w:sz w:val="24"/>
                <w:szCs w:val="24"/>
                <w:vertAlign w:val="subscript"/>
              </w:rPr>
              <w:t>13</w:t>
            </w:r>
            <w:r w:rsidRPr="002A6E38">
              <w:rPr>
                <w:rFonts w:ascii="Times New Roman" w:eastAsia="等线" w:hAnsi="Times New Roman" w:cs="Times New Roman"/>
                <w:color w:val="000000"/>
                <w:kern w:val="0"/>
                <w:sz w:val="24"/>
                <w:szCs w:val="24"/>
              </w:rPr>
              <w:t xml:space="preserve"> (1/h)</w:t>
            </w:r>
          </w:p>
        </w:tc>
        <w:tc>
          <w:tcPr>
            <w:tcW w:w="3519" w:type="dxa"/>
            <w:tcBorders>
              <w:top w:val="nil"/>
              <w:left w:val="nil"/>
              <w:bottom w:val="nil"/>
              <w:right w:val="nil"/>
            </w:tcBorders>
            <w:shd w:val="clear" w:color="auto" w:fill="auto"/>
            <w:vAlign w:val="center"/>
            <w:hideMark/>
          </w:tcPr>
          <w:p w14:paraId="4D193BF8"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13.257</w:t>
            </w:r>
          </w:p>
        </w:tc>
      </w:tr>
      <w:tr w:rsidR="002A6E38" w:rsidRPr="002A6E38" w14:paraId="35651851" w14:textId="77777777" w:rsidTr="00583CA3">
        <w:trPr>
          <w:trHeight w:val="372"/>
        </w:trPr>
        <w:tc>
          <w:tcPr>
            <w:tcW w:w="4871" w:type="dxa"/>
            <w:tcBorders>
              <w:top w:val="nil"/>
              <w:left w:val="nil"/>
              <w:bottom w:val="nil"/>
              <w:right w:val="nil"/>
            </w:tcBorders>
            <w:shd w:val="clear" w:color="auto" w:fill="auto"/>
            <w:vAlign w:val="center"/>
            <w:hideMark/>
          </w:tcPr>
          <w:p w14:paraId="15BC1D0D"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K</w:t>
            </w:r>
            <w:r w:rsidRPr="002A6E38">
              <w:rPr>
                <w:rFonts w:ascii="Times New Roman" w:eastAsia="等线" w:hAnsi="Times New Roman" w:cs="Times New Roman"/>
                <w:color w:val="000000"/>
                <w:kern w:val="0"/>
                <w:sz w:val="24"/>
                <w:szCs w:val="24"/>
                <w:vertAlign w:val="subscript"/>
              </w:rPr>
              <w:t>31</w:t>
            </w:r>
            <w:r w:rsidRPr="002A6E38">
              <w:rPr>
                <w:rFonts w:ascii="Times New Roman" w:eastAsia="等线" w:hAnsi="Times New Roman" w:cs="Times New Roman"/>
                <w:color w:val="000000"/>
                <w:kern w:val="0"/>
                <w:sz w:val="24"/>
                <w:szCs w:val="24"/>
              </w:rPr>
              <w:t xml:space="preserve"> (1/h)</w:t>
            </w:r>
          </w:p>
        </w:tc>
        <w:tc>
          <w:tcPr>
            <w:tcW w:w="3519" w:type="dxa"/>
            <w:tcBorders>
              <w:top w:val="nil"/>
              <w:left w:val="nil"/>
              <w:bottom w:val="nil"/>
              <w:right w:val="nil"/>
            </w:tcBorders>
            <w:shd w:val="clear" w:color="auto" w:fill="auto"/>
            <w:vAlign w:val="center"/>
            <w:hideMark/>
          </w:tcPr>
          <w:p w14:paraId="6CB34B85"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4.0672</w:t>
            </w:r>
          </w:p>
        </w:tc>
      </w:tr>
      <w:tr w:rsidR="002A6E38" w:rsidRPr="002A6E38" w14:paraId="07F95DD2" w14:textId="77777777" w:rsidTr="00583CA3">
        <w:trPr>
          <w:trHeight w:val="313"/>
        </w:trPr>
        <w:tc>
          <w:tcPr>
            <w:tcW w:w="4871" w:type="dxa"/>
            <w:tcBorders>
              <w:top w:val="nil"/>
              <w:left w:val="nil"/>
              <w:bottom w:val="nil"/>
              <w:right w:val="nil"/>
            </w:tcBorders>
            <w:shd w:val="clear" w:color="auto" w:fill="auto"/>
            <w:vAlign w:val="center"/>
            <w:hideMark/>
          </w:tcPr>
          <w:p w14:paraId="02629D97" w14:textId="77777777" w:rsidR="002A6E38" w:rsidRPr="002A6E38" w:rsidRDefault="002A6E38" w:rsidP="002A6E38">
            <w:pPr>
              <w:widowControl/>
              <w:rPr>
                <w:rFonts w:ascii="Times New Roman" w:eastAsia="等线" w:hAnsi="Times New Roman" w:cs="Times New Roman"/>
                <w:b/>
                <w:bCs/>
                <w:i/>
                <w:iCs/>
                <w:color w:val="000000"/>
                <w:kern w:val="0"/>
                <w:sz w:val="24"/>
                <w:szCs w:val="24"/>
              </w:rPr>
            </w:pPr>
            <w:r w:rsidRPr="002A6E38">
              <w:rPr>
                <w:rFonts w:ascii="Times New Roman" w:eastAsia="等线" w:hAnsi="Times New Roman" w:cs="Times New Roman"/>
                <w:b/>
                <w:bCs/>
                <w:i/>
                <w:iCs/>
                <w:color w:val="000000"/>
                <w:kern w:val="0"/>
                <w:sz w:val="24"/>
                <w:szCs w:val="24"/>
              </w:rPr>
              <w:t>Metabolism Parameters</w:t>
            </w:r>
          </w:p>
        </w:tc>
        <w:tc>
          <w:tcPr>
            <w:tcW w:w="3519" w:type="dxa"/>
            <w:tcBorders>
              <w:top w:val="nil"/>
              <w:left w:val="nil"/>
              <w:bottom w:val="nil"/>
              <w:right w:val="nil"/>
            </w:tcBorders>
            <w:shd w:val="clear" w:color="auto" w:fill="auto"/>
            <w:vAlign w:val="center"/>
            <w:hideMark/>
          </w:tcPr>
          <w:p w14:paraId="1C446C3F" w14:textId="77777777" w:rsidR="002A6E38" w:rsidRPr="002A6E38" w:rsidRDefault="002A6E38" w:rsidP="002A6E38">
            <w:pPr>
              <w:widowControl/>
              <w:rPr>
                <w:rFonts w:ascii="Times New Roman" w:eastAsia="等线" w:hAnsi="Times New Roman" w:cs="Times New Roman"/>
                <w:b/>
                <w:bCs/>
                <w:i/>
                <w:iCs/>
                <w:color w:val="000000"/>
                <w:kern w:val="0"/>
                <w:sz w:val="24"/>
                <w:szCs w:val="24"/>
              </w:rPr>
            </w:pPr>
          </w:p>
        </w:tc>
      </w:tr>
      <w:tr w:rsidR="002A6E38" w:rsidRPr="002A6E38" w14:paraId="684A1AF4" w14:textId="77777777" w:rsidTr="00583CA3">
        <w:trPr>
          <w:trHeight w:val="372"/>
        </w:trPr>
        <w:tc>
          <w:tcPr>
            <w:tcW w:w="4871" w:type="dxa"/>
            <w:tcBorders>
              <w:top w:val="nil"/>
              <w:left w:val="nil"/>
              <w:bottom w:val="nil"/>
              <w:right w:val="nil"/>
            </w:tcBorders>
            <w:shd w:val="clear" w:color="auto" w:fill="auto"/>
            <w:vAlign w:val="center"/>
            <w:hideMark/>
          </w:tcPr>
          <w:p w14:paraId="0490FCDC"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K</w:t>
            </w:r>
            <w:r w:rsidRPr="002A6E38">
              <w:rPr>
                <w:rFonts w:ascii="Times New Roman" w:eastAsia="等线" w:hAnsi="Times New Roman" w:cs="Times New Roman"/>
                <w:color w:val="000000"/>
                <w:kern w:val="0"/>
                <w:sz w:val="24"/>
                <w:szCs w:val="24"/>
                <w:vertAlign w:val="subscript"/>
              </w:rPr>
              <w:t>m</w:t>
            </w:r>
            <w:r w:rsidRPr="002A6E38">
              <w:rPr>
                <w:rFonts w:ascii="Times New Roman" w:eastAsia="等线" w:hAnsi="Times New Roman" w:cs="Times New Roman"/>
                <w:color w:val="000000"/>
                <w:kern w:val="0"/>
                <w:sz w:val="24"/>
                <w:szCs w:val="24"/>
              </w:rPr>
              <w:t xml:space="preserve"> (Gut, mg/L)</w:t>
            </w:r>
          </w:p>
        </w:tc>
        <w:tc>
          <w:tcPr>
            <w:tcW w:w="3519" w:type="dxa"/>
            <w:tcBorders>
              <w:top w:val="nil"/>
              <w:left w:val="nil"/>
              <w:bottom w:val="nil"/>
              <w:right w:val="nil"/>
            </w:tcBorders>
            <w:shd w:val="clear" w:color="auto" w:fill="auto"/>
            <w:vAlign w:val="center"/>
            <w:hideMark/>
          </w:tcPr>
          <w:p w14:paraId="494146E8"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0.008</w:t>
            </w:r>
          </w:p>
        </w:tc>
      </w:tr>
      <w:tr w:rsidR="002A6E38" w:rsidRPr="002A6E38" w14:paraId="37AAB86E" w14:textId="77777777" w:rsidTr="00583CA3">
        <w:trPr>
          <w:trHeight w:val="372"/>
        </w:trPr>
        <w:tc>
          <w:tcPr>
            <w:tcW w:w="4871" w:type="dxa"/>
            <w:tcBorders>
              <w:top w:val="nil"/>
              <w:left w:val="nil"/>
              <w:bottom w:val="nil"/>
              <w:right w:val="nil"/>
            </w:tcBorders>
            <w:shd w:val="clear" w:color="auto" w:fill="auto"/>
            <w:vAlign w:val="center"/>
            <w:hideMark/>
          </w:tcPr>
          <w:p w14:paraId="7DF8F953"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K</w:t>
            </w:r>
            <w:r w:rsidRPr="002A6E38">
              <w:rPr>
                <w:rFonts w:ascii="Times New Roman" w:eastAsia="等线" w:hAnsi="Times New Roman" w:cs="Times New Roman"/>
                <w:color w:val="000000"/>
                <w:kern w:val="0"/>
                <w:sz w:val="24"/>
                <w:szCs w:val="24"/>
                <w:vertAlign w:val="subscript"/>
              </w:rPr>
              <w:t>m</w:t>
            </w:r>
            <w:r w:rsidRPr="002A6E38">
              <w:rPr>
                <w:rFonts w:ascii="Times New Roman" w:eastAsia="等线" w:hAnsi="Times New Roman" w:cs="Times New Roman"/>
                <w:color w:val="000000"/>
                <w:kern w:val="0"/>
                <w:sz w:val="24"/>
                <w:szCs w:val="24"/>
              </w:rPr>
              <w:t xml:space="preserve"> (Liver, mg/L)</w:t>
            </w:r>
          </w:p>
        </w:tc>
        <w:tc>
          <w:tcPr>
            <w:tcW w:w="3519" w:type="dxa"/>
            <w:tcBorders>
              <w:top w:val="nil"/>
              <w:left w:val="nil"/>
              <w:bottom w:val="nil"/>
              <w:right w:val="nil"/>
            </w:tcBorders>
            <w:shd w:val="clear" w:color="auto" w:fill="auto"/>
            <w:vAlign w:val="center"/>
            <w:hideMark/>
          </w:tcPr>
          <w:p w14:paraId="5381DA90"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0.008</w:t>
            </w:r>
          </w:p>
        </w:tc>
      </w:tr>
      <w:tr w:rsidR="002A6E38" w:rsidRPr="002A6E38" w14:paraId="3A5B560F" w14:textId="77777777" w:rsidTr="00583CA3">
        <w:trPr>
          <w:trHeight w:val="372"/>
        </w:trPr>
        <w:tc>
          <w:tcPr>
            <w:tcW w:w="4871" w:type="dxa"/>
            <w:tcBorders>
              <w:top w:val="nil"/>
              <w:left w:val="nil"/>
              <w:bottom w:val="nil"/>
              <w:right w:val="nil"/>
            </w:tcBorders>
            <w:shd w:val="clear" w:color="auto" w:fill="auto"/>
            <w:vAlign w:val="center"/>
            <w:hideMark/>
          </w:tcPr>
          <w:p w14:paraId="2B721FF1"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V</w:t>
            </w:r>
            <w:r w:rsidRPr="002A6E38">
              <w:rPr>
                <w:rFonts w:ascii="Times New Roman" w:eastAsia="等线" w:hAnsi="Times New Roman" w:cs="Times New Roman"/>
                <w:color w:val="000000"/>
                <w:kern w:val="0"/>
                <w:sz w:val="24"/>
                <w:szCs w:val="24"/>
                <w:vertAlign w:val="subscript"/>
              </w:rPr>
              <w:t>max</w:t>
            </w:r>
            <w:r w:rsidRPr="002A6E38">
              <w:rPr>
                <w:rFonts w:ascii="Times New Roman" w:eastAsia="等线" w:hAnsi="Times New Roman" w:cs="Times New Roman"/>
                <w:color w:val="000000"/>
                <w:kern w:val="0"/>
                <w:sz w:val="24"/>
                <w:szCs w:val="24"/>
              </w:rPr>
              <w:t xml:space="preserve"> (Gut, mg/s)</w:t>
            </w:r>
          </w:p>
        </w:tc>
        <w:tc>
          <w:tcPr>
            <w:tcW w:w="3519" w:type="dxa"/>
            <w:tcBorders>
              <w:top w:val="nil"/>
              <w:left w:val="nil"/>
              <w:bottom w:val="nil"/>
              <w:right w:val="nil"/>
            </w:tcBorders>
            <w:shd w:val="clear" w:color="auto" w:fill="auto"/>
            <w:vAlign w:val="center"/>
            <w:hideMark/>
          </w:tcPr>
          <w:p w14:paraId="54401B12"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0.01</w:t>
            </w:r>
          </w:p>
        </w:tc>
      </w:tr>
      <w:tr w:rsidR="002A6E38" w:rsidRPr="002A6E38" w14:paraId="4C228E19" w14:textId="77777777" w:rsidTr="00583CA3">
        <w:trPr>
          <w:trHeight w:val="372"/>
        </w:trPr>
        <w:tc>
          <w:tcPr>
            <w:tcW w:w="4871" w:type="dxa"/>
            <w:tcBorders>
              <w:top w:val="nil"/>
              <w:left w:val="nil"/>
              <w:bottom w:val="nil"/>
              <w:right w:val="nil"/>
            </w:tcBorders>
            <w:shd w:val="clear" w:color="auto" w:fill="auto"/>
            <w:vAlign w:val="center"/>
            <w:hideMark/>
          </w:tcPr>
          <w:p w14:paraId="5D015317"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V</w:t>
            </w:r>
            <w:r w:rsidRPr="002A6E38">
              <w:rPr>
                <w:rFonts w:ascii="Times New Roman" w:eastAsia="等线" w:hAnsi="Times New Roman" w:cs="Times New Roman"/>
                <w:color w:val="000000"/>
                <w:kern w:val="0"/>
                <w:sz w:val="24"/>
                <w:szCs w:val="24"/>
                <w:vertAlign w:val="subscript"/>
              </w:rPr>
              <w:t>max</w:t>
            </w:r>
            <w:r w:rsidRPr="002A6E38">
              <w:rPr>
                <w:rFonts w:ascii="Times New Roman" w:eastAsia="等线" w:hAnsi="Times New Roman" w:cs="Times New Roman"/>
                <w:color w:val="000000"/>
                <w:kern w:val="0"/>
                <w:sz w:val="24"/>
                <w:szCs w:val="24"/>
              </w:rPr>
              <w:t xml:space="preserve"> (Liver, mg/s)</w:t>
            </w:r>
          </w:p>
        </w:tc>
        <w:tc>
          <w:tcPr>
            <w:tcW w:w="3519" w:type="dxa"/>
            <w:tcBorders>
              <w:top w:val="nil"/>
              <w:left w:val="nil"/>
              <w:bottom w:val="nil"/>
              <w:right w:val="nil"/>
            </w:tcBorders>
            <w:shd w:val="clear" w:color="auto" w:fill="auto"/>
            <w:vAlign w:val="center"/>
            <w:hideMark/>
          </w:tcPr>
          <w:p w14:paraId="16DD8ACD"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0.01</w:t>
            </w:r>
          </w:p>
        </w:tc>
      </w:tr>
      <w:tr w:rsidR="002A6E38" w:rsidRPr="002A6E38" w14:paraId="3BA179C1" w14:textId="77777777" w:rsidTr="00583CA3">
        <w:trPr>
          <w:trHeight w:val="313"/>
        </w:trPr>
        <w:tc>
          <w:tcPr>
            <w:tcW w:w="4871" w:type="dxa"/>
            <w:tcBorders>
              <w:top w:val="nil"/>
              <w:left w:val="nil"/>
              <w:bottom w:val="nil"/>
              <w:right w:val="nil"/>
            </w:tcBorders>
            <w:shd w:val="clear" w:color="auto" w:fill="auto"/>
            <w:vAlign w:val="center"/>
            <w:hideMark/>
          </w:tcPr>
          <w:p w14:paraId="64B234B0"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Inhibition Parameters</w:t>
            </w:r>
          </w:p>
        </w:tc>
        <w:tc>
          <w:tcPr>
            <w:tcW w:w="3519" w:type="dxa"/>
            <w:tcBorders>
              <w:top w:val="nil"/>
              <w:left w:val="nil"/>
              <w:bottom w:val="nil"/>
              <w:right w:val="nil"/>
            </w:tcBorders>
            <w:shd w:val="clear" w:color="auto" w:fill="auto"/>
            <w:vAlign w:val="center"/>
            <w:hideMark/>
          </w:tcPr>
          <w:p w14:paraId="239C3B73" w14:textId="77777777" w:rsidR="002A6E38" w:rsidRPr="002A6E38" w:rsidRDefault="002A6E38" w:rsidP="002A6E38">
            <w:pPr>
              <w:widowControl/>
              <w:rPr>
                <w:rFonts w:ascii="Times New Roman" w:eastAsia="等线" w:hAnsi="Times New Roman" w:cs="Times New Roman"/>
                <w:color w:val="000000"/>
                <w:kern w:val="0"/>
                <w:sz w:val="24"/>
                <w:szCs w:val="24"/>
              </w:rPr>
            </w:pPr>
          </w:p>
        </w:tc>
      </w:tr>
      <w:tr w:rsidR="002A6E38" w:rsidRPr="002A6E38" w14:paraId="07F0D54A" w14:textId="77777777" w:rsidTr="00583CA3">
        <w:trPr>
          <w:trHeight w:val="328"/>
        </w:trPr>
        <w:tc>
          <w:tcPr>
            <w:tcW w:w="4871" w:type="dxa"/>
            <w:tcBorders>
              <w:top w:val="nil"/>
              <w:left w:val="nil"/>
              <w:bottom w:val="single" w:sz="8" w:space="0" w:color="auto"/>
              <w:right w:val="nil"/>
            </w:tcBorders>
            <w:shd w:val="clear" w:color="auto" w:fill="auto"/>
            <w:vAlign w:val="center"/>
            <w:hideMark/>
          </w:tcPr>
          <w:p w14:paraId="3CC8A5D3"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Ki (</w:t>
            </w:r>
            <w:proofErr w:type="spellStart"/>
            <w:r w:rsidRPr="002A6E38">
              <w:rPr>
                <w:rFonts w:ascii="Times New Roman" w:eastAsia="等线" w:hAnsi="Times New Roman" w:cs="Times New Roman"/>
                <w:color w:val="000000"/>
                <w:kern w:val="0"/>
                <w:sz w:val="24"/>
                <w:szCs w:val="24"/>
              </w:rPr>
              <w:t>μM</w:t>
            </w:r>
            <w:proofErr w:type="spellEnd"/>
            <w:r w:rsidRPr="002A6E38">
              <w:rPr>
                <w:rFonts w:ascii="Times New Roman" w:eastAsia="等线" w:hAnsi="Times New Roman" w:cs="Times New Roman"/>
                <w:color w:val="000000"/>
                <w:kern w:val="0"/>
                <w:sz w:val="24"/>
                <w:szCs w:val="24"/>
              </w:rPr>
              <w:t>)</w:t>
            </w:r>
          </w:p>
        </w:tc>
        <w:tc>
          <w:tcPr>
            <w:tcW w:w="3519" w:type="dxa"/>
            <w:tcBorders>
              <w:top w:val="nil"/>
              <w:left w:val="nil"/>
              <w:bottom w:val="single" w:sz="8" w:space="0" w:color="auto"/>
              <w:right w:val="nil"/>
            </w:tcBorders>
            <w:shd w:val="clear" w:color="auto" w:fill="auto"/>
            <w:vAlign w:val="center"/>
            <w:hideMark/>
          </w:tcPr>
          <w:p w14:paraId="788E58C7" w14:textId="77777777" w:rsidR="002A6E38" w:rsidRPr="002A6E38" w:rsidRDefault="002A6E38" w:rsidP="002A6E38">
            <w:pPr>
              <w:widowControl/>
              <w:rPr>
                <w:rFonts w:ascii="Times New Roman" w:eastAsia="等线" w:hAnsi="Times New Roman" w:cs="Times New Roman"/>
                <w:color w:val="000000"/>
                <w:kern w:val="0"/>
                <w:sz w:val="24"/>
                <w:szCs w:val="24"/>
              </w:rPr>
            </w:pPr>
            <w:r w:rsidRPr="002A6E38">
              <w:rPr>
                <w:rFonts w:ascii="Times New Roman" w:eastAsia="等线" w:hAnsi="Times New Roman" w:cs="Times New Roman"/>
                <w:color w:val="000000"/>
                <w:kern w:val="0"/>
                <w:sz w:val="24"/>
                <w:szCs w:val="24"/>
              </w:rPr>
              <w:t>0.015</w:t>
            </w:r>
          </w:p>
        </w:tc>
      </w:tr>
    </w:tbl>
    <w:p w14:paraId="08CC97AE" w14:textId="77777777" w:rsidR="002A6E38" w:rsidRPr="00341F95" w:rsidRDefault="002A6E38" w:rsidP="00341F95">
      <w:pPr>
        <w:spacing w:after="120"/>
        <w:rPr>
          <w:rFonts w:ascii="Times New Roman" w:eastAsia="宋体" w:hAnsi="Times New Roman"/>
          <w:iCs/>
          <w:sz w:val="24"/>
          <w:szCs w:val="24"/>
        </w:rPr>
      </w:pPr>
    </w:p>
    <w:p w14:paraId="1436BA31" w14:textId="322CD080" w:rsidR="00341F95" w:rsidRPr="003A7429" w:rsidRDefault="00341F95" w:rsidP="003A7429">
      <w:pPr>
        <w:pStyle w:val="a7"/>
        <w:numPr>
          <w:ilvl w:val="0"/>
          <w:numId w:val="5"/>
        </w:numPr>
        <w:ind w:firstLineChars="0"/>
        <w:rPr>
          <w:rFonts w:ascii="Times New Roman" w:eastAsia="宋体" w:hAnsi="Times New Roman"/>
          <w:b/>
          <w:bCs/>
        </w:rPr>
      </w:pPr>
      <w:bookmarkStart w:id="2" w:name="_Hlk140070442"/>
      <w:r w:rsidRPr="003A7429">
        <w:rPr>
          <w:rFonts w:ascii="Times New Roman" w:eastAsia="宋体" w:hAnsi="Times New Roman"/>
          <w:b/>
          <w:bCs/>
        </w:rPr>
        <w:t xml:space="preserve">Validation of the </w:t>
      </w:r>
      <w:r w:rsidR="006009EA" w:rsidRPr="003A7429">
        <w:rPr>
          <w:rFonts w:ascii="Times New Roman" w:eastAsia="宋体" w:hAnsi="Times New Roman"/>
          <w:b/>
          <w:bCs/>
        </w:rPr>
        <w:t>victims</w:t>
      </w:r>
      <w:r w:rsidRPr="003A7429">
        <w:rPr>
          <w:rFonts w:ascii="Times New Roman" w:eastAsia="宋体" w:hAnsi="Times New Roman"/>
          <w:b/>
          <w:bCs/>
        </w:rPr>
        <w:t xml:space="preserve"> PBPK Model</w:t>
      </w:r>
    </w:p>
    <w:bookmarkEnd w:id="2"/>
    <w:p w14:paraId="40DABEB4" w14:textId="22D2CB39" w:rsidR="00341F95" w:rsidRPr="00341F95" w:rsidRDefault="00341F95" w:rsidP="00341F95">
      <w:pPr>
        <w:pStyle w:val="a7"/>
        <w:numPr>
          <w:ilvl w:val="1"/>
          <w:numId w:val="4"/>
        </w:numPr>
        <w:ind w:firstLineChars="0"/>
        <w:rPr>
          <w:rFonts w:ascii="Times New Roman" w:eastAsia="宋体" w:hAnsi="Times New Roman"/>
        </w:rPr>
      </w:pPr>
      <w:r w:rsidRPr="00341F95">
        <w:rPr>
          <w:rFonts w:ascii="Times New Roman" w:eastAsia="宋体" w:hAnsi="Times New Roman" w:hint="eastAsia"/>
        </w:rPr>
        <w:t>Absorption</w:t>
      </w:r>
    </w:p>
    <w:p w14:paraId="287D2B42" w14:textId="5D897824" w:rsidR="00264278" w:rsidRPr="00911E28" w:rsidRDefault="00911E28" w:rsidP="00264278">
      <w:pPr>
        <w:rPr>
          <w:rFonts w:ascii="Times New Roman" w:eastAsia="宋体" w:hAnsi="Times New Roman"/>
        </w:rPr>
      </w:pPr>
      <w:r w:rsidRPr="00911E28">
        <w:rPr>
          <w:rFonts w:ascii="Times New Roman" w:eastAsia="宋体" w:hAnsi="Times New Roman"/>
        </w:rPr>
        <w:t xml:space="preserve">To </w:t>
      </w:r>
      <w:r>
        <w:rPr>
          <w:rFonts w:ascii="Times New Roman" w:eastAsia="宋体" w:hAnsi="Times New Roman"/>
        </w:rPr>
        <w:t>simulate</w:t>
      </w:r>
      <w:r w:rsidRPr="00911E28">
        <w:rPr>
          <w:rFonts w:ascii="Times New Roman" w:eastAsia="宋体" w:hAnsi="Times New Roman"/>
        </w:rPr>
        <w:t xml:space="preserve"> oral drug absorption, we primarily utilized the ACAT (Advanced Compartmental Absorption &amp; Transit) model. </w:t>
      </w:r>
      <w:r w:rsidR="00264278">
        <w:rPr>
          <w:rFonts w:ascii="Times New Roman" w:eastAsia="宋体" w:hAnsi="Times New Roman" w:hint="eastAsia"/>
        </w:rPr>
        <w:t>T</w:t>
      </w:r>
      <w:r w:rsidR="00264278" w:rsidRPr="00264278">
        <w:rPr>
          <w:rFonts w:ascii="Times New Roman" w:eastAsia="宋体" w:hAnsi="Times New Roman"/>
        </w:rPr>
        <w:t>he ACAT model</w:t>
      </w:r>
      <w:r w:rsidR="00264278">
        <w:rPr>
          <w:rFonts w:ascii="Times New Roman" w:eastAsia="宋体" w:hAnsi="Times New Roman"/>
        </w:rPr>
        <w:t xml:space="preserve"> </w:t>
      </w:r>
      <w:r w:rsidR="00264278">
        <w:rPr>
          <w:rFonts w:ascii="Times New Roman" w:eastAsia="宋体" w:hAnsi="Times New Roman" w:hint="eastAsia"/>
        </w:rPr>
        <w:t>is</w:t>
      </w:r>
      <w:r w:rsidR="00264278" w:rsidRPr="00264278">
        <w:rPr>
          <w:rFonts w:ascii="Times New Roman" w:eastAsia="宋体" w:hAnsi="Times New Roman"/>
        </w:rPr>
        <w:t xml:space="preserve"> a comprehensive compartmental modeling approach that considers the complex dynamics of drug absorption and transit through the gastrointestinal (GI) tract. This model integrates the dissolution model, permeability calculations, and physiological parameters within the </w:t>
      </w:r>
      <w:proofErr w:type="spellStart"/>
      <w:r w:rsidR="00264278" w:rsidRPr="00264278">
        <w:rPr>
          <w:rFonts w:ascii="Times New Roman" w:eastAsia="宋体" w:hAnsi="Times New Roman"/>
        </w:rPr>
        <w:t>GastroPlus</w:t>
      </w:r>
      <w:proofErr w:type="spellEnd"/>
      <w:r w:rsidR="00264278" w:rsidRPr="00264278">
        <w:rPr>
          <w:rFonts w:ascii="Times New Roman" w:eastAsia="宋体" w:hAnsi="Times New Roman"/>
        </w:rPr>
        <w:t xml:space="preserve"> software to simulate the intricate processes involved in oral drug absorption.</w:t>
      </w:r>
      <w:r w:rsidR="00264278">
        <w:rPr>
          <w:rFonts w:ascii="Times New Roman" w:eastAsia="宋体" w:hAnsi="Times New Roman"/>
        </w:rPr>
        <w:t xml:space="preserve"> </w:t>
      </w:r>
      <w:r w:rsidR="00264278" w:rsidRPr="00264278">
        <w:rPr>
          <w:rFonts w:ascii="Times New Roman" w:eastAsia="宋体" w:hAnsi="Times New Roman"/>
        </w:rPr>
        <w:t xml:space="preserve">The dissolution model was employed to simulate the drug's dissolution in GI fluids. This model </w:t>
      </w:r>
      <w:proofErr w:type="gramStart"/>
      <w:r w:rsidR="00264278" w:rsidRPr="00264278">
        <w:rPr>
          <w:rFonts w:ascii="Times New Roman" w:eastAsia="宋体" w:hAnsi="Times New Roman"/>
        </w:rPr>
        <w:t>takes into account</w:t>
      </w:r>
      <w:proofErr w:type="gramEnd"/>
      <w:r w:rsidR="00264278" w:rsidRPr="00264278">
        <w:rPr>
          <w:rFonts w:ascii="Times New Roman" w:eastAsia="宋体" w:hAnsi="Times New Roman"/>
        </w:rPr>
        <w:t xml:space="preserve"> factors such as drug solubility and pH, </w:t>
      </w:r>
      <w:r w:rsidR="00264278" w:rsidRPr="00264278">
        <w:rPr>
          <w:rFonts w:ascii="Times New Roman" w:eastAsia="宋体" w:hAnsi="Times New Roman"/>
        </w:rPr>
        <w:lastRenderedPageBreak/>
        <w:t>providing insight into the dissolution rate and availability of the drug for absorption.</w:t>
      </w:r>
      <w:r w:rsidR="00264278" w:rsidRPr="00264278">
        <w:t xml:space="preserve"> </w:t>
      </w:r>
      <w:r w:rsidR="00264278" w:rsidRPr="00264278">
        <w:rPr>
          <w:rFonts w:ascii="Times New Roman" w:eastAsia="宋体" w:hAnsi="Times New Roman"/>
        </w:rPr>
        <w:t xml:space="preserve">The permeability of the drug following dissolution in the GI tract considers various permeability mechanisms, including transcellular transport and paracellular diffusion. In vitro apparent permeability data from Caco-2 cell experiments were combined with the </w:t>
      </w:r>
      <w:r w:rsidR="002A7BD1">
        <w:rPr>
          <w:rFonts w:ascii="Times New Roman" w:eastAsia="宋体" w:hAnsi="Times New Roman"/>
        </w:rPr>
        <w:t>permeability</w:t>
      </w:r>
      <w:r w:rsidR="00264278" w:rsidRPr="00264278">
        <w:rPr>
          <w:rFonts w:ascii="Times New Roman" w:eastAsia="宋体" w:hAnsi="Times New Roman"/>
        </w:rPr>
        <w:t xml:space="preserve"> model to estimate the drug's permeability across the GI tract.</w:t>
      </w:r>
      <w:r w:rsidR="00264278" w:rsidRPr="00264278">
        <w:t xml:space="preserve"> </w:t>
      </w:r>
      <w:r w:rsidR="00264278" w:rsidRPr="00264278">
        <w:rPr>
          <w:rFonts w:ascii="Times New Roman" w:eastAsia="宋体" w:hAnsi="Times New Roman"/>
        </w:rPr>
        <w:t>Essential physiological parameters were factored into the ACAT model to better predict oral drug absorption. These parameters include:</w:t>
      </w:r>
      <w:r w:rsidR="00264278">
        <w:rPr>
          <w:rFonts w:ascii="Times New Roman" w:eastAsia="宋体" w:hAnsi="Times New Roman"/>
        </w:rPr>
        <w:t xml:space="preserve"> </w:t>
      </w:r>
      <w:r w:rsidR="00264278">
        <w:rPr>
          <w:rFonts w:ascii="Times New Roman" w:eastAsia="宋体" w:hAnsi="Times New Roman" w:cs="Times New Roman"/>
        </w:rPr>
        <w:t>ⅰ</w:t>
      </w:r>
      <w:r w:rsidR="00264278">
        <w:rPr>
          <w:rFonts w:ascii="Times New Roman" w:eastAsia="宋体" w:hAnsi="Times New Roman" w:hint="eastAsia"/>
        </w:rPr>
        <w:t>)</w:t>
      </w:r>
      <w:r w:rsidR="00264278" w:rsidRPr="00264278">
        <w:rPr>
          <w:rFonts w:ascii="Times New Roman" w:eastAsia="宋体" w:hAnsi="Times New Roman"/>
        </w:rPr>
        <w:t xml:space="preserve"> </w:t>
      </w:r>
      <w:r w:rsidR="00264278" w:rsidRPr="00264278">
        <w:rPr>
          <w:rFonts w:ascii="Times New Roman" w:eastAsia="宋体" w:hAnsi="Times New Roman"/>
        </w:rPr>
        <w:t>Gastrointestinal transit time</w:t>
      </w:r>
      <w:r w:rsidR="002A7BD1">
        <w:rPr>
          <w:rFonts w:ascii="Times New Roman" w:eastAsia="宋体" w:hAnsi="Times New Roman"/>
        </w:rPr>
        <w:t xml:space="preserve">. </w:t>
      </w:r>
      <w:proofErr w:type="spellStart"/>
      <w:r w:rsidR="00264278">
        <w:rPr>
          <w:rFonts w:ascii="Times New Roman" w:eastAsia="宋体" w:hAnsi="Times New Roman" w:cs="Times New Roman"/>
        </w:rPr>
        <w:t>ⅱ</w:t>
      </w:r>
      <w:proofErr w:type="spellEnd"/>
      <w:r w:rsidR="00264278">
        <w:rPr>
          <w:rFonts w:ascii="Times New Roman" w:eastAsia="宋体" w:hAnsi="Times New Roman" w:cs="Times New Roman"/>
        </w:rPr>
        <w:t>)</w:t>
      </w:r>
      <w:r w:rsidR="00264278" w:rsidRPr="00264278">
        <w:rPr>
          <w:rFonts w:ascii="Times New Roman" w:eastAsia="宋体" w:hAnsi="Times New Roman"/>
        </w:rPr>
        <w:t xml:space="preserve"> </w:t>
      </w:r>
      <w:r w:rsidR="00264278" w:rsidRPr="00264278">
        <w:rPr>
          <w:rFonts w:ascii="Times New Roman" w:eastAsia="宋体" w:hAnsi="Times New Roman"/>
        </w:rPr>
        <w:t>Surface area: The available surface area within the GI tract for drug absorption.</w:t>
      </w:r>
      <w:r w:rsidR="002A7BD1">
        <w:rPr>
          <w:rFonts w:ascii="Times New Roman" w:eastAsia="宋体" w:hAnsi="Times New Roman" w:hint="eastAsia"/>
        </w:rPr>
        <w:t xml:space="preserve"> </w:t>
      </w:r>
      <w:r w:rsidR="00264278">
        <w:rPr>
          <w:rFonts w:ascii="Times New Roman" w:eastAsia="宋体" w:hAnsi="Times New Roman" w:cs="Times New Roman"/>
        </w:rPr>
        <w:t>ⅲ)</w:t>
      </w:r>
      <w:r w:rsidR="00264278" w:rsidRPr="00264278">
        <w:rPr>
          <w:rFonts w:ascii="Times New Roman" w:eastAsia="宋体" w:hAnsi="Times New Roman"/>
        </w:rPr>
        <w:t xml:space="preserve"> </w:t>
      </w:r>
      <w:r w:rsidR="00264278" w:rsidRPr="00264278">
        <w:rPr>
          <w:rFonts w:ascii="Times New Roman" w:eastAsia="宋体" w:hAnsi="Times New Roman"/>
        </w:rPr>
        <w:t>Blood flow rate</w:t>
      </w:r>
      <w:r w:rsidR="002A7BD1">
        <w:rPr>
          <w:rFonts w:ascii="Times New Roman" w:eastAsia="宋体" w:hAnsi="Times New Roman"/>
        </w:rPr>
        <w:t>.</w:t>
      </w:r>
    </w:p>
    <w:p w14:paraId="6988C00B" w14:textId="77777777" w:rsidR="00264278" w:rsidRDefault="00264278" w:rsidP="00911E28">
      <w:pPr>
        <w:rPr>
          <w:rFonts w:ascii="Times New Roman" w:eastAsia="宋体" w:hAnsi="Times New Roman" w:hint="eastAsia"/>
        </w:rPr>
      </w:pPr>
    </w:p>
    <w:p w14:paraId="44F86F2F" w14:textId="20A504A3" w:rsidR="00491CC6" w:rsidRDefault="00341F95" w:rsidP="00911E28">
      <w:pPr>
        <w:rPr>
          <w:rFonts w:ascii="Times New Roman" w:eastAsia="宋体" w:hAnsi="Times New Roman"/>
        </w:rPr>
      </w:pPr>
      <w:r w:rsidRPr="00341F95">
        <w:rPr>
          <w:rFonts w:ascii="Times New Roman" w:eastAsia="宋体" w:hAnsi="Times New Roman"/>
        </w:rPr>
        <w:t>The primary factors affecting absorption are solubility and permeability. To assess solubility and permeability, we gathered both qualitative</w:t>
      </w:r>
      <w:r>
        <w:rPr>
          <w:rFonts w:ascii="Times New Roman" w:eastAsia="宋体" w:hAnsi="Times New Roman"/>
        </w:rPr>
        <w:t xml:space="preserve"> </w:t>
      </w:r>
      <w:r>
        <w:rPr>
          <w:rFonts w:ascii="Times New Roman" w:eastAsia="宋体" w:hAnsi="Times New Roman" w:hint="eastAsia"/>
        </w:rPr>
        <w:t>(</w:t>
      </w:r>
      <w:r>
        <w:rPr>
          <w:rFonts w:ascii="Times New Roman" w:eastAsia="宋体" w:hAnsi="Times New Roman"/>
        </w:rPr>
        <w:t>such as low, median, and high solubility or permeability</w:t>
      </w:r>
      <w:r>
        <w:rPr>
          <w:rFonts w:ascii="Times New Roman" w:eastAsia="宋体" w:hAnsi="Times New Roman" w:hint="eastAsia"/>
        </w:rPr>
        <w:t>）</w:t>
      </w:r>
      <w:r w:rsidRPr="00341F95">
        <w:rPr>
          <w:rFonts w:ascii="Times New Roman" w:eastAsia="宋体" w:hAnsi="Times New Roman"/>
        </w:rPr>
        <w:t xml:space="preserve"> and quantitative data</w:t>
      </w:r>
      <w:r>
        <w:rPr>
          <w:rFonts w:ascii="Times New Roman" w:eastAsia="宋体" w:hAnsi="Times New Roman"/>
        </w:rPr>
        <w:t xml:space="preserve"> (solubility at different pH value and </w:t>
      </w:r>
      <w:proofErr w:type="spellStart"/>
      <w:r>
        <w:rPr>
          <w:rFonts w:ascii="Times New Roman" w:eastAsia="宋体" w:hAnsi="Times New Roman"/>
        </w:rPr>
        <w:t>P</w:t>
      </w:r>
      <w:r w:rsidRPr="00341F95">
        <w:rPr>
          <w:rFonts w:ascii="Times New Roman" w:eastAsia="宋体" w:hAnsi="Times New Roman"/>
          <w:vertAlign w:val="subscript"/>
        </w:rPr>
        <w:t>appA</w:t>
      </w:r>
      <w:proofErr w:type="spellEnd"/>
      <w:r w:rsidRPr="00341F95">
        <w:rPr>
          <w:rFonts w:ascii="Times New Roman" w:eastAsia="宋体" w:hAnsi="Times New Roman"/>
          <w:vertAlign w:val="subscript"/>
        </w:rPr>
        <w:t>-B</w:t>
      </w:r>
      <w:r>
        <w:rPr>
          <w:rFonts w:ascii="Times New Roman" w:eastAsia="宋体" w:hAnsi="Times New Roman"/>
        </w:rPr>
        <w:t xml:space="preserve"> value in Caco-2)</w:t>
      </w:r>
      <w:r w:rsidRPr="00341F95">
        <w:rPr>
          <w:rFonts w:ascii="Times New Roman" w:eastAsia="宋体" w:hAnsi="Times New Roman"/>
        </w:rPr>
        <w:t xml:space="preserve">. Considering the discrepancies between </w:t>
      </w:r>
      <w:r w:rsidRPr="00341F95">
        <w:rPr>
          <w:rFonts w:ascii="Times New Roman" w:eastAsia="宋体" w:hAnsi="Times New Roman"/>
          <w:i/>
          <w:iCs/>
        </w:rPr>
        <w:t>in vitro</w:t>
      </w:r>
      <w:r w:rsidRPr="00341F95">
        <w:rPr>
          <w:rFonts w:ascii="Times New Roman" w:eastAsia="宋体" w:hAnsi="Times New Roman"/>
        </w:rPr>
        <w:t xml:space="preserve"> and </w:t>
      </w:r>
      <w:r w:rsidRPr="00341F95">
        <w:rPr>
          <w:rFonts w:ascii="Times New Roman" w:eastAsia="宋体" w:hAnsi="Times New Roman"/>
          <w:i/>
          <w:iCs/>
        </w:rPr>
        <w:t>in vivo</w:t>
      </w:r>
      <w:r w:rsidRPr="00341F95">
        <w:rPr>
          <w:rFonts w:ascii="Times New Roman" w:eastAsia="宋体" w:hAnsi="Times New Roman"/>
        </w:rPr>
        <w:t xml:space="preserve"> environments, we</w:t>
      </w:r>
      <w:r w:rsidR="000F799B">
        <w:rPr>
          <w:rFonts w:ascii="Times New Roman" w:eastAsia="宋体" w:hAnsi="Times New Roman"/>
        </w:rPr>
        <w:t xml:space="preserve"> didn’t use the quantitative </w:t>
      </w:r>
      <w:r w:rsidR="000F799B" w:rsidRPr="00E7517C">
        <w:rPr>
          <w:rFonts w:ascii="Times New Roman" w:eastAsia="宋体" w:hAnsi="Times New Roman"/>
          <w:i/>
        </w:rPr>
        <w:t>in vitro</w:t>
      </w:r>
      <w:r w:rsidR="000F799B">
        <w:rPr>
          <w:rFonts w:ascii="Times New Roman" w:eastAsia="宋体" w:hAnsi="Times New Roman"/>
        </w:rPr>
        <w:t xml:space="preserve"> data directed, but</w:t>
      </w:r>
      <w:r w:rsidRPr="00341F95">
        <w:rPr>
          <w:rFonts w:ascii="Times New Roman" w:eastAsia="宋体" w:hAnsi="Times New Roman"/>
        </w:rPr>
        <w:t xml:space="preserve"> restricted the parameter settings related to solubility and permeability in the PBPK model to a qualitative perspective only. For the validation of the absorption model, we employed </w:t>
      </w:r>
      <w:r w:rsidRPr="000F799B">
        <w:rPr>
          <w:rFonts w:ascii="Times New Roman" w:eastAsia="宋体" w:hAnsi="Times New Roman"/>
          <w:i/>
          <w:iCs/>
        </w:rPr>
        <w:t>in vivo</w:t>
      </w:r>
      <w:r w:rsidRPr="00341F95">
        <w:rPr>
          <w:rFonts w:ascii="Times New Roman" w:eastAsia="宋体" w:hAnsi="Times New Roman"/>
        </w:rPr>
        <w:t xml:space="preserve"> Fa (fraction absorbed): Firstly, we obtained data from </w:t>
      </w:r>
      <w:r w:rsidR="000F799B">
        <w:rPr>
          <w:rFonts w:ascii="Times New Roman" w:eastAsia="宋体" w:hAnsi="Times New Roman"/>
        </w:rPr>
        <w:t>mass balance</w:t>
      </w:r>
      <w:r w:rsidRPr="00341F95">
        <w:rPr>
          <w:rFonts w:ascii="Times New Roman" w:eastAsia="宋体" w:hAnsi="Times New Roman"/>
        </w:rPr>
        <w:t xml:space="preserve"> studies using radiolabeled substances, specifically determining the proportion of drug excreted in feces. Using this data, we evaluated the Fa value, defined as Fa = 1 minus the proportion of </w:t>
      </w:r>
      <w:r w:rsidR="000F799B">
        <w:rPr>
          <w:rFonts w:ascii="Times New Roman" w:eastAsia="宋体" w:hAnsi="Times New Roman"/>
        </w:rPr>
        <w:t xml:space="preserve">unchanged </w:t>
      </w:r>
      <w:r w:rsidRPr="00341F95">
        <w:rPr>
          <w:rFonts w:ascii="Times New Roman" w:eastAsia="宋体" w:hAnsi="Times New Roman"/>
        </w:rPr>
        <w:t xml:space="preserve">drug excreted in feces. Finally, we compared the simulated Fa values with the measured Fa values, as illustrated in the </w:t>
      </w:r>
      <w:r w:rsidR="00D14A8A">
        <w:rPr>
          <w:rFonts w:ascii="Times New Roman" w:eastAsia="宋体" w:hAnsi="Times New Roman"/>
        </w:rPr>
        <w:t>Figure</w:t>
      </w:r>
      <w:r w:rsidRPr="00341F95">
        <w:rPr>
          <w:rFonts w:ascii="Times New Roman" w:eastAsia="宋体" w:hAnsi="Times New Roman"/>
        </w:rPr>
        <w:t xml:space="preserve"> below. </w:t>
      </w:r>
    </w:p>
    <w:p w14:paraId="3E00FD9E" w14:textId="3C83FC55" w:rsidR="000F799B" w:rsidRDefault="00D14A8A" w:rsidP="00341F95">
      <w:pPr>
        <w:rPr>
          <w:rFonts w:ascii="Times New Roman" w:eastAsia="宋体" w:hAnsi="Times New Roman"/>
        </w:rPr>
      </w:pPr>
      <w:r>
        <w:rPr>
          <w:rFonts w:ascii="Times New Roman" w:eastAsia="宋体" w:hAnsi="Times New Roman"/>
          <w:noProof/>
        </w:rPr>
        <w:drawing>
          <wp:inline distT="0" distB="0" distL="0" distR="0" wp14:anchorId="3CCE2748" wp14:editId="27B4159A">
            <wp:extent cx="5161031" cy="1442417"/>
            <wp:effectExtent l="0" t="0" r="1905" b="5715"/>
            <wp:docPr id="21053824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98699" cy="1452944"/>
                    </a:xfrm>
                    <a:prstGeom prst="rect">
                      <a:avLst/>
                    </a:prstGeom>
                    <a:noFill/>
                  </pic:spPr>
                </pic:pic>
              </a:graphicData>
            </a:graphic>
          </wp:inline>
        </w:drawing>
      </w:r>
    </w:p>
    <w:p w14:paraId="0DA1A09B" w14:textId="17FD7E65" w:rsidR="000F799B" w:rsidRDefault="00D14A8A" w:rsidP="00341F95">
      <w:pPr>
        <w:rPr>
          <w:rFonts w:ascii="Times New Roman" w:eastAsia="宋体" w:hAnsi="Times New Roman"/>
        </w:rPr>
      </w:pPr>
      <w:r>
        <w:rPr>
          <w:rFonts w:ascii="Times New Roman" w:eastAsia="宋体" w:hAnsi="Times New Roman" w:hint="eastAsia"/>
        </w:rPr>
        <w:t>F</w:t>
      </w:r>
      <w:r>
        <w:rPr>
          <w:rFonts w:ascii="Times New Roman" w:eastAsia="宋体" w:hAnsi="Times New Roman"/>
        </w:rPr>
        <w:t>igure S</w:t>
      </w:r>
      <w:r w:rsidR="00247914">
        <w:rPr>
          <w:rFonts w:ascii="Times New Roman" w:eastAsia="宋体" w:hAnsi="Times New Roman"/>
        </w:rPr>
        <w:t>2</w:t>
      </w:r>
      <w:r>
        <w:rPr>
          <w:rFonts w:ascii="Times New Roman" w:eastAsia="宋体" w:hAnsi="Times New Roman"/>
        </w:rPr>
        <w:t>. The comparison of Fa values between the simulated (blue column) and observed (red column</w:t>
      </w:r>
      <w:r>
        <w:rPr>
          <w:rFonts w:ascii="Times New Roman" w:eastAsia="宋体" w:hAnsi="Times New Roman" w:hint="eastAsia"/>
        </w:rPr>
        <w:t>)</w:t>
      </w:r>
      <w:r>
        <w:rPr>
          <w:rFonts w:ascii="Times New Roman" w:eastAsia="宋体" w:hAnsi="Times New Roman"/>
        </w:rPr>
        <w:t>.</w:t>
      </w:r>
    </w:p>
    <w:p w14:paraId="138DD3E5" w14:textId="77777777" w:rsidR="00430A73" w:rsidRPr="00341F95" w:rsidRDefault="00430A73" w:rsidP="00341F95">
      <w:pPr>
        <w:rPr>
          <w:rFonts w:ascii="Times New Roman" w:eastAsia="宋体" w:hAnsi="Times New Roman"/>
        </w:rPr>
      </w:pPr>
    </w:p>
    <w:p w14:paraId="1F1ED25D" w14:textId="3D6C306B" w:rsidR="000F799B" w:rsidRDefault="000F799B" w:rsidP="00A04865">
      <w:pPr>
        <w:pStyle w:val="a7"/>
        <w:numPr>
          <w:ilvl w:val="1"/>
          <w:numId w:val="4"/>
        </w:numPr>
        <w:ind w:firstLineChars="0"/>
        <w:rPr>
          <w:rFonts w:ascii="Times New Roman" w:eastAsia="宋体" w:hAnsi="Times New Roman"/>
        </w:rPr>
      </w:pPr>
      <w:r>
        <w:rPr>
          <w:rFonts w:ascii="Times New Roman" w:eastAsia="宋体" w:hAnsi="Times New Roman"/>
        </w:rPr>
        <w:t>Elimination (</w:t>
      </w:r>
      <w:r w:rsidRPr="000F799B">
        <w:rPr>
          <w:rFonts w:ascii="Times New Roman" w:eastAsia="宋体" w:hAnsi="Times New Roman"/>
        </w:rPr>
        <w:t>Metabolism and excretion</w:t>
      </w:r>
      <w:r>
        <w:rPr>
          <w:rFonts w:ascii="Times New Roman" w:eastAsia="宋体" w:hAnsi="Times New Roman"/>
        </w:rPr>
        <w:t>)</w:t>
      </w:r>
    </w:p>
    <w:p w14:paraId="33EB1213" w14:textId="77777777" w:rsidR="000F799B" w:rsidRPr="000F799B" w:rsidRDefault="000F799B" w:rsidP="000F799B">
      <w:pPr>
        <w:rPr>
          <w:rFonts w:ascii="Times New Roman" w:eastAsia="宋体" w:hAnsi="Times New Roman"/>
        </w:rPr>
      </w:pPr>
      <w:r w:rsidRPr="000F799B">
        <w:rPr>
          <w:rFonts w:ascii="Times New Roman" w:eastAsia="宋体" w:hAnsi="Times New Roman"/>
        </w:rPr>
        <w:t>Firstly, since fecal excretion has already been validated through Fa determination for the unchanged drug, we will not elaborate on it further at this point.</w:t>
      </w:r>
    </w:p>
    <w:p w14:paraId="7FF66FC8" w14:textId="35779F28" w:rsidR="000F799B" w:rsidRDefault="000F799B" w:rsidP="000F799B">
      <w:pPr>
        <w:rPr>
          <w:rFonts w:ascii="Times New Roman" w:eastAsia="宋体" w:hAnsi="Times New Roman"/>
        </w:rPr>
      </w:pPr>
      <w:r>
        <w:rPr>
          <w:rFonts w:ascii="Times New Roman" w:eastAsia="宋体" w:hAnsi="Times New Roman"/>
        </w:rPr>
        <w:t>Secondly, f</w:t>
      </w:r>
      <w:r w:rsidRPr="000F799B">
        <w:rPr>
          <w:rFonts w:ascii="Times New Roman" w:eastAsia="宋体" w:hAnsi="Times New Roman"/>
        </w:rPr>
        <w:t>or renal excretion, we can obtain the cumulative excretion proportion of the unchanged drug through the kidneys and use it to compare and validate the simulated renal excretion in the model.</w:t>
      </w:r>
      <w:r w:rsidR="006009EA">
        <w:rPr>
          <w:rFonts w:ascii="Times New Roman" w:eastAsia="宋体" w:hAnsi="Times New Roman"/>
        </w:rPr>
        <w:t xml:space="preserve"> Please find the comparison of simulated renal excretion and actual renal excretion in the following table:</w:t>
      </w:r>
    </w:p>
    <w:p w14:paraId="25AF0716" w14:textId="0FDF86A1" w:rsidR="006009EA" w:rsidRDefault="00B21E7B" w:rsidP="000F799B">
      <w:pPr>
        <w:rPr>
          <w:rFonts w:ascii="Times New Roman" w:eastAsia="宋体" w:hAnsi="Times New Roman"/>
        </w:rPr>
      </w:pPr>
      <w:r>
        <w:rPr>
          <w:rFonts w:ascii="Times New Roman" w:eastAsia="宋体" w:hAnsi="Times New Roman"/>
          <w:noProof/>
        </w:rPr>
        <w:lastRenderedPageBreak/>
        <w:drawing>
          <wp:inline distT="0" distB="0" distL="0" distR="0" wp14:anchorId="6F32F158" wp14:editId="1B2259E6">
            <wp:extent cx="5273675" cy="2639695"/>
            <wp:effectExtent l="0" t="0" r="3175" b="8255"/>
            <wp:docPr id="138854914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3675" cy="2639695"/>
                    </a:xfrm>
                    <a:prstGeom prst="rect">
                      <a:avLst/>
                    </a:prstGeom>
                    <a:noFill/>
                  </pic:spPr>
                </pic:pic>
              </a:graphicData>
            </a:graphic>
          </wp:inline>
        </w:drawing>
      </w:r>
      <w:r w:rsidR="00D14A8A">
        <w:rPr>
          <w:rFonts w:ascii="Times New Roman" w:eastAsia="宋体" w:hAnsi="Times New Roman"/>
          <w:noProof/>
        </w:rPr>
        <w:drawing>
          <wp:inline distT="0" distB="0" distL="0" distR="0" wp14:anchorId="07942EB5" wp14:editId="6ECC03D1">
            <wp:extent cx="5211519" cy="1460037"/>
            <wp:effectExtent l="0" t="0" r="8255" b="6985"/>
            <wp:docPr id="182040325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40421" cy="1468134"/>
                    </a:xfrm>
                    <a:prstGeom prst="rect">
                      <a:avLst/>
                    </a:prstGeom>
                    <a:noFill/>
                  </pic:spPr>
                </pic:pic>
              </a:graphicData>
            </a:graphic>
          </wp:inline>
        </w:drawing>
      </w:r>
    </w:p>
    <w:p w14:paraId="6E0BFB25" w14:textId="18FD6850" w:rsidR="00D14A8A" w:rsidRPr="00341F95" w:rsidRDefault="00D14A8A" w:rsidP="00D14A8A">
      <w:pPr>
        <w:rPr>
          <w:rFonts w:ascii="Times New Roman" w:eastAsia="宋体" w:hAnsi="Times New Roman"/>
        </w:rPr>
      </w:pPr>
      <w:r>
        <w:rPr>
          <w:rFonts w:ascii="Times New Roman" w:eastAsia="宋体" w:hAnsi="Times New Roman" w:hint="eastAsia"/>
        </w:rPr>
        <w:t>F</w:t>
      </w:r>
      <w:r>
        <w:rPr>
          <w:rFonts w:ascii="Times New Roman" w:eastAsia="宋体" w:hAnsi="Times New Roman"/>
        </w:rPr>
        <w:t>igure S</w:t>
      </w:r>
      <w:r w:rsidR="00247914">
        <w:rPr>
          <w:rFonts w:ascii="Times New Roman" w:eastAsia="宋体" w:hAnsi="Times New Roman"/>
        </w:rPr>
        <w:t>3</w:t>
      </w:r>
      <w:r>
        <w:rPr>
          <w:rFonts w:ascii="Times New Roman" w:eastAsia="宋体" w:hAnsi="Times New Roman"/>
        </w:rPr>
        <w:t xml:space="preserve">. The comparison of renal excretion values between the </w:t>
      </w:r>
      <w:r w:rsidR="00516E77">
        <w:rPr>
          <w:rFonts w:ascii="Times New Roman" w:eastAsia="宋体" w:hAnsi="Times New Roman"/>
        </w:rPr>
        <w:t>simulated (blue column) and observed (red column</w:t>
      </w:r>
      <w:r w:rsidR="00516E77">
        <w:rPr>
          <w:rFonts w:ascii="Times New Roman" w:eastAsia="宋体" w:hAnsi="Times New Roman" w:hint="eastAsia"/>
        </w:rPr>
        <w:t>)</w:t>
      </w:r>
      <w:r>
        <w:rPr>
          <w:rFonts w:ascii="Times New Roman" w:eastAsia="宋体" w:hAnsi="Times New Roman"/>
        </w:rPr>
        <w:t>.</w:t>
      </w:r>
      <w:r w:rsidR="00B21E7B">
        <w:rPr>
          <w:rFonts w:ascii="Times New Roman" w:eastAsia="宋体" w:hAnsi="Times New Roman"/>
        </w:rPr>
        <w:t xml:space="preserve"> </w:t>
      </w:r>
      <w:r w:rsidR="00B21E7B" w:rsidRPr="00B21E7B">
        <w:rPr>
          <w:rFonts w:ascii="Times New Roman" w:eastAsia="宋体" w:hAnsi="Times New Roman"/>
        </w:rPr>
        <w:t xml:space="preserve">The table presented below the figure summarizes the renal excretion data for drugs exhibiting renal elimination characteristics. For drugs not featured in the table, both observed and simulated renal excretion values for the parent compound </w:t>
      </w:r>
      <w:r w:rsidR="009E185A" w:rsidRPr="009E185A">
        <w:rPr>
          <w:rFonts w:ascii="Times New Roman" w:eastAsia="宋体" w:hAnsi="Times New Roman"/>
        </w:rPr>
        <w:t>are reported as 0</w:t>
      </w:r>
      <w:r w:rsidR="00B21E7B" w:rsidRPr="00B21E7B">
        <w:rPr>
          <w:rFonts w:ascii="Times New Roman" w:eastAsia="宋体" w:hAnsi="Times New Roman"/>
        </w:rPr>
        <w:t>.</w:t>
      </w:r>
    </w:p>
    <w:p w14:paraId="68919F2A" w14:textId="77777777" w:rsidR="00D14A8A" w:rsidRPr="00D14A8A" w:rsidRDefault="00D14A8A" w:rsidP="000F799B">
      <w:pPr>
        <w:rPr>
          <w:rFonts w:ascii="Times New Roman" w:eastAsia="宋体" w:hAnsi="Times New Roman"/>
        </w:rPr>
      </w:pPr>
    </w:p>
    <w:p w14:paraId="3D4D6AE4" w14:textId="5DC40645" w:rsidR="006009EA" w:rsidRDefault="000F799B" w:rsidP="000F799B">
      <w:pPr>
        <w:rPr>
          <w:rFonts w:ascii="Times New Roman" w:eastAsia="宋体" w:hAnsi="Times New Roman"/>
        </w:rPr>
      </w:pPr>
      <w:r>
        <w:rPr>
          <w:rFonts w:ascii="Times New Roman" w:eastAsia="宋体" w:hAnsi="Times New Roman"/>
        </w:rPr>
        <w:t>Finally, w</w:t>
      </w:r>
      <w:r w:rsidRPr="000F799B">
        <w:rPr>
          <w:rFonts w:ascii="Times New Roman" w:eastAsia="宋体" w:hAnsi="Times New Roman"/>
        </w:rPr>
        <w:t xml:space="preserve">e assume the absence of extrahepatic metabolism, with all </w:t>
      </w:r>
      <w:proofErr w:type="gramStart"/>
      <w:r w:rsidRPr="000F799B">
        <w:rPr>
          <w:rFonts w:ascii="Times New Roman" w:eastAsia="宋体" w:hAnsi="Times New Roman"/>
        </w:rPr>
        <w:t>metabolism</w:t>
      </w:r>
      <w:proofErr w:type="gramEnd"/>
      <w:r w:rsidRPr="000F799B">
        <w:rPr>
          <w:rFonts w:ascii="Times New Roman" w:eastAsia="宋体" w:hAnsi="Times New Roman"/>
        </w:rPr>
        <w:t xml:space="preserve"> occurring within the liver and intestines. The distribution of the drug in tissues is reversible, ultimately returning to the plasma. Thus, </w:t>
      </w:r>
      <w:r w:rsidR="006009EA" w:rsidRPr="006009EA">
        <w:rPr>
          <w:rFonts w:ascii="Times New Roman" w:eastAsia="宋体" w:hAnsi="Times New Roman"/>
        </w:rPr>
        <w:t xml:space="preserve">assuming fixed excretion parameters, there </w:t>
      </w:r>
      <w:r w:rsidR="006009EA">
        <w:rPr>
          <w:rFonts w:ascii="Times New Roman" w:eastAsia="宋体" w:hAnsi="Times New Roman"/>
        </w:rPr>
        <w:t>should be</w:t>
      </w:r>
      <w:r w:rsidR="006009EA" w:rsidRPr="006009EA">
        <w:rPr>
          <w:rFonts w:ascii="Times New Roman" w:eastAsia="宋体" w:hAnsi="Times New Roman"/>
        </w:rPr>
        <w:t xml:space="preserve"> a strong relationship between the metabolism of the drug in the liver and the level of the unchanged drug present in the plasma.</w:t>
      </w:r>
      <w:r w:rsidR="006009EA">
        <w:rPr>
          <w:rFonts w:ascii="Times New Roman" w:eastAsia="宋体" w:hAnsi="Times New Roman"/>
        </w:rPr>
        <w:t xml:space="preserve"> Please find the comparison of the simulated AUC with actual AUC in the following </w:t>
      </w:r>
      <w:r w:rsidR="00D14A8A">
        <w:rPr>
          <w:rFonts w:ascii="Times New Roman" w:eastAsia="宋体" w:hAnsi="Times New Roman"/>
        </w:rPr>
        <w:t>Figure</w:t>
      </w:r>
      <w:r w:rsidR="006009EA">
        <w:rPr>
          <w:rFonts w:ascii="Times New Roman" w:eastAsia="宋体" w:hAnsi="Times New Roman"/>
        </w:rPr>
        <w:t>:</w:t>
      </w:r>
    </w:p>
    <w:p w14:paraId="15F837D1" w14:textId="09780A7B" w:rsidR="006009EA" w:rsidRDefault="00D14A8A" w:rsidP="000F799B">
      <w:pPr>
        <w:rPr>
          <w:rFonts w:ascii="Times New Roman" w:eastAsia="宋体" w:hAnsi="Times New Roman"/>
        </w:rPr>
      </w:pPr>
      <w:r>
        <w:rPr>
          <w:rFonts w:ascii="Times New Roman" w:eastAsia="宋体" w:hAnsi="Times New Roman"/>
          <w:noProof/>
        </w:rPr>
        <w:drawing>
          <wp:inline distT="0" distB="0" distL="0" distR="0" wp14:anchorId="5F19C666" wp14:editId="71302621">
            <wp:extent cx="5378302" cy="1506762"/>
            <wp:effectExtent l="0" t="0" r="0" b="0"/>
            <wp:docPr id="28395055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21608" cy="1518894"/>
                    </a:xfrm>
                    <a:prstGeom prst="rect">
                      <a:avLst/>
                    </a:prstGeom>
                    <a:noFill/>
                  </pic:spPr>
                </pic:pic>
              </a:graphicData>
            </a:graphic>
          </wp:inline>
        </w:drawing>
      </w:r>
    </w:p>
    <w:p w14:paraId="79A0990A" w14:textId="2E1D52FC" w:rsidR="00D14A8A" w:rsidRPr="00341F95" w:rsidRDefault="00D14A8A" w:rsidP="00D14A8A">
      <w:pPr>
        <w:rPr>
          <w:rFonts w:ascii="Times New Roman" w:eastAsia="宋体" w:hAnsi="Times New Roman"/>
        </w:rPr>
      </w:pPr>
      <w:r>
        <w:rPr>
          <w:rFonts w:ascii="Times New Roman" w:eastAsia="宋体" w:hAnsi="Times New Roman" w:hint="eastAsia"/>
        </w:rPr>
        <w:t>F</w:t>
      </w:r>
      <w:r>
        <w:rPr>
          <w:rFonts w:ascii="Times New Roman" w:eastAsia="宋体" w:hAnsi="Times New Roman"/>
        </w:rPr>
        <w:t>igure S</w:t>
      </w:r>
      <w:r w:rsidR="00247914">
        <w:rPr>
          <w:rFonts w:ascii="Times New Roman" w:eastAsia="宋体" w:hAnsi="Times New Roman"/>
        </w:rPr>
        <w:t>4</w:t>
      </w:r>
      <w:r>
        <w:rPr>
          <w:rFonts w:ascii="Times New Roman" w:eastAsia="宋体" w:hAnsi="Times New Roman"/>
        </w:rPr>
        <w:t xml:space="preserve">. The comparison of renal excretion values between the </w:t>
      </w:r>
      <w:r w:rsidR="00516E77">
        <w:rPr>
          <w:rFonts w:ascii="Times New Roman" w:eastAsia="宋体" w:hAnsi="Times New Roman"/>
        </w:rPr>
        <w:t>simulated (blue column) and observed (red column</w:t>
      </w:r>
      <w:r w:rsidR="00516E77">
        <w:rPr>
          <w:rFonts w:ascii="Times New Roman" w:eastAsia="宋体" w:hAnsi="Times New Roman" w:hint="eastAsia"/>
        </w:rPr>
        <w:t>)</w:t>
      </w:r>
      <w:r>
        <w:rPr>
          <w:rFonts w:ascii="Times New Roman" w:eastAsia="宋体" w:hAnsi="Times New Roman"/>
        </w:rPr>
        <w:t>.</w:t>
      </w:r>
    </w:p>
    <w:p w14:paraId="0F658DDA" w14:textId="77777777" w:rsidR="006009EA" w:rsidRPr="00D14A8A" w:rsidRDefault="006009EA" w:rsidP="000F799B">
      <w:pPr>
        <w:rPr>
          <w:rFonts w:ascii="Times New Roman" w:eastAsia="宋体" w:hAnsi="Times New Roman"/>
        </w:rPr>
      </w:pPr>
    </w:p>
    <w:p w14:paraId="5E418C6B" w14:textId="77777777" w:rsidR="006009EA" w:rsidRDefault="006009EA" w:rsidP="000F799B">
      <w:pPr>
        <w:rPr>
          <w:rFonts w:ascii="Times New Roman" w:eastAsia="宋体" w:hAnsi="Times New Roman"/>
        </w:rPr>
      </w:pPr>
    </w:p>
    <w:p w14:paraId="248F5088" w14:textId="47005542" w:rsidR="00474F3B" w:rsidRPr="00D23E57" w:rsidRDefault="00474F3B" w:rsidP="00D23E57">
      <w:pPr>
        <w:pStyle w:val="a7"/>
        <w:numPr>
          <w:ilvl w:val="1"/>
          <w:numId w:val="4"/>
        </w:numPr>
        <w:ind w:firstLineChars="0"/>
        <w:rPr>
          <w:rFonts w:ascii="Times New Roman" w:eastAsia="宋体" w:hAnsi="Times New Roman"/>
        </w:rPr>
      </w:pPr>
      <w:r w:rsidRPr="00D23E57">
        <w:rPr>
          <w:rFonts w:ascii="Times New Roman" w:eastAsia="宋体" w:hAnsi="Times New Roman"/>
        </w:rPr>
        <w:lastRenderedPageBreak/>
        <w:t>Distribution:</w:t>
      </w:r>
    </w:p>
    <w:p w14:paraId="596B44F0" w14:textId="77777777" w:rsidR="00474F3B" w:rsidRPr="00474F3B" w:rsidRDefault="00474F3B" w:rsidP="00474F3B">
      <w:pPr>
        <w:rPr>
          <w:rFonts w:ascii="Times New Roman" w:eastAsia="宋体" w:hAnsi="Times New Roman"/>
        </w:rPr>
      </w:pPr>
      <w:r w:rsidRPr="00474F3B">
        <w:rPr>
          <w:rFonts w:ascii="Times New Roman" w:eastAsia="宋体" w:hAnsi="Times New Roman"/>
        </w:rPr>
        <w:t>In our predictions, we utilized a compartmental modeling approach, specifically the two-compartment model. This model includes distinct compartments representing key physiological sites such as the intestine, liver, central compartment, and peripheral compartment. The two-compartment model provides a simplified yet comprehensive representation of drug distribution dynamics within the body.</w:t>
      </w:r>
    </w:p>
    <w:p w14:paraId="7FA4AC31" w14:textId="0340972A" w:rsidR="00474F3B" w:rsidRDefault="00474F3B" w:rsidP="00474F3B">
      <w:pPr>
        <w:rPr>
          <w:rFonts w:ascii="Times New Roman" w:eastAsia="宋体" w:hAnsi="Times New Roman"/>
        </w:rPr>
      </w:pPr>
      <w:r w:rsidRPr="00474F3B">
        <w:rPr>
          <w:rFonts w:ascii="Times New Roman" w:eastAsia="宋体" w:hAnsi="Times New Roman"/>
        </w:rPr>
        <w:t>Given the utilization of the two-compartment model, the concepts of perfusion-limited and permeability-limited distribution mechanisms are not directly applicable. Instead, the model inherently accounts for the complexities of drug distribution by characterizing the movement of drugs between the central and peripheral compartments, which represent highly perfused and less perfused tissues, respectively.</w:t>
      </w:r>
    </w:p>
    <w:p w14:paraId="525139E0" w14:textId="5D13C0DA" w:rsidR="006009EA" w:rsidRPr="00D23E57" w:rsidRDefault="006009EA" w:rsidP="00D23E57">
      <w:pPr>
        <w:rPr>
          <w:rFonts w:ascii="Times New Roman" w:eastAsia="宋体" w:hAnsi="Times New Roman" w:hint="eastAsia"/>
        </w:rPr>
      </w:pPr>
      <w:r w:rsidRPr="00D23E57">
        <w:rPr>
          <w:rFonts w:ascii="Times New Roman" w:eastAsia="宋体" w:hAnsi="Times New Roman"/>
        </w:rPr>
        <w:t>In this model, we have implemented two approaches to ensure a distribution profile that closely resembles real-world conditions</w:t>
      </w:r>
      <w:r w:rsidR="00474F3B">
        <w:rPr>
          <w:rFonts w:ascii="Times New Roman" w:eastAsia="宋体" w:hAnsi="Times New Roman" w:hint="eastAsia"/>
        </w:rPr>
        <w:t>.</w:t>
      </w:r>
    </w:p>
    <w:p w14:paraId="7FA5E487" w14:textId="59DA5092" w:rsidR="006009EA" w:rsidRPr="00D23E57" w:rsidRDefault="006009EA" w:rsidP="00D23E57">
      <w:pPr>
        <w:rPr>
          <w:rFonts w:ascii="Times New Roman" w:eastAsia="宋体" w:hAnsi="Times New Roman" w:hint="eastAsia"/>
        </w:rPr>
      </w:pPr>
      <w:r w:rsidRPr="006009EA">
        <w:rPr>
          <w:rFonts w:ascii="Times New Roman" w:eastAsia="宋体" w:hAnsi="Times New Roman"/>
        </w:rPr>
        <w:t>Firstly, we have incorporated measured values for distribution-related parameters such as plasma protein binding and blood-to-plasma ratio (BP ratio). This enables us to align these parameters in the model with empirically observed values.</w:t>
      </w:r>
    </w:p>
    <w:p w14:paraId="1A3D05A8" w14:textId="3069FC3C" w:rsidR="006009EA" w:rsidRDefault="006009EA" w:rsidP="006009EA">
      <w:pPr>
        <w:rPr>
          <w:rFonts w:ascii="Times New Roman" w:eastAsia="宋体" w:hAnsi="Times New Roman"/>
        </w:rPr>
      </w:pPr>
      <w:r w:rsidRPr="006009EA">
        <w:rPr>
          <w:rFonts w:ascii="Times New Roman" w:eastAsia="宋体" w:hAnsi="Times New Roman"/>
        </w:rPr>
        <w:t>Secondly, we consider distribution to be a reversible process. Therefore, the primary factor determining distribution is the drug's ability to return to the plasma after entering other compartments assuming fixed absorption, metabolism, and excretion. Consequently, the shape and distribution of the drug within the plasma exhibit greater relevance</w:t>
      </w:r>
      <w:r>
        <w:rPr>
          <w:rFonts w:ascii="Times New Roman" w:eastAsia="宋体" w:hAnsi="Times New Roman"/>
        </w:rPr>
        <w:t>. The simulated PK profiles of victims are compared with the actual PK profiles in the following figure:</w:t>
      </w:r>
    </w:p>
    <w:p w14:paraId="63772794" w14:textId="4D78987B" w:rsidR="006C0E95" w:rsidRPr="006009EA" w:rsidRDefault="006C0E95" w:rsidP="006009EA">
      <w:pPr>
        <w:rPr>
          <w:rFonts w:ascii="Times New Roman" w:eastAsia="宋体" w:hAnsi="Times New Roman"/>
        </w:rPr>
      </w:pPr>
      <w:r>
        <w:rPr>
          <w:noProof/>
        </w:rPr>
        <w:lastRenderedPageBreak/>
        <w:drawing>
          <wp:inline distT="0" distB="0" distL="0" distR="0" wp14:anchorId="267E76C9" wp14:editId="6FCF84E2">
            <wp:extent cx="5274310" cy="7618730"/>
            <wp:effectExtent l="0" t="0" r="2540" b="1270"/>
            <wp:docPr id="1" name="图片 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表&#10;&#10;描述已自动生成"/>
                    <pic:cNvPicPr/>
                  </pic:nvPicPr>
                  <pic:blipFill>
                    <a:blip r:embed="rId12">
                      <a:extLst>
                        <a:ext uri="{28A0092B-C50C-407E-A947-70E740481C1C}">
                          <a14:useLocalDpi xmlns:a14="http://schemas.microsoft.com/office/drawing/2010/main" val="0"/>
                        </a:ext>
                      </a:extLst>
                    </a:blip>
                    <a:stretch>
                      <a:fillRect/>
                    </a:stretch>
                  </pic:blipFill>
                  <pic:spPr>
                    <a:xfrm>
                      <a:off x="0" y="0"/>
                      <a:ext cx="5274310" cy="7618730"/>
                    </a:xfrm>
                    <a:prstGeom prst="rect">
                      <a:avLst/>
                    </a:prstGeom>
                  </pic:spPr>
                </pic:pic>
              </a:graphicData>
            </a:graphic>
          </wp:inline>
        </w:drawing>
      </w:r>
    </w:p>
    <w:p w14:paraId="320EC630" w14:textId="487031E9" w:rsidR="006009EA" w:rsidRPr="006009EA" w:rsidRDefault="006C0E95" w:rsidP="006C0E95">
      <w:pPr>
        <w:pStyle w:val="a7"/>
        <w:ind w:left="360"/>
        <w:jc w:val="left"/>
        <w:rPr>
          <w:rFonts w:ascii="Times New Roman" w:eastAsia="宋体" w:hAnsi="Times New Roman"/>
        </w:rPr>
      </w:pPr>
      <w:r>
        <w:rPr>
          <w:noProof/>
        </w:rPr>
        <w:lastRenderedPageBreak/>
        <w:drawing>
          <wp:inline distT="0" distB="0" distL="0" distR="0" wp14:anchorId="1337A1F9" wp14:editId="0E405396">
            <wp:extent cx="5274310" cy="3875405"/>
            <wp:effectExtent l="0" t="0" r="2540" b="0"/>
            <wp:docPr id="4" name="图片 4"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形用户界面&#10;&#10;描述已自动生成"/>
                    <pic:cNvPicPr/>
                  </pic:nvPicPr>
                  <pic:blipFill>
                    <a:blip r:embed="rId13">
                      <a:extLst>
                        <a:ext uri="{28A0092B-C50C-407E-A947-70E740481C1C}">
                          <a14:useLocalDpi xmlns:a14="http://schemas.microsoft.com/office/drawing/2010/main" val="0"/>
                        </a:ext>
                      </a:extLst>
                    </a:blip>
                    <a:stretch>
                      <a:fillRect/>
                    </a:stretch>
                  </pic:blipFill>
                  <pic:spPr>
                    <a:xfrm>
                      <a:off x="0" y="0"/>
                      <a:ext cx="5274310" cy="3875405"/>
                    </a:xfrm>
                    <a:prstGeom prst="rect">
                      <a:avLst/>
                    </a:prstGeom>
                  </pic:spPr>
                </pic:pic>
              </a:graphicData>
            </a:graphic>
          </wp:inline>
        </w:drawing>
      </w:r>
    </w:p>
    <w:p w14:paraId="72614E55" w14:textId="6902A583" w:rsidR="006C0E95" w:rsidRDefault="006C0E95" w:rsidP="000E7182">
      <w:pPr>
        <w:rPr>
          <w:rFonts w:ascii="Times New Roman" w:eastAsia="宋体" w:hAnsi="Times New Roman"/>
        </w:rPr>
      </w:pPr>
      <w:r w:rsidRPr="006C0E95">
        <w:rPr>
          <w:rFonts w:ascii="Times New Roman" w:eastAsia="宋体" w:hAnsi="Times New Roman"/>
        </w:rPr>
        <w:t>Figure S</w:t>
      </w:r>
      <w:r w:rsidR="00247914">
        <w:rPr>
          <w:rFonts w:ascii="Times New Roman" w:eastAsia="宋体" w:hAnsi="Times New Roman"/>
        </w:rPr>
        <w:t>5</w:t>
      </w:r>
      <w:r w:rsidRPr="006C0E95">
        <w:rPr>
          <w:rFonts w:ascii="Times New Roman" w:eastAsia="宋体" w:hAnsi="Times New Roman"/>
        </w:rPr>
        <w:t xml:space="preserve">. Model-simulated pharmacokinetic plasma profiles, following </w:t>
      </w:r>
      <w:proofErr w:type="spellStart"/>
      <w:r w:rsidRPr="006C0E95">
        <w:rPr>
          <w:rFonts w:ascii="Times New Roman" w:eastAsia="宋体" w:hAnsi="Times New Roman"/>
        </w:rPr>
        <w:t>p.o.</w:t>
      </w:r>
      <w:proofErr w:type="spellEnd"/>
      <w:r w:rsidRPr="006C0E95">
        <w:rPr>
          <w:rFonts w:ascii="Times New Roman" w:eastAsia="宋体" w:hAnsi="Times New Roman"/>
        </w:rPr>
        <w:t xml:space="preserve"> alone, overlaid with the observed data. Blue solid lines and circles represent the fitted pharmacokinetic profiles and the observed mean data after </w:t>
      </w:r>
      <w:proofErr w:type="spellStart"/>
      <w:r w:rsidRPr="006C0E95">
        <w:rPr>
          <w:rFonts w:ascii="Times New Roman" w:eastAsia="宋体" w:hAnsi="Times New Roman"/>
        </w:rPr>
        <w:t>p.o.</w:t>
      </w:r>
      <w:proofErr w:type="spellEnd"/>
      <w:r w:rsidRPr="006C0E95">
        <w:rPr>
          <w:rFonts w:ascii="Times New Roman" w:eastAsia="宋体" w:hAnsi="Times New Roman"/>
        </w:rPr>
        <w:t xml:space="preserve"> alone, respectively. </w:t>
      </w:r>
    </w:p>
    <w:p w14:paraId="2789D1F9" w14:textId="70CFE3C1" w:rsidR="00604236" w:rsidRDefault="006009EA" w:rsidP="000E7182">
      <w:pPr>
        <w:rPr>
          <w:rFonts w:ascii="Times New Roman" w:eastAsia="宋体" w:hAnsi="Times New Roman"/>
        </w:rPr>
      </w:pPr>
      <w:r w:rsidRPr="000E7182">
        <w:rPr>
          <w:rFonts w:ascii="Times New Roman" w:eastAsia="宋体" w:hAnsi="Times New Roman"/>
        </w:rPr>
        <w:t xml:space="preserve">By </w:t>
      </w:r>
      <w:r w:rsidR="00F00819">
        <w:rPr>
          <w:rFonts w:ascii="Times New Roman" w:eastAsia="宋体" w:hAnsi="Times New Roman"/>
        </w:rPr>
        <w:t>above validations</w:t>
      </w:r>
      <w:r w:rsidRPr="000E7182">
        <w:rPr>
          <w:rFonts w:ascii="Times New Roman" w:eastAsia="宋体" w:hAnsi="Times New Roman"/>
        </w:rPr>
        <w:t>, we strive</w:t>
      </w:r>
      <w:r w:rsidR="00F00819">
        <w:rPr>
          <w:rFonts w:ascii="Times New Roman" w:eastAsia="宋体" w:hAnsi="Times New Roman"/>
        </w:rPr>
        <w:t>d</w:t>
      </w:r>
      <w:r w:rsidRPr="000E7182">
        <w:rPr>
          <w:rFonts w:ascii="Times New Roman" w:eastAsia="宋体" w:hAnsi="Times New Roman"/>
        </w:rPr>
        <w:t xml:space="preserve"> to achieve a more accurate representation of drug </w:t>
      </w:r>
      <w:r w:rsidR="00F00819">
        <w:rPr>
          <w:rFonts w:ascii="Times New Roman" w:eastAsia="宋体" w:hAnsi="Times New Roman"/>
        </w:rPr>
        <w:t>absorption</w:t>
      </w:r>
      <w:r w:rsidR="00F00819">
        <w:rPr>
          <w:rFonts w:ascii="Times New Roman" w:eastAsia="宋体" w:hAnsi="Times New Roman" w:hint="eastAsia"/>
        </w:rPr>
        <w:t>,</w:t>
      </w:r>
      <w:r w:rsidR="00F00819">
        <w:rPr>
          <w:rFonts w:ascii="Times New Roman" w:eastAsia="宋体" w:hAnsi="Times New Roman"/>
        </w:rPr>
        <w:t xml:space="preserve"> </w:t>
      </w:r>
      <w:r w:rsidRPr="000E7182">
        <w:rPr>
          <w:rFonts w:ascii="Times New Roman" w:eastAsia="宋体" w:hAnsi="Times New Roman"/>
        </w:rPr>
        <w:t>distribution</w:t>
      </w:r>
      <w:r w:rsidR="00F00819">
        <w:rPr>
          <w:rFonts w:ascii="Times New Roman" w:eastAsia="宋体" w:hAnsi="Times New Roman" w:hint="eastAsia"/>
        </w:rPr>
        <w:t>,</w:t>
      </w:r>
      <w:r w:rsidR="00F00819">
        <w:rPr>
          <w:rFonts w:ascii="Times New Roman" w:eastAsia="宋体" w:hAnsi="Times New Roman"/>
        </w:rPr>
        <w:t xml:space="preserve"> </w:t>
      </w:r>
      <w:r w:rsidR="00F00819">
        <w:rPr>
          <w:rFonts w:ascii="Times New Roman" w:eastAsia="宋体" w:hAnsi="Times New Roman" w:hint="eastAsia"/>
        </w:rPr>
        <w:t>metabolism,</w:t>
      </w:r>
      <w:r w:rsidR="00F00819">
        <w:rPr>
          <w:rFonts w:ascii="Times New Roman" w:eastAsia="宋体" w:hAnsi="Times New Roman"/>
        </w:rPr>
        <w:t xml:space="preserve"> </w:t>
      </w:r>
      <w:r w:rsidR="00F00819">
        <w:rPr>
          <w:rFonts w:ascii="Times New Roman" w:eastAsia="宋体" w:hAnsi="Times New Roman" w:hint="eastAsia"/>
        </w:rPr>
        <w:t>and</w:t>
      </w:r>
      <w:r w:rsidR="00F00819">
        <w:rPr>
          <w:rFonts w:ascii="Times New Roman" w:eastAsia="宋体" w:hAnsi="Times New Roman"/>
        </w:rPr>
        <w:t xml:space="preserve"> </w:t>
      </w:r>
      <w:r w:rsidR="00F00819">
        <w:rPr>
          <w:rFonts w:ascii="Times New Roman" w:eastAsia="宋体" w:hAnsi="Times New Roman" w:hint="eastAsia"/>
        </w:rPr>
        <w:t>excretion</w:t>
      </w:r>
      <w:r w:rsidRPr="000E7182">
        <w:rPr>
          <w:rFonts w:ascii="Times New Roman" w:eastAsia="宋体" w:hAnsi="Times New Roman"/>
        </w:rPr>
        <w:t xml:space="preserve"> within the model, closely resembling its behavior in real-world scenarios.</w:t>
      </w:r>
      <w:r w:rsidR="00F00819">
        <w:rPr>
          <w:rFonts w:ascii="Times New Roman" w:eastAsia="宋体" w:hAnsi="Times New Roman"/>
        </w:rPr>
        <w:t xml:space="preserve"> </w:t>
      </w:r>
    </w:p>
    <w:p w14:paraId="290F44A1" w14:textId="77777777" w:rsidR="00D03071" w:rsidRDefault="00D03071" w:rsidP="00D03071">
      <w:pPr>
        <w:rPr>
          <w:rFonts w:ascii="Times New Roman" w:eastAsia="宋体" w:hAnsi="Times New Roman"/>
          <w:b/>
          <w:bCs/>
        </w:rPr>
      </w:pPr>
    </w:p>
    <w:p w14:paraId="384D3B32" w14:textId="34AA2356" w:rsidR="00D03071" w:rsidRDefault="009B60DE" w:rsidP="00D03071">
      <w:pPr>
        <w:rPr>
          <w:rFonts w:ascii="Times New Roman" w:eastAsia="宋体" w:hAnsi="Times New Roman"/>
          <w:b/>
          <w:bCs/>
        </w:rPr>
      </w:pPr>
      <w:bookmarkStart w:id="3" w:name="_Hlk140072947"/>
      <w:r>
        <w:rPr>
          <w:rFonts w:ascii="Times New Roman" w:eastAsia="宋体" w:hAnsi="Times New Roman"/>
          <w:b/>
          <w:bCs/>
        </w:rPr>
        <w:t>3</w:t>
      </w:r>
      <w:r w:rsidR="00D03071" w:rsidRPr="000C6737">
        <w:rPr>
          <w:rFonts w:ascii="Times New Roman" w:eastAsia="宋体" w:hAnsi="Times New Roman"/>
          <w:b/>
          <w:bCs/>
        </w:rPr>
        <w:t xml:space="preserve">. </w:t>
      </w:r>
      <w:r w:rsidR="007A1FCB" w:rsidRPr="007A1FCB">
        <w:rPr>
          <w:rFonts w:ascii="Times New Roman" w:eastAsia="宋体" w:hAnsi="Times New Roman"/>
          <w:b/>
          <w:bCs/>
        </w:rPr>
        <w:t>The comparison between the predicted PK profiles of the victim drug and the observed PK profiles after co-administration with ketoconazole</w:t>
      </w:r>
    </w:p>
    <w:bookmarkEnd w:id="3"/>
    <w:p w14:paraId="3B8A9F3C" w14:textId="007BE16B" w:rsidR="009B60DE" w:rsidRDefault="009B60DE" w:rsidP="00D03071">
      <w:pPr>
        <w:rPr>
          <w:rFonts w:ascii="Times New Roman" w:eastAsia="宋体" w:hAnsi="Times New Roman"/>
        </w:rPr>
      </w:pPr>
      <w:r w:rsidRPr="009B60DE">
        <w:rPr>
          <w:rFonts w:ascii="Times New Roman" w:eastAsia="宋体" w:hAnsi="Times New Roman"/>
        </w:rPr>
        <w:t>We utilized a PBPK-DDI model to predict the PK profiles of the victim drug</w:t>
      </w:r>
      <w:r>
        <w:rPr>
          <w:rFonts w:ascii="Times New Roman" w:eastAsia="宋体" w:hAnsi="Times New Roman"/>
        </w:rPr>
        <w:t>s</w:t>
      </w:r>
      <w:r w:rsidRPr="009B60DE">
        <w:rPr>
          <w:rFonts w:ascii="Times New Roman" w:eastAsia="宋体" w:hAnsi="Times New Roman"/>
        </w:rPr>
        <w:t xml:space="preserve"> following co-administration with ketoconazole. The specific co-administration scheme can be found in Table S3. </w:t>
      </w:r>
    </w:p>
    <w:p w14:paraId="7689BCF5" w14:textId="78C1450D" w:rsidR="009B60DE" w:rsidRDefault="009B60DE" w:rsidP="00D03071">
      <w:pPr>
        <w:rPr>
          <w:rFonts w:ascii="Times New Roman" w:eastAsia="宋体" w:hAnsi="Times New Roman"/>
        </w:rPr>
      </w:pPr>
      <w:r>
        <w:rPr>
          <w:rFonts w:ascii="Times New Roman" w:eastAsia="宋体" w:hAnsi="Times New Roman" w:hint="eastAsia"/>
        </w:rPr>
        <w:t>T</w:t>
      </w:r>
      <w:r>
        <w:rPr>
          <w:rFonts w:ascii="Times New Roman" w:eastAsia="宋体" w:hAnsi="Times New Roman"/>
        </w:rPr>
        <w:t>able S</w:t>
      </w:r>
      <w:r w:rsidR="002A6E38">
        <w:rPr>
          <w:rFonts w:ascii="Times New Roman" w:eastAsia="宋体" w:hAnsi="Times New Roman"/>
        </w:rPr>
        <w:t>3</w:t>
      </w:r>
      <w:r>
        <w:rPr>
          <w:rFonts w:ascii="Times New Roman" w:eastAsia="宋体" w:hAnsi="Times New Roman"/>
        </w:rPr>
        <w:t xml:space="preserve">. The </w:t>
      </w:r>
      <w:r w:rsidR="009060C8">
        <w:rPr>
          <w:rFonts w:ascii="Times New Roman" w:eastAsia="宋体" w:hAnsi="Times New Roman"/>
        </w:rPr>
        <w:t>dosing method in the clinical DDI studies</w:t>
      </w:r>
    </w:p>
    <w:tbl>
      <w:tblPr>
        <w:tblW w:w="8717" w:type="dxa"/>
        <w:tblLook w:val="04A0" w:firstRow="1" w:lastRow="0" w:firstColumn="1" w:lastColumn="0" w:noHBand="0" w:noVBand="1"/>
      </w:tblPr>
      <w:tblGrid>
        <w:gridCol w:w="1541"/>
        <w:gridCol w:w="1668"/>
        <w:gridCol w:w="2127"/>
        <w:gridCol w:w="2025"/>
        <w:gridCol w:w="1134"/>
        <w:gridCol w:w="222"/>
      </w:tblGrid>
      <w:tr w:rsidR="009B60DE" w:rsidRPr="003D0565" w14:paraId="4A1C22EA" w14:textId="77777777" w:rsidTr="00E40575">
        <w:trPr>
          <w:gridAfter w:val="1"/>
          <w:wAfter w:w="211" w:type="dxa"/>
          <w:trHeight w:val="286"/>
        </w:trPr>
        <w:tc>
          <w:tcPr>
            <w:tcW w:w="1541" w:type="dxa"/>
            <w:vMerge w:val="restart"/>
            <w:tcBorders>
              <w:top w:val="single" w:sz="4" w:space="0" w:color="auto"/>
              <w:left w:val="nil"/>
              <w:bottom w:val="single" w:sz="8" w:space="0" w:color="000000"/>
              <w:right w:val="nil"/>
            </w:tcBorders>
            <w:shd w:val="clear" w:color="auto" w:fill="auto"/>
            <w:noWrap/>
            <w:vAlign w:val="center"/>
            <w:hideMark/>
          </w:tcPr>
          <w:p w14:paraId="0FC0F731" w14:textId="77777777" w:rsidR="009B60DE" w:rsidRPr="00E7517C" w:rsidRDefault="009B60DE" w:rsidP="009B60DE">
            <w:pPr>
              <w:widowControl/>
              <w:jc w:val="center"/>
              <w:rPr>
                <w:rFonts w:ascii="Times New Roman" w:eastAsia="等线" w:hAnsi="Times New Roman" w:cs="Times New Roman"/>
                <w:kern w:val="0"/>
                <w:szCs w:val="21"/>
              </w:rPr>
            </w:pPr>
            <w:r w:rsidRPr="00E7517C">
              <w:rPr>
                <w:rFonts w:ascii="Times New Roman" w:eastAsia="等线" w:hAnsi="Times New Roman" w:cs="Times New Roman"/>
                <w:kern w:val="0"/>
                <w:szCs w:val="21"/>
              </w:rPr>
              <w:t>General name</w:t>
            </w:r>
          </w:p>
        </w:tc>
        <w:tc>
          <w:tcPr>
            <w:tcW w:w="1671" w:type="dxa"/>
            <w:vMerge w:val="restart"/>
            <w:tcBorders>
              <w:top w:val="single" w:sz="4" w:space="0" w:color="auto"/>
              <w:left w:val="nil"/>
              <w:bottom w:val="single" w:sz="8" w:space="0" w:color="000000"/>
              <w:right w:val="nil"/>
            </w:tcBorders>
            <w:shd w:val="clear" w:color="auto" w:fill="auto"/>
            <w:vAlign w:val="center"/>
            <w:hideMark/>
          </w:tcPr>
          <w:p w14:paraId="78D7DB41" w14:textId="77777777" w:rsidR="009B60DE" w:rsidRPr="00E7517C" w:rsidRDefault="009B60DE" w:rsidP="009B60DE">
            <w:pPr>
              <w:widowControl/>
              <w:jc w:val="center"/>
              <w:rPr>
                <w:rFonts w:ascii="Times New Roman" w:eastAsia="等线" w:hAnsi="Times New Roman" w:cs="Times New Roman"/>
                <w:kern w:val="0"/>
                <w:szCs w:val="21"/>
              </w:rPr>
            </w:pPr>
            <w:r w:rsidRPr="00E7517C">
              <w:rPr>
                <w:rFonts w:ascii="Times New Roman" w:eastAsia="等线" w:hAnsi="Times New Roman" w:cs="Times New Roman"/>
                <w:kern w:val="0"/>
                <w:szCs w:val="21"/>
              </w:rPr>
              <w:t>Dosing of ketoconazole</w:t>
            </w:r>
          </w:p>
        </w:tc>
        <w:tc>
          <w:tcPr>
            <w:tcW w:w="2131" w:type="dxa"/>
            <w:vMerge w:val="restart"/>
            <w:tcBorders>
              <w:top w:val="single" w:sz="4" w:space="0" w:color="auto"/>
              <w:left w:val="nil"/>
              <w:bottom w:val="single" w:sz="8" w:space="0" w:color="000000"/>
              <w:right w:val="nil"/>
            </w:tcBorders>
            <w:shd w:val="clear" w:color="auto" w:fill="auto"/>
            <w:vAlign w:val="center"/>
            <w:hideMark/>
          </w:tcPr>
          <w:p w14:paraId="0C033F42" w14:textId="77777777" w:rsidR="009B60DE" w:rsidRPr="00E7517C" w:rsidRDefault="009B60DE" w:rsidP="009B60DE">
            <w:pPr>
              <w:widowControl/>
              <w:jc w:val="center"/>
              <w:rPr>
                <w:rFonts w:ascii="Times New Roman" w:eastAsia="等线" w:hAnsi="Times New Roman" w:cs="Times New Roman"/>
                <w:kern w:val="0"/>
                <w:szCs w:val="21"/>
              </w:rPr>
            </w:pPr>
            <w:r w:rsidRPr="00E7517C">
              <w:rPr>
                <w:rFonts w:ascii="Times New Roman" w:eastAsia="等线" w:hAnsi="Times New Roman" w:cs="Times New Roman"/>
                <w:kern w:val="0"/>
                <w:szCs w:val="21"/>
              </w:rPr>
              <w:t>Dosing of test article</w:t>
            </w:r>
          </w:p>
        </w:tc>
        <w:tc>
          <w:tcPr>
            <w:tcW w:w="2029" w:type="dxa"/>
            <w:vMerge w:val="restart"/>
            <w:tcBorders>
              <w:top w:val="single" w:sz="4" w:space="0" w:color="auto"/>
              <w:left w:val="nil"/>
              <w:bottom w:val="single" w:sz="8" w:space="0" w:color="000000"/>
              <w:right w:val="nil"/>
            </w:tcBorders>
            <w:shd w:val="clear" w:color="auto" w:fill="auto"/>
            <w:vAlign w:val="center"/>
            <w:hideMark/>
          </w:tcPr>
          <w:p w14:paraId="739E7727" w14:textId="77777777" w:rsidR="009B60DE" w:rsidRPr="00E7517C" w:rsidRDefault="009B60DE" w:rsidP="009B60DE">
            <w:pPr>
              <w:widowControl/>
              <w:jc w:val="center"/>
              <w:rPr>
                <w:rFonts w:ascii="Times New Roman" w:eastAsia="等线" w:hAnsi="Times New Roman" w:cs="Times New Roman"/>
                <w:kern w:val="0"/>
                <w:szCs w:val="21"/>
              </w:rPr>
            </w:pPr>
            <w:r w:rsidRPr="00E7517C">
              <w:rPr>
                <w:rFonts w:ascii="Times New Roman" w:eastAsia="等线" w:hAnsi="Times New Roman" w:cs="Times New Roman"/>
                <w:kern w:val="0"/>
                <w:szCs w:val="21"/>
              </w:rPr>
              <w:t>AUCR (90% confidence interval)</w:t>
            </w:r>
          </w:p>
        </w:tc>
        <w:tc>
          <w:tcPr>
            <w:tcW w:w="1134" w:type="dxa"/>
            <w:vMerge w:val="restart"/>
            <w:tcBorders>
              <w:top w:val="single" w:sz="4" w:space="0" w:color="auto"/>
              <w:left w:val="nil"/>
              <w:bottom w:val="single" w:sz="8" w:space="0" w:color="000000"/>
              <w:right w:val="nil"/>
            </w:tcBorders>
            <w:shd w:val="clear" w:color="auto" w:fill="auto"/>
            <w:vAlign w:val="center"/>
            <w:hideMark/>
          </w:tcPr>
          <w:p w14:paraId="214E0B81" w14:textId="77777777" w:rsidR="009B60DE" w:rsidRPr="00E7517C" w:rsidRDefault="009B60DE" w:rsidP="009B60DE">
            <w:pPr>
              <w:widowControl/>
              <w:jc w:val="center"/>
              <w:rPr>
                <w:rFonts w:ascii="Times New Roman" w:eastAsia="等线" w:hAnsi="Times New Roman" w:cs="Times New Roman"/>
                <w:kern w:val="0"/>
                <w:szCs w:val="21"/>
              </w:rPr>
            </w:pPr>
            <w:r w:rsidRPr="00E7517C">
              <w:rPr>
                <w:rFonts w:ascii="Times New Roman" w:eastAsia="等线" w:hAnsi="Times New Roman" w:cs="Times New Roman"/>
                <w:kern w:val="0"/>
                <w:szCs w:val="21"/>
              </w:rPr>
              <w:t>Reference</w:t>
            </w:r>
          </w:p>
        </w:tc>
      </w:tr>
      <w:tr w:rsidR="009B60DE" w:rsidRPr="003D0565" w14:paraId="1589343F" w14:textId="77777777" w:rsidTr="00E40575">
        <w:trPr>
          <w:trHeight w:val="301"/>
        </w:trPr>
        <w:tc>
          <w:tcPr>
            <w:tcW w:w="1541" w:type="dxa"/>
            <w:vMerge/>
            <w:tcBorders>
              <w:top w:val="single" w:sz="4" w:space="0" w:color="auto"/>
              <w:left w:val="nil"/>
              <w:bottom w:val="single" w:sz="8" w:space="0" w:color="000000"/>
              <w:right w:val="nil"/>
            </w:tcBorders>
            <w:vAlign w:val="center"/>
            <w:hideMark/>
          </w:tcPr>
          <w:p w14:paraId="347436B0" w14:textId="77777777" w:rsidR="009B60DE" w:rsidRPr="00E7517C" w:rsidRDefault="009B60DE" w:rsidP="009B60DE">
            <w:pPr>
              <w:widowControl/>
              <w:jc w:val="left"/>
              <w:rPr>
                <w:rFonts w:ascii="Times New Roman" w:eastAsia="等线" w:hAnsi="Times New Roman" w:cs="Times New Roman"/>
                <w:kern w:val="0"/>
                <w:szCs w:val="21"/>
              </w:rPr>
            </w:pPr>
          </w:p>
        </w:tc>
        <w:tc>
          <w:tcPr>
            <w:tcW w:w="1671" w:type="dxa"/>
            <w:vMerge/>
            <w:tcBorders>
              <w:top w:val="single" w:sz="4" w:space="0" w:color="auto"/>
              <w:left w:val="nil"/>
              <w:bottom w:val="single" w:sz="8" w:space="0" w:color="000000"/>
              <w:right w:val="nil"/>
            </w:tcBorders>
            <w:vAlign w:val="center"/>
            <w:hideMark/>
          </w:tcPr>
          <w:p w14:paraId="6962C2F2" w14:textId="77777777" w:rsidR="009B60DE" w:rsidRPr="00E7517C" w:rsidRDefault="009B60DE" w:rsidP="009B60DE">
            <w:pPr>
              <w:widowControl/>
              <w:jc w:val="left"/>
              <w:rPr>
                <w:rFonts w:ascii="Times New Roman" w:eastAsia="等线" w:hAnsi="Times New Roman" w:cs="Times New Roman"/>
                <w:kern w:val="0"/>
                <w:szCs w:val="21"/>
              </w:rPr>
            </w:pPr>
          </w:p>
        </w:tc>
        <w:tc>
          <w:tcPr>
            <w:tcW w:w="2131" w:type="dxa"/>
            <w:vMerge/>
            <w:tcBorders>
              <w:top w:val="single" w:sz="4" w:space="0" w:color="auto"/>
              <w:left w:val="nil"/>
              <w:bottom w:val="single" w:sz="8" w:space="0" w:color="000000"/>
              <w:right w:val="nil"/>
            </w:tcBorders>
            <w:vAlign w:val="center"/>
            <w:hideMark/>
          </w:tcPr>
          <w:p w14:paraId="0CDDA2EC" w14:textId="77777777" w:rsidR="009B60DE" w:rsidRPr="00E7517C" w:rsidRDefault="009B60DE" w:rsidP="009B60DE">
            <w:pPr>
              <w:widowControl/>
              <w:jc w:val="left"/>
              <w:rPr>
                <w:rFonts w:ascii="Times New Roman" w:eastAsia="等线" w:hAnsi="Times New Roman" w:cs="Times New Roman"/>
                <w:kern w:val="0"/>
                <w:szCs w:val="21"/>
              </w:rPr>
            </w:pPr>
          </w:p>
        </w:tc>
        <w:tc>
          <w:tcPr>
            <w:tcW w:w="2029" w:type="dxa"/>
            <w:vMerge/>
            <w:tcBorders>
              <w:top w:val="single" w:sz="4" w:space="0" w:color="auto"/>
              <w:left w:val="nil"/>
              <w:bottom w:val="single" w:sz="8" w:space="0" w:color="000000"/>
              <w:right w:val="nil"/>
            </w:tcBorders>
            <w:vAlign w:val="center"/>
            <w:hideMark/>
          </w:tcPr>
          <w:p w14:paraId="2DBFE584" w14:textId="77777777" w:rsidR="009B60DE" w:rsidRPr="00E7517C" w:rsidRDefault="009B60DE" w:rsidP="009B60DE">
            <w:pPr>
              <w:widowControl/>
              <w:jc w:val="left"/>
              <w:rPr>
                <w:rFonts w:ascii="Times New Roman" w:eastAsia="等线" w:hAnsi="Times New Roman" w:cs="Times New Roman"/>
                <w:kern w:val="0"/>
                <w:szCs w:val="21"/>
              </w:rPr>
            </w:pPr>
          </w:p>
        </w:tc>
        <w:tc>
          <w:tcPr>
            <w:tcW w:w="1134" w:type="dxa"/>
            <w:vMerge/>
            <w:tcBorders>
              <w:top w:val="single" w:sz="4" w:space="0" w:color="auto"/>
              <w:left w:val="nil"/>
              <w:bottom w:val="single" w:sz="8" w:space="0" w:color="000000"/>
              <w:right w:val="nil"/>
            </w:tcBorders>
            <w:vAlign w:val="center"/>
            <w:hideMark/>
          </w:tcPr>
          <w:p w14:paraId="35D4D21E" w14:textId="77777777" w:rsidR="009B60DE" w:rsidRPr="00E7517C" w:rsidRDefault="009B60DE" w:rsidP="009B60DE">
            <w:pPr>
              <w:widowControl/>
              <w:jc w:val="left"/>
              <w:rPr>
                <w:rFonts w:ascii="Times New Roman" w:eastAsia="等线" w:hAnsi="Times New Roman" w:cs="Times New Roman"/>
                <w:kern w:val="0"/>
                <w:szCs w:val="21"/>
              </w:rPr>
            </w:pPr>
          </w:p>
        </w:tc>
        <w:tc>
          <w:tcPr>
            <w:tcW w:w="211" w:type="dxa"/>
            <w:tcBorders>
              <w:top w:val="nil"/>
              <w:left w:val="nil"/>
              <w:bottom w:val="nil"/>
              <w:right w:val="nil"/>
            </w:tcBorders>
            <w:shd w:val="clear" w:color="auto" w:fill="auto"/>
            <w:noWrap/>
            <w:vAlign w:val="bottom"/>
            <w:hideMark/>
          </w:tcPr>
          <w:p w14:paraId="408DA895" w14:textId="77777777" w:rsidR="009B60DE" w:rsidRPr="00E7517C" w:rsidRDefault="009B60DE" w:rsidP="009B60DE">
            <w:pPr>
              <w:widowControl/>
              <w:jc w:val="center"/>
              <w:rPr>
                <w:rFonts w:ascii="Times New Roman" w:eastAsia="等线" w:hAnsi="Times New Roman" w:cs="Times New Roman"/>
                <w:kern w:val="0"/>
                <w:szCs w:val="21"/>
              </w:rPr>
            </w:pPr>
          </w:p>
        </w:tc>
      </w:tr>
      <w:tr w:rsidR="009B60DE" w:rsidRPr="003D0565" w14:paraId="6B709984" w14:textId="77777777" w:rsidTr="00E40575">
        <w:trPr>
          <w:trHeight w:val="316"/>
        </w:trPr>
        <w:tc>
          <w:tcPr>
            <w:tcW w:w="1541" w:type="dxa"/>
            <w:tcBorders>
              <w:top w:val="nil"/>
              <w:left w:val="nil"/>
              <w:bottom w:val="nil"/>
              <w:right w:val="nil"/>
            </w:tcBorders>
            <w:shd w:val="clear" w:color="auto" w:fill="auto"/>
            <w:vAlign w:val="center"/>
            <w:hideMark/>
          </w:tcPr>
          <w:p w14:paraId="4BA61FB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Apixaban</w:t>
            </w:r>
          </w:p>
        </w:tc>
        <w:tc>
          <w:tcPr>
            <w:tcW w:w="1671" w:type="dxa"/>
            <w:tcBorders>
              <w:top w:val="nil"/>
              <w:left w:val="nil"/>
              <w:bottom w:val="nil"/>
              <w:right w:val="nil"/>
            </w:tcBorders>
            <w:shd w:val="clear" w:color="auto" w:fill="auto"/>
            <w:vAlign w:val="center"/>
            <w:hideMark/>
          </w:tcPr>
          <w:p w14:paraId="3F1C811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4391D4C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 mg, day4</w:t>
            </w:r>
          </w:p>
        </w:tc>
        <w:tc>
          <w:tcPr>
            <w:tcW w:w="2029" w:type="dxa"/>
            <w:tcBorders>
              <w:top w:val="nil"/>
              <w:left w:val="nil"/>
              <w:bottom w:val="nil"/>
              <w:right w:val="nil"/>
            </w:tcBorders>
            <w:shd w:val="clear" w:color="auto" w:fill="auto"/>
            <w:vAlign w:val="center"/>
            <w:hideMark/>
          </w:tcPr>
          <w:p w14:paraId="4C9CCCA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1.99(1.81, 2.18)</w:t>
            </w:r>
          </w:p>
        </w:tc>
        <w:tc>
          <w:tcPr>
            <w:tcW w:w="1134" w:type="dxa"/>
            <w:tcBorders>
              <w:top w:val="nil"/>
              <w:left w:val="nil"/>
              <w:bottom w:val="nil"/>
              <w:right w:val="nil"/>
            </w:tcBorders>
            <w:shd w:val="clear" w:color="auto" w:fill="auto"/>
            <w:vAlign w:val="center"/>
            <w:hideMark/>
          </w:tcPr>
          <w:p w14:paraId="366508C0"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w:t>
            </w:r>
          </w:p>
        </w:tc>
        <w:tc>
          <w:tcPr>
            <w:tcW w:w="211" w:type="dxa"/>
            <w:vAlign w:val="center"/>
            <w:hideMark/>
          </w:tcPr>
          <w:p w14:paraId="5D0D89E9"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444BE69A" w14:textId="77777777" w:rsidTr="00E40575">
        <w:trPr>
          <w:trHeight w:val="316"/>
        </w:trPr>
        <w:tc>
          <w:tcPr>
            <w:tcW w:w="1541" w:type="dxa"/>
            <w:tcBorders>
              <w:top w:val="nil"/>
              <w:left w:val="nil"/>
              <w:bottom w:val="nil"/>
              <w:right w:val="nil"/>
            </w:tcBorders>
            <w:shd w:val="clear" w:color="auto" w:fill="auto"/>
            <w:vAlign w:val="center"/>
            <w:hideMark/>
          </w:tcPr>
          <w:p w14:paraId="59BE500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Apremilast</w:t>
            </w:r>
          </w:p>
        </w:tc>
        <w:tc>
          <w:tcPr>
            <w:tcW w:w="1671" w:type="dxa"/>
            <w:tcBorders>
              <w:top w:val="nil"/>
              <w:left w:val="nil"/>
              <w:bottom w:val="nil"/>
              <w:right w:val="nil"/>
            </w:tcBorders>
            <w:shd w:val="clear" w:color="auto" w:fill="auto"/>
            <w:vAlign w:val="center"/>
            <w:hideMark/>
          </w:tcPr>
          <w:p w14:paraId="75118FD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3DC7D66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 mg, day5</w:t>
            </w:r>
          </w:p>
        </w:tc>
        <w:tc>
          <w:tcPr>
            <w:tcW w:w="2029" w:type="dxa"/>
            <w:tcBorders>
              <w:top w:val="nil"/>
              <w:left w:val="nil"/>
              <w:bottom w:val="nil"/>
              <w:right w:val="nil"/>
            </w:tcBorders>
            <w:shd w:val="clear" w:color="auto" w:fill="auto"/>
            <w:vAlign w:val="center"/>
            <w:hideMark/>
          </w:tcPr>
          <w:p w14:paraId="36797A0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1.36(1.26, 1.47)</w:t>
            </w:r>
          </w:p>
        </w:tc>
        <w:tc>
          <w:tcPr>
            <w:tcW w:w="1134" w:type="dxa"/>
            <w:tcBorders>
              <w:top w:val="nil"/>
              <w:left w:val="nil"/>
              <w:bottom w:val="nil"/>
              <w:right w:val="nil"/>
            </w:tcBorders>
            <w:shd w:val="clear" w:color="auto" w:fill="auto"/>
            <w:vAlign w:val="center"/>
            <w:hideMark/>
          </w:tcPr>
          <w:p w14:paraId="6D4BFA8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w:t>
            </w:r>
          </w:p>
        </w:tc>
        <w:tc>
          <w:tcPr>
            <w:tcW w:w="211" w:type="dxa"/>
            <w:vAlign w:val="center"/>
            <w:hideMark/>
          </w:tcPr>
          <w:p w14:paraId="16D6AA31"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75B33D3C" w14:textId="77777777" w:rsidTr="00E40575">
        <w:trPr>
          <w:trHeight w:val="316"/>
        </w:trPr>
        <w:tc>
          <w:tcPr>
            <w:tcW w:w="1541" w:type="dxa"/>
            <w:tcBorders>
              <w:top w:val="nil"/>
              <w:left w:val="nil"/>
              <w:bottom w:val="nil"/>
              <w:right w:val="nil"/>
            </w:tcBorders>
            <w:shd w:val="clear" w:color="auto" w:fill="auto"/>
            <w:vAlign w:val="center"/>
            <w:hideMark/>
          </w:tcPr>
          <w:p w14:paraId="2EDA82C1"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Axitinib</w:t>
            </w:r>
            <w:proofErr w:type="spellEnd"/>
          </w:p>
        </w:tc>
        <w:tc>
          <w:tcPr>
            <w:tcW w:w="1671" w:type="dxa"/>
            <w:tcBorders>
              <w:top w:val="nil"/>
              <w:left w:val="nil"/>
              <w:bottom w:val="nil"/>
              <w:right w:val="nil"/>
            </w:tcBorders>
            <w:shd w:val="clear" w:color="auto" w:fill="auto"/>
            <w:vAlign w:val="center"/>
            <w:hideMark/>
          </w:tcPr>
          <w:p w14:paraId="0FD6F3A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444E9A8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 mg, on day4</w:t>
            </w:r>
          </w:p>
        </w:tc>
        <w:tc>
          <w:tcPr>
            <w:tcW w:w="2029" w:type="dxa"/>
            <w:tcBorders>
              <w:top w:val="nil"/>
              <w:left w:val="nil"/>
              <w:bottom w:val="nil"/>
              <w:right w:val="nil"/>
            </w:tcBorders>
            <w:shd w:val="clear" w:color="auto" w:fill="auto"/>
            <w:vAlign w:val="center"/>
            <w:hideMark/>
          </w:tcPr>
          <w:p w14:paraId="168AD163"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2.06(1.84, 2.30)</w:t>
            </w:r>
          </w:p>
        </w:tc>
        <w:tc>
          <w:tcPr>
            <w:tcW w:w="1134" w:type="dxa"/>
            <w:tcBorders>
              <w:top w:val="nil"/>
              <w:left w:val="nil"/>
              <w:bottom w:val="nil"/>
              <w:right w:val="nil"/>
            </w:tcBorders>
            <w:shd w:val="clear" w:color="auto" w:fill="auto"/>
            <w:vAlign w:val="center"/>
            <w:hideMark/>
          </w:tcPr>
          <w:p w14:paraId="668F7A1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S3</w:t>
            </w:r>
          </w:p>
        </w:tc>
        <w:tc>
          <w:tcPr>
            <w:tcW w:w="211" w:type="dxa"/>
            <w:vAlign w:val="center"/>
            <w:hideMark/>
          </w:tcPr>
          <w:p w14:paraId="294C7863"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347ECFA0" w14:textId="77777777" w:rsidTr="00E40575">
        <w:trPr>
          <w:trHeight w:val="316"/>
        </w:trPr>
        <w:tc>
          <w:tcPr>
            <w:tcW w:w="1541" w:type="dxa"/>
            <w:tcBorders>
              <w:top w:val="nil"/>
              <w:left w:val="nil"/>
              <w:bottom w:val="nil"/>
              <w:right w:val="nil"/>
            </w:tcBorders>
            <w:shd w:val="clear" w:color="auto" w:fill="auto"/>
            <w:vAlign w:val="center"/>
            <w:hideMark/>
          </w:tcPr>
          <w:p w14:paraId="78412DB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Baricitinib</w:t>
            </w:r>
          </w:p>
        </w:tc>
        <w:tc>
          <w:tcPr>
            <w:tcW w:w="1671" w:type="dxa"/>
            <w:tcBorders>
              <w:top w:val="nil"/>
              <w:left w:val="nil"/>
              <w:bottom w:val="nil"/>
              <w:right w:val="nil"/>
            </w:tcBorders>
            <w:shd w:val="clear" w:color="auto" w:fill="auto"/>
            <w:vAlign w:val="center"/>
            <w:hideMark/>
          </w:tcPr>
          <w:p w14:paraId="7784B11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388B45F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 mg, day4</w:t>
            </w:r>
          </w:p>
        </w:tc>
        <w:tc>
          <w:tcPr>
            <w:tcW w:w="2029" w:type="dxa"/>
            <w:tcBorders>
              <w:top w:val="nil"/>
              <w:left w:val="nil"/>
              <w:bottom w:val="nil"/>
              <w:right w:val="nil"/>
            </w:tcBorders>
            <w:shd w:val="clear" w:color="auto" w:fill="auto"/>
            <w:vAlign w:val="center"/>
            <w:hideMark/>
          </w:tcPr>
          <w:p w14:paraId="52087AAF"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1.21(1.17, 1.24)</w:t>
            </w:r>
          </w:p>
        </w:tc>
        <w:tc>
          <w:tcPr>
            <w:tcW w:w="1134" w:type="dxa"/>
            <w:tcBorders>
              <w:top w:val="nil"/>
              <w:left w:val="nil"/>
              <w:bottom w:val="nil"/>
              <w:right w:val="nil"/>
            </w:tcBorders>
            <w:shd w:val="clear" w:color="auto" w:fill="auto"/>
            <w:vAlign w:val="center"/>
            <w:hideMark/>
          </w:tcPr>
          <w:p w14:paraId="2A5776E0"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S4</w:t>
            </w:r>
          </w:p>
        </w:tc>
        <w:tc>
          <w:tcPr>
            <w:tcW w:w="211" w:type="dxa"/>
            <w:vAlign w:val="center"/>
            <w:hideMark/>
          </w:tcPr>
          <w:p w14:paraId="7878270B"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6A881340" w14:textId="77777777" w:rsidTr="00E40575">
        <w:trPr>
          <w:trHeight w:val="949"/>
        </w:trPr>
        <w:tc>
          <w:tcPr>
            <w:tcW w:w="1541" w:type="dxa"/>
            <w:tcBorders>
              <w:top w:val="nil"/>
              <w:left w:val="nil"/>
              <w:bottom w:val="nil"/>
              <w:right w:val="nil"/>
            </w:tcBorders>
            <w:shd w:val="clear" w:color="auto" w:fill="auto"/>
            <w:vAlign w:val="center"/>
            <w:hideMark/>
          </w:tcPr>
          <w:p w14:paraId="7FF00610"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Bosutinib</w:t>
            </w:r>
          </w:p>
        </w:tc>
        <w:tc>
          <w:tcPr>
            <w:tcW w:w="1671" w:type="dxa"/>
            <w:tcBorders>
              <w:top w:val="nil"/>
              <w:left w:val="nil"/>
              <w:bottom w:val="nil"/>
              <w:right w:val="nil"/>
            </w:tcBorders>
            <w:shd w:val="clear" w:color="auto" w:fill="auto"/>
            <w:vAlign w:val="center"/>
            <w:hideMark/>
          </w:tcPr>
          <w:p w14:paraId="362584F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 after 12h of the first dose</w:t>
            </w:r>
          </w:p>
        </w:tc>
        <w:tc>
          <w:tcPr>
            <w:tcW w:w="2131" w:type="dxa"/>
            <w:tcBorders>
              <w:top w:val="nil"/>
              <w:left w:val="nil"/>
              <w:bottom w:val="nil"/>
              <w:right w:val="nil"/>
            </w:tcBorders>
            <w:shd w:val="clear" w:color="auto" w:fill="auto"/>
            <w:vAlign w:val="center"/>
            <w:hideMark/>
          </w:tcPr>
          <w:p w14:paraId="586A694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100 mg after 12 h the first dosing</w:t>
            </w:r>
          </w:p>
        </w:tc>
        <w:tc>
          <w:tcPr>
            <w:tcW w:w="2029" w:type="dxa"/>
            <w:tcBorders>
              <w:top w:val="nil"/>
              <w:left w:val="nil"/>
              <w:bottom w:val="nil"/>
              <w:right w:val="nil"/>
            </w:tcBorders>
            <w:shd w:val="clear" w:color="auto" w:fill="auto"/>
            <w:vAlign w:val="center"/>
            <w:hideMark/>
          </w:tcPr>
          <w:p w14:paraId="055553B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7.55(6.42, 8.88)</w:t>
            </w:r>
          </w:p>
        </w:tc>
        <w:tc>
          <w:tcPr>
            <w:tcW w:w="1134" w:type="dxa"/>
            <w:tcBorders>
              <w:top w:val="nil"/>
              <w:left w:val="nil"/>
              <w:bottom w:val="nil"/>
              <w:right w:val="nil"/>
            </w:tcBorders>
            <w:shd w:val="clear" w:color="auto" w:fill="auto"/>
            <w:vAlign w:val="center"/>
            <w:hideMark/>
          </w:tcPr>
          <w:p w14:paraId="357A1AB4"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S5</w:t>
            </w:r>
          </w:p>
        </w:tc>
        <w:tc>
          <w:tcPr>
            <w:tcW w:w="211" w:type="dxa"/>
            <w:vAlign w:val="center"/>
            <w:hideMark/>
          </w:tcPr>
          <w:p w14:paraId="285F4934"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305E5128" w14:textId="77777777" w:rsidTr="00E40575">
        <w:trPr>
          <w:trHeight w:val="316"/>
        </w:trPr>
        <w:tc>
          <w:tcPr>
            <w:tcW w:w="1541" w:type="dxa"/>
            <w:tcBorders>
              <w:top w:val="nil"/>
              <w:left w:val="nil"/>
              <w:bottom w:val="nil"/>
              <w:right w:val="nil"/>
            </w:tcBorders>
            <w:shd w:val="clear" w:color="auto" w:fill="auto"/>
            <w:vAlign w:val="center"/>
            <w:hideMark/>
          </w:tcPr>
          <w:p w14:paraId="01576368"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Crizotinib</w:t>
            </w:r>
            <w:proofErr w:type="spellEnd"/>
          </w:p>
        </w:tc>
        <w:tc>
          <w:tcPr>
            <w:tcW w:w="1671" w:type="dxa"/>
            <w:tcBorders>
              <w:top w:val="nil"/>
              <w:left w:val="nil"/>
              <w:bottom w:val="nil"/>
              <w:right w:val="nil"/>
            </w:tcBorders>
            <w:shd w:val="clear" w:color="auto" w:fill="auto"/>
            <w:vAlign w:val="center"/>
            <w:hideMark/>
          </w:tcPr>
          <w:p w14:paraId="108D488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mg, BID</w:t>
            </w:r>
          </w:p>
        </w:tc>
        <w:tc>
          <w:tcPr>
            <w:tcW w:w="2131" w:type="dxa"/>
            <w:tcBorders>
              <w:top w:val="nil"/>
              <w:left w:val="nil"/>
              <w:bottom w:val="nil"/>
              <w:right w:val="nil"/>
            </w:tcBorders>
            <w:shd w:val="clear" w:color="auto" w:fill="auto"/>
            <w:vAlign w:val="center"/>
            <w:hideMark/>
          </w:tcPr>
          <w:p w14:paraId="1723276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150 mg on day4</w:t>
            </w:r>
          </w:p>
        </w:tc>
        <w:tc>
          <w:tcPr>
            <w:tcW w:w="2029" w:type="dxa"/>
            <w:tcBorders>
              <w:top w:val="nil"/>
              <w:left w:val="nil"/>
              <w:bottom w:val="nil"/>
              <w:right w:val="nil"/>
            </w:tcBorders>
            <w:shd w:val="clear" w:color="auto" w:fill="auto"/>
            <w:vAlign w:val="center"/>
            <w:hideMark/>
          </w:tcPr>
          <w:p w14:paraId="3AAC462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 xml:space="preserve">3.16(2.86, 3.50) </w:t>
            </w:r>
          </w:p>
        </w:tc>
        <w:tc>
          <w:tcPr>
            <w:tcW w:w="1134" w:type="dxa"/>
            <w:tcBorders>
              <w:top w:val="nil"/>
              <w:left w:val="nil"/>
              <w:bottom w:val="nil"/>
              <w:right w:val="nil"/>
            </w:tcBorders>
            <w:shd w:val="clear" w:color="auto" w:fill="auto"/>
            <w:vAlign w:val="center"/>
            <w:hideMark/>
          </w:tcPr>
          <w:p w14:paraId="7E0CBF5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S6</w:t>
            </w:r>
          </w:p>
        </w:tc>
        <w:tc>
          <w:tcPr>
            <w:tcW w:w="211" w:type="dxa"/>
            <w:vAlign w:val="center"/>
            <w:hideMark/>
          </w:tcPr>
          <w:p w14:paraId="4A155B59"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67DC0D8F" w14:textId="77777777" w:rsidTr="00E40575">
        <w:trPr>
          <w:trHeight w:val="316"/>
        </w:trPr>
        <w:tc>
          <w:tcPr>
            <w:tcW w:w="1541" w:type="dxa"/>
            <w:tcBorders>
              <w:top w:val="nil"/>
              <w:left w:val="nil"/>
              <w:bottom w:val="nil"/>
              <w:right w:val="nil"/>
            </w:tcBorders>
            <w:shd w:val="clear" w:color="auto" w:fill="auto"/>
            <w:vAlign w:val="center"/>
            <w:hideMark/>
          </w:tcPr>
          <w:p w14:paraId="2D5C2D9F"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Edoxaban</w:t>
            </w:r>
            <w:proofErr w:type="spellEnd"/>
          </w:p>
        </w:tc>
        <w:tc>
          <w:tcPr>
            <w:tcW w:w="1671" w:type="dxa"/>
            <w:tcBorders>
              <w:top w:val="nil"/>
              <w:left w:val="nil"/>
              <w:bottom w:val="nil"/>
              <w:right w:val="nil"/>
            </w:tcBorders>
            <w:shd w:val="clear" w:color="auto" w:fill="auto"/>
            <w:vAlign w:val="center"/>
            <w:hideMark/>
          </w:tcPr>
          <w:p w14:paraId="444EE82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400mg, QD</w:t>
            </w:r>
          </w:p>
        </w:tc>
        <w:tc>
          <w:tcPr>
            <w:tcW w:w="2131" w:type="dxa"/>
            <w:tcBorders>
              <w:top w:val="nil"/>
              <w:left w:val="nil"/>
              <w:bottom w:val="nil"/>
              <w:right w:val="nil"/>
            </w:tcBorders>
            <w:shd w:val="clear" w:color="auto" w:fill="auto"/>
            <w:vAlign w:val="center"/>
            <w:hideMark/>
          </w:tcPr>
          <w:p w14:paraId="222E0820"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60 mg, on day4</w:t>
            </w:r>
          </w:p>
        </w:tc>
        <w:tc>
          <w:tcPr>
            <w:tcW w:w="2029" w:type="dxa"/>
            <w:tcBorders>
              <w:top w:val="nil"/>
              <w:left w:val="nil"/>
              <w:bottom w:val="nil"/>
              <w:right w:val="nil"/>
            </w:tcBorders>
            <w:shd w:val="clear" w:color="auto" w:fill="auto"/>
            <w:vAlign w:val="center"/>
            <w:hideMark/>
          </w:tcPr>
          <w:p w14:paraId="5AFA7E2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1.87(1.76, 1.98)</w:t>
            </w:r>
          </w:p>
        </w:tc>
        <w:tc>
          <w:tcPr>
            <w:tcW w:w="1134" w:type="dxa"/>
            <w:tcBorders>
              <w:top w:val="nil"/>
              <w:left w:val="nil"/>
              <w:bottom w:val="nil"/>
              <w:right w:val="nil"/>
            </w:tcBorders>
            <w:shd w:val="clear" w:color="auto" w:fill="auto"/>
            <w:vAlign w:val="center"/>
            <w:hideMark/>
          </w:tcPr>
          <w:p w14:paraId="56C77A49"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S7</w:t>
            </w:r>
          </w:p>
        </w:tc>
        <w:tc>
          <w:tcPr>
            <w:tcW w:w="211" w:type="dxa"/>
            <w:vAlign w:val="center"/>
            <w:hideMark/>
          </w:tcPr>
          <w:p w14:paraId="3DAB189D"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36924DE8" w14:textId="77777777" w:rsidTr="00E40575">
        <w:trPr>
          <w:trHeight w:val="316"/>
        </w:trPr>
        <w:tc>
          <w:tcPr>
            <w:tcW w:w="1541" w:type="dxa"/>
            <w:tcBorders>
              <w:top w:val="nil"/>
              <w:left w:val="nil"/>
              <w:bottom w:val="nil"/>
              <w:right w:val="nil"/>
            </w:tcBorders>
            <w:shd w:val="clear" w:color="auto" w:fill="auto"/>
            <w:vAlign w:val="center"/>
            <w:hideMark/>
          </w:tcPr>
          <w:p w14:paraId="00010E94"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Elagolix</w:t>
            </w:r>
            <w:proofErr w:type="spellEnd"/>
          </w:p>
        </w:tc>
        <w:tc>
          <w:tcPr>
            <w:tcW w:w="1671" w:type="dxa"/>
            <w:tcBorders>
              <w:top w:val="nil"/>
              <w:left w:val="nil"/>
              <w:bottom w:val="nil"/>
              <w:right w:val="nil"/>
            </w:tcBorders>
            <w:shd w:val="clear" w:color="auto" w:fill="auto"/>
            <w:vAlign w:val="center"/>
            <w:hideMark/>
          </w:tcPr>
          <w:p w14:paraId="4398FF42"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400mg, QD</w:t>
            </w:r>
          </w:p>
        </w:tc>
        <w:tc>
          <w:tcPr>
            <w:tcW w:w="2131" w:type="dxa"/>
            <w:tcBorders>
              <w:top w:val="nil"/>
              <w:left w:val="nil"/>
              <w:bottom w:val="nil"/>
              <w:right w:val="nil"/>
            </w:tcBorders>
            <w:shd w:val="clear" w:color="auto" w:fill="auto"/>
            <w:vAlign w:val="center"/>
            <w:hideMark/>
          </w:tcPr>
          <w:p w14:paraId="5F85695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150 mg on day4</w:t>
            </w:r>
          </w:p>
        </w:tc>
        <w:tc>
          <w:tcPr>
            <w:tcW w:w="2029" w:type="dxa"/>
            <w:tcBorders>
              <w:top w:val="nil"/>
              <w:left w:val="nil"/>
              <w:bottom w:val="nil"/>
              <w:right w:val="nil"/>
            </w:tcBorders>
            <w:shd w:val="clear" w:color="auto" w:fill="auto"/>
            <w:vAlign w:val="center"/>
            <w:hideMark/>
          </w:tcPr>
          <w:p w14:paraId="1C27C2B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2.20(1.98, 2.44)</w:t>
            </w:r>
          </w:p>
        </w:tc>
        <w:tc>
          <w:tcPr>
            <w:tcW w:w="1134" w:type="dxa"/>
            <w:tcBorders>
              <w:top w:val="nil"/>
              <w:left w:val="nil"/>
              <w:bottom w:val="nil"/>
              <w:right w:val="nil"/>
            </w:tcBorders>
            <w:shd w:val="clear" w:color="auto" w:fill="auto"/>
            <w:vAlign w:val="center"/>
            <w:hideMark/>
          </w:tcPr>
          <w:p w14:paraId="3C65CD9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S8</w:t>
            </w:r>
          </w:p>
        </w:tc>
        <w:tc>
          <w:tcPr>
            <w:tcW w:w="211" w:type="dxa"/>
            <w:vAlign w:val="center"/>
            <w:hideMark/>
          </w:tcPr>
          <w:p w14:paraId="288CA492"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23FC4CDD" w14:textId="77777777" w:rsidTr="00E40575">
        <w:trPr>
          <w:trHeight w:val="316"/>
        </w:trPr>
        <w:tc>
          <w:tcPr>
            <w:tcW w:w="1541" w:type="dxa"/>
            <w:tcBorders>
              <w:top w:val="nil"/>
              <w:left w:val="nil"/>
              <w:bottom w:val="nil"/>
              <w:right w:val="nil"/>
            </w:tcBorders>
            <w:shd w:val="clear" w:color="auto" w:fill="auto"/>
            <w:vAlign w:val="center"/>
            <w:hideMark/>
          </w:tcPr>
          <w:p w14:paraId="25C38118"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lastRenderedPageBreak/>
              <w:t>Fedratinib</w:t>
            </w:r>
            <w:proofErr w:type="spellEnd"/>
          </w:p>
        </w:tc>
        <w:tc>
          <w:tcPr>
            <w:tcW w:w="1671" w:type="dxa"/>
            <w:tcBorders>
              <w:top w:val="nil"/>
              <w:left w:val="nil"/>
              <w:bottom w:val="nil"/>
              <w:right w:val="nil"/>
            </w:tcBorders>
            <w:shd w:val="clear" w:color="auto" w:fill="auto"/>
            <w:vAlign w:val="center"/>
            <w:hideMark/>
          </w:tcPr>
          <w:p w14:paraId="583C37F4"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BID</w:t>
            </w:r>
          </w:p>
        </w:tc>
        <w:tc>
          <w:tcPr>
            <w:tcW w:w="2131" w:type="dxa"/>
            <w:tcBorders>
              <w:top w:val="nil"/>
              <w:left w:val="nil"/>
              <w:bottom w:val="nil"/>
              <w:right w:val="nil"/>
            </w:tcBorders>
            <w:shd w:val="clear" w:color="auto" w:fill="auto"/>
            <w:vAlign w:val="center"/>
            <w:hideMark/>
          </w:tcPr>
          <w:p w14:paraId="193B7B5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50 mg, on day6</w:t>
            </w:r>
          </w:p>
        </w:tc>
        <w:tc>
          <w:tcPr>
            <w:tcW w:w="2029" w:type="dxa"/>
            <w:tcBorders>
              <w:top w:val="nil"/>
              <w:left w:val="nil"/>
              <w:bottom w:val="nil"/>
              <w:right w:val="nil"/>
            </w:tcBorders>
            <w:shd w:val="clear" w:color="auto" w:fill="auto"/>
            <w:vAlign w:val="center"/>
            <w:hideMark/>
          </w:tcPr>
          <w:p w14:paraId="19F84B9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3.85(2.89, 5.12)</w:t>
            </w:r>
          </w:p>
        </w:tc>
        <w:tc>
          <w:tcPr>
            <w:tcW w:w="1134" w:type="dxa"/>
            <w:tcBorders>
              <w:top w:val="nil"/>
              <w:left w:val="nil"/>
              <w:bottom w:val="nil"/>
              <w:right w:val="nil"/>
            </w:tcBorders>
            <w:shd w:val="clear" w:color="auto" w:fill="auto"/>
            <w:vAlign w:val="center"/>
            <w:hideMark/>
          </w:tcPr>
          <w:p w14:paraId="6578D18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S9</w:t>
            </w:r>
          </w:p>
        </w:tc>
        <w:tc>
          <w:tcPr>
            <w:tcW w:w="211" w:type="dxa"/>
            <w:vAlign w:val="center"/>
            <w:hideMark/>
          </w:tcPr>
          <w:p w14:paraId="670ACA35"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5580AFC5" w14:textId="77777777" w:rsidTr="00E40575">
        <w:trPr>
          <w:trHeight w:val="633"/>
        </w:trPr>
        <w:tc>
          <w:tcPr>
            <w:tcW w:w="1541" w:type="dxa"/>
            <w:tcBorders>
              <w:top w:val="nil"/>
              <w:left w:val="nil"/>
              <w:bottom w:val="nil"/>
              <w:right w:val="nil"/>
            </w:tcBorders>
            <w:shd w:val="clear" w:color="auto" w:fill="auto"/>
            <w:vAlign w:val="center"/>
            <w:hideMark/>
          </w:tcPr>
          <w:p w14:paraId="211D8C8F"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Flibanserin</w:t>
            </w:r>
            <w:proofErr w:type="spellEnd"/>
          </w:p>
        </w:tc>
        <w:tc>
          <w:tcPr>
            <w:tcW w:w="1671" w:type="dxa"/>
            <w:tcBorders>
              <w:top w:val="nil"/>
              <w:left w:val="nil"/>
              <w:bottom w:val="nil"/>
              <w:right w:val="nil"/>
            </w:tcBorders>
            <w:shd w:val="clear" w:color="auto" w:fill="auto"/>
            <w:vAlign w:val="center"/>
            <w:hideMark/>
          </w:tcPr>
          <w:p w14:paraId="05A60E5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 day1~day5</w:t>
            </w:r>
          </w:p>
        </w:tc>
        <w:tc>
          <w:tcPr>
            <w:tcW w:w="2131" w:type="dxa"/>
            <w:tcBorders>
              <w:top w:val="nil"/>
              <w:left w:val="nil"/>
              <w:bottom w:val="nil"/>
              <w:right w:val="nil"/>
            </w:tcBorders>
            <w:shd w:val="clear" w:color="auto" w:fill="auto"/>
            <w:vAlign w:val="center"/>
            <w:hideMark/>
          </w:tcPr>
          <w:p w14:paraId="4E81B30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50 mg, on day5</w:t>
            </w:r>
          </w:p>
        </w:tc>
        <w:tc>
          <w:tcPr>
            <w:tcW w:w="2029" w:type="dxa"/>
            <w:tcBorders>
              <w:top w:val="nil"/>
              <w:left w:val="nil"/>
              <w:bottom w:val="nil"/>
              <w:right w:val="nil"/>
            </w:tcBorders>
            <w:shd w:val="clear" w:color="auto" w:fill="auto"/>
            <w:vAlign w:val="center"/>
            <w:hideMark/>
          </w:tcPr>
          <w:p w14:paraId="60BE7BB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4.5</w:t>
            </w:r>
          </w:p>
        </w:tc>
        <w:tc>
          <w:tcPr>
            <w:tcW w:w="1134" w:type="dxa"/>
            <w:tcBorders>
              <w:top w:val="nil"/>
              <w:left w:val="nil"/>
              <w:bottom w:val="nil"/>
              <w:right w:val="nil"/>
            </w:tcBorders>
            <w:shd w:val="clear" w:color="auto" w:fill="auto"/>
            <w:vAlign w:val="center"/>
            <w:hideMark/>
          </w:tcPr>
          <w:p w14:paraId="069E248F"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S10</w:t>
            </w:r>
          </w:p>
        </w:tc>
        <w:tc>
          <w:tcPr>
            <w:tcW w:w="211" w:type="dxa"/>
            <w:vAlign w:val="center"/>
            <w:hideMark/>
          </w:tcPr>
          <w:p w14:paraId="7BED3113"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477295E7" w14:textId="77777777" w:rsidTr="00E40575">
        <w:trPr>
          <w:trHeight w:val="316"/>
        </w:trPr>
        <w:tc>
          <w:tcPr>
            <w:tcW w:w="1541" w:type="dxa"/>
            <w:tcBorders>
              <w:top w:val="nil"/>
              <w:left w:val="nil"/>
              <w:bottom w:val="nil"/>
              <w:right w:val="nil"/>
            </w:tcBorders>
            <w:shd w:val="clear" w:color="auto" w:fill="auto"/>
            <w:vAlign w:val="center"/>
            <w:hideMark/>
          </w:tcPr>
          <w:p w14:paraId="44E3FAC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Fostamatinib</w:t>
            </w:r>
          </w:p>
        </w:tc>
        <w:tc>
          <w:tcPr>
            <w:tcW w:w="1671" w:type="dxa"/>
            <w:tcBorders>
              <w:top w:val="nil"/>
              <w:left w:val="nil"/>
              <w:bottom w:val="nil"/>
              <w:right w:val="nil"/>
            </w:tcBorders>
            <w:shd w:val="clear" w:color="auto" w:fill="auto"/>
            <w:vAlign w:val="center"/>
            <w:hideMark/>
          </w:tcPr>
          <w:p w14:paraId="791942F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200mg, BID</w:t>
            </w:r>
          </w:p>
        </w:tc>
        <w:tc>
          <w:tcPr>
            <w:tcW w:w="2131" w:type="dxa"/>
            <w:tcBorders>
              <w:top w:val="nil"/>
              <w:left w:val="nil"/>
              <w:bottom w:val="nil"/>
              <w:right w:val="nil"/>
            </w:tcBorders>
            <w:shd w:val="clear" w:color="auto" w:fill="auto"/>
            <w:vAlign w:val="center"/>
            <w:hideMark/>
          </w:tcPr>
          <w:p w14:paraId="592AFC4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80 mg, on day 2</w:t>
            </w:r>
          </w:p>
        </w:tc>
        <w:tc>
          <w:tcPr>
            <w:tcW w:w="2029" w:type="dxa"/>
            <w:tcBorders>
              <w:top w:val="nil"/>
              <w:left w:val="nil"/>
              <w:bottom w:val="nil"/>
              <w:right w:val="nil"/>
            </w:tcBorders>
            <w:shd w:val="clear" w:color="auto" w:fill="auto"/>
            <w:vAlign w:val="center"/>
            <w:hideMark/>
          </w:tcPr>
          <w:p w14:paraId="611D4E6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2.02(1.77, 2.30)</w:t>
            </w:r>
          </w:p>
        </w:tc>
        <w:tc>
          <w:tcPr>
            <w:tcW w:w="1134" w:type="dxa"/>
            <w:tcBorders>
              <w:top w:val="nil"/>
              <w:left w:val="nil"/>
              <w:bottom w:val="nil"/>
              <w:right w:val="nil"/>
            </w:tcBorders>
            <w:shd w:val="clear" w:color="auto" w:fill="auto"/>
            <w:vAlign w:val="center"/>
            <w:hideMark/>
          </w:tcPr>
          <w:p w14:paraId="3C5626C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S11</w:t>
            </w:r>
          </w:p>
        </w:tc>
        <w:tc>
          <w:tcPr>
            <w:tcW w:w="211" w:type="dxa"/>
            <w:vAlign w:val="center"/>
            <w:hideMark/>
          </w:tcPr>
          <w:p w14:paraId="501B6EB2"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5A022FEB" w14:textId="77777777" w:rsidTr="00E40575">
        <w:trPr>
          <w:trHeight w:val="633"/>
        </w:trPr>
        <w:tc>
          <w:tcPr>
            <w:tcW w:w="1541" w:type="dxa"/>
            <w:tcBorders>
              <w:top w:val="nil"/>
              <w:left w:val="nil"/>
              <w:bottom w:val="nil"/>
              <w:right w:val="nil"/>
            </w:tcBorders>
            <w:shd w:val="clear" w:color="auto" w:fill="auto"/>
            <w:vAlign w:val="center"/>
            <w:hideMark/>
          </w:tcPr>
          <w:p w14:paraId="11EDA6B2"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Ibrutinib</w:t>
            </w:r>
          </w:p>
        </w:tc>
        <w:tc>
          <w:tcPr>
            <w:tcW w:w="1671" w:type="dxa"/>
            <w:tcBorders>
              <w:top w:val="nil"/>
              <w:left w:val="nil"/>
              <w:bottom w:val="nil"/>
              <w:right w:val="nil"/>
            </w:tcBorders>
            <w:shd w:val="clear" w:color="auto" w:fill="auto"/>
            <w:vAlign w:val="center"/>
            <w:hideMark/>
          </w:tcPr>
          <w:p w14:paraId="6520C41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350FA6D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 mg on day4, 1h post dose.</w:t>
            </w:r>
          </w:p>
        </w:tc>
        <w:tc>
          <w:tcPr>
            <w:tcW w:w="2029" w:type="dxa"/>
            <w:tcBorders>
              <w:top w:val="nil"/>
              <w:left w:val="nil"/>
              <w:bottom w:val="nil"/>
              <w:right w:val="nil"/>
            </w:tcBorders>
            <w:shd w:val="clear" w:color="auto" w:fill="auto"/>
            <w:vAlign w:val="center"/>
            <w:hideMark/>
          </w:tcPr>
          <w:p w14:paraId="34810D1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26.2(20.0, 34.4)</w:t>
            </w:r>
          </w:p>
        </w:tc>
        <w:tc>
          <w:tcPr>
            <w:tcW w:w="1134" w:type="dxa"/>
            <w:tcBorders>
              <w:top w:val="nil"/>
              <w:left w:val="nil"/>
              <w:bottom w:val="nil"/>
              <w:right w:val="nil"/>
            </w:tcBorders>
            <w:shd w:val="clear" w:color="auto" w:fill="auto"/>
            <w:vAlign w:val="center"/>
            <w:hideMark/>
          </w:tcPr>
          <w:p w14:paraId="55E08DB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S12</w:t>
            </w:r>
          </w:p>
        </w:tc>
        <w:tc>
          <w:tcPr>
            <w:tcW w:w="211" w:type="dxa"/>
            <w:vAlign w:val="center"/>
            <w:hideMark/>
          </w:tcPr>
          <w:p w14:paraId="22A97535"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1695D84A" w14:textId="77777777" w:rsidTr="00E40575">
        <w:trPr>
          <w:trHeight w:val="316"/>
        </w:trPr>
        <w:tc>
          <w:tcPr>
            <w:tcW w:w="1541" w:type="dxa"/>
            <w:tcBorders>
              <w:top w:val="nil"/>
              <w:left w:val="nil"/>
              <w:bottom w:val="nil"/>
              <w:right w:val="nil"/>
            </w:tcBorders>
            <w:shd w:val="clear" w:color="auto" w:fill="auto"/>
            <w:vAlign w:val="center"/>
            <w:hideMark/>
          </w:tcPr>
          <w:p w14:paraId="20F53705"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Istradefylline</w:t>
            </w:r>
            <w:proofErr w:type="spellEnd"/>
            <w:r w:rsidRPr="00E7517C">
              <w:rPr>
                <w:rFonts w:ascii="Times New Roman" w:eastAsia="等线" w:hAnsi="Times New Roman" w:cs="Times New Roman"/>
                <w:color w:val="000000"/>
                <w:kern w:val="0"/>
                <w:szCs w:val="21"/>
              </w:rPr>
              <w:t xml:space="preserve"> </w:t>
            </w:r>
          </w:p>
        </w:tc>
        <w:tc>
          <w:tcPr>
            <w:tcW w:w="1671" w:type="dxa"/>
            <w:tcBorders>
              <w:top w:val="nil"/>
              <w:left w:val="nil"/>
              <w:bottom w:val="nil"/>
              <w:right w:val="nil"/>
            </w:tcBorders>
            <w:shd w:val="clear" w:color="auto" w:fill="auto"/>
            <w:vAlign w:val="center"/>
            <w:hideMark/>
          </w:tcPr>
          <w:p w14:paraId="7A4C7CD3"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BID</w:t>
            </w:r>
          </w:p>
        </w:tc>
        <w:tc>
          <w:tcPr>
            <w:tcW w:w="2131" w:type="dxa"/>
            <w:tcBorders>
              <w:top w:val="nil"/>
              <w:left w:val="nil"/>
              <w:bottom w:val="nil"/>
              <w:right w:val="nil"/>
            </w:tcBorders>
            <w:shd w:val="clear" w:color="auto" w:fill="auto"/>
            <w:vAlign w:val="center"/>
            <w:hideMark/>
          </w:tcPr>
          <w:p w14:paraId="635DABD4"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 mg on day4</w:t>
            </w:r>
          </w:p>
        </w:tc>
        <w:tc>
          <w:tcPr>
            <w:tcW w:w="2029" w:type="dxa"/>
            <w:tcBorders>
              <w:top w:val="nil"/>
              <w:left w:val="nil"/>
              <w:bottom w:val="nil"/>
              <w:right w:val="nil"/>
            </w:tcBorders>
            <w:shd w:val="clear" w:color="auto" w:fill="auto"/>
            <w:vAlign w:val="center"/>
            <w:hideMark/>
          </w:tcPr>
          <w:p w14:paraId="1B95C38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2.47(1.92, 3.18)</w:t>
            </w:r>
          </w:p>
        </w:tc>
        <w:tc>
          <w:tcPr>
            <w:tcW w:w="1134" w:type="dxa"/>
            <w:tcBorders>
              <w:top w:val="nil"/>
              <w:left w:val="nil"/>
              <w:bottom w:val="nil"/>
              <w:right w:val="nil"/>
            </w:tcBorders>
            <w:shd w:val="clear" w:color="auto" w:fill="auto"/>
            <w:vAlign w:val="center"/>
            <w:hideMark/>
          </w:tcPr>
          <w:p w14:paraId="5B7BC26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S13</w:t>
            </w:r>
          </w:p>
        </w:tc>
        <w:tc>
          <w:tcPr>
            <w:tcW w:w="211" w:type="dxa"/>
            <w:vAlign w:val="center"/>
            <w:hideMark/>
          </w:tcPr>
          <w:p w14:paraId="35DDBC84"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78FC738F" w14:textId="77777777" w:rsidTr="00E40575">
        <w:trPr>
          <w:trHeight w:val="316"/>
        </w:trPr>
        <w:tc>
          <w:tcPr>
            <w:tcW w:w="1541" w:type="dxa"/>
            <w:tcBorders>
              <w:top w:val="nil"/>
              <w:left w:val="nil"/>
              <w:bottom w:val="nil"/>
              <w:right w:val="nil"/>
            </w:tcBorders>
            <w:shd w:val="clear" w:color="auto" w:fill="auto"/>
            <w:vAlign w:val="center"/>
            <w:hideMark/>
          </w:tcPr>
          <w:p w14:paraId="0D975B8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Lenvatinib</w:t>
            </w:r>
          </w:p>
        </w:tc>
        <w:tc>
          <w:tcPr>
            <w:tcW w:w="1671" w:type="dxa"/>
            <w:tcBorders>
              <w:top w:val="nil"/>
              <w:left w:val="nil"/>
              <w:bottom w:val="nil"/>
              <w:right w:val="nil"/>
            </w:tcBorders>
            <w:shd w:val="clear" w:color="auto" w:fill="auto"/>
            <w:vAlign w:val="center"/>
            <w:hideMark/>
          </w:tcPr>
          <w:p w14:paraId="029F69A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400mg, QD</w:t>
            </w:r>
          </w:p>
        </w:tc>
        <w:tc>
          <w:tcPr>
            <w:tcW w:w="2131" w:type="dxa"/>
            <w:tcBorders>
              <w:top w:val="nil"/>
              <w:left w:val="nil"/>
              <w:bottom w:val="nil"/>
              <w:right w:val="nil"/>
            </w:tcBorders>
            <w:shd w:val="clear" w:color="auto" w:fill="auto"/>
            <w:vAlign w:val="center"/>
            <w:hideMark/>
          </w:tcPr>
          <w:p w14:paraId="38A48E5F"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 mg, on day5</w:t>
            </w:r>
          </w:p>
        </w:tc>
        <w:tc>
          <w:tcPr>
            <w:tcW w:w="2029" w:type="dxa"/>
            <w:tcBorders>
              <w:top w:val="nil"/>
              <w:left w:val="nil"/>
              <w:bottom w:val="nil"/>
              <w:right w:val="nil"/>
            </w:tcBorders>
            <w:shd w:val="clear" w:color="auto" w:fill="auto"/>
            <w:vAlign w:val="center"/>
            <w:hideMark/>
          </w:tcPr>
          <w:p w14:paraId="1BF6AB8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1.15(1.08, 1.21)</w:t>
            </w:r>
          </w:p>
        </w:tc>
        <w:tc>
          <w:tcPr>
            <w:tcW w:w="1134" w:type="dxa"/>
            <w:tcBorders>
              <w:top w:val="nil"/>
              <w:left w:val="nil"/>
              <w:bottom w:val="nil"/>
              <w:right w:val="nil"/>
            </w:tcBorders>
            <w:shd w:val="clear" w:color="auto" w:fill="auto"/>
            <w:vAlign w:val="center"/>
            <w:hideMark/>
          </w:tcPr>
          <w:p w14:paraId="611F42C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S14</w:t>
            </w:r>
          </w:p>
        </w:tc>
        <w:tc>
          <w:tcPr>
            <w:tcW w:w="211" w:type="dxa"/>
            <w:vAlign w:val="center"/>
            <w:hideMark/>
          </w:tcPr>
          <w:p w14:paraId="07523D0B"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3FA10F9E" w14:textId="77777777" w:rsidTr="00E40575">
        <w:trPr>
          <w:trHeight w:val="316"/>
        </w:trPr>
        <w:tc>
          <w:tcPr>
            <w:tcW w:w="1541" w:type="dxa"/>
            <w:tcBorders>
              <w:top w:val="nil"/>
              <w:left w:val="nil"/>
              <w:bottom w:val="nil"/>
              <w:right w:val="nil"/>
            </w:tcBorders>
            <w:shd w:val="clear" w:color="auto" w:fill="auto"/>
            <w:vAlign w:val="center"/>
            <w:hideMark/>
          </w:tcPr>
          <w:p w14:paraId="07EA275E"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Macitentan</w:t>
            </w:r>
            <w:proofErr w:type="spellEnd"/>
          </w:p>
        </w:tc>
        <w:tc>
          <w:tcPr>
            <w:tcW w:w="1671" w:type="dxa"/>
            <w:tcBorders>
              <w:top w:val="nil"/>
              <w:left w:val="nil"/>
              <w:bottom w:val="nil"/>
              <w:right w:val="nil"/>
            </w:tcBorders>
            <w:shd w:val="clear" w:color="auto" w:fill="auto"/>
            <w:vAlign w:val="center"/>
            <w:hideMark/>
          </w:tcPr>
          <w:p w14:paraId="3CF502B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1E75D77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 mg on day5</w:t>
            </w:r>
          </w:p>
        </w:tc>
        <w:tc>
          <w:tcPr>
            <w:tcW w:w="2029" w:type="dxa"/>
            <w:tcBorders>
              <w:top w:val="nil"/>
              <w:left w:val="nil"/>
              <w:bottom w:val="nil"/>
              <w:right w:val="nil"/>
            </w:tcBorders>
            <w:shd w:val="clear" w:color="auto" w:fill="auto"/>
            <w:vAlign w:val="center"/>
            <w:hideMark/>
          </w:tcPr>
          <w:p w14:paraId="29D881F2"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2.30(2.10, 2.50)</w:t>
            </w:r>
          </w:p>
        </w:tc>
        <w:tc>
          <w:tcPr>
            <w:tcW w:w="1134" w:type="dxa"/>
            <w:tcBorders>
              <w:top w:val="nil"/>
              <w:left w:val="nil"/>
              <w:bottom w:val="nil"/>
              <w:right w:val="nil"/>
            </w:tcBorders>
            <w:shd w:val="clear" w:color="auto" w:fill="auto"/>
            <w:vAlign w:val="center"/>
            <w:hideMark/>
          </w:tcPr>
          <w:p w14:paraId="71FDE8D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S15</w:t>
            </w:r>
          </w:p>
        </w:tc>
        <w:tc>
          <w:tcPr>
            <w:tcW w:w="211" w:type="dxa"/>
            <w:vAlign w:val="center"/>
            <w:hideMark/>
          </w:tcPr>
          <w:p w14:paraId="34DA8EB2"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44EB2437" w14:textId="77777777" w:rsidTr="00E40575">
        <w:trPr>
          <w:trHeight w:val="633"/>
        </w:trPr>
        <w:tc>
          <w:tcPr>
            <w:tcW w:w="1541" w:type="dxa"/>
            <w:tcBorders>
              <w:top w:val="nil"/>
              <w:left w:val="nil"/>
              <w:bottom w:val="nil"/>
              <w:right w:val="nil"/>
            </w:tcBorders>
            <w:shd w:val="clear" w:color="auto" w:fill="auto"/>
            <w:vAlign w:val="center"/>
            <w:hideMark/>
          </w:tcPr>
          <w:p w14:paraId="20E0E8C8"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Nintedanib</w:t>
            </w:r>
            <w:proofErr w:type="spellEnd"/>
          </w:p>
        </w:tc>
        <w:tc>
          <w:tcPr>
            <w:tcW w:w="1671" w:type="dxa"/>
            <w:tcBorders>
              <w:top w:val="nil"/>
              <w:left w:val="nil"/>
              <w:bottom w:val="nil"/>
              <w:right w:val="nil"/>
            </w:tcBorders>
            <w:shd w:val="clear" w:color="auto" w:fill="auto"/>
            <w:vAlign w:val="center"/>
            <w:hideMark/>
          </w:tcPr>
          <w:p w14:paraId="6F4F05F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 xml:space="preserve">400 mg, QD, </w:t>
            </w:r>
            <w:proofErr w:type="gramStart"/>
            <w:r w:rsidRPr="00E7517C">
              <w:rPr>
                <w:rFonts w:ascii="Times New Roman" w:eastAsia="等线" w:hAnsi="Times New Roman" w:cs="Times New Roman"/>
                <w:color w:val="000000"/>
                <w:kern w:val="0"/>
                <w:szCs w:val="21"/>
              </w:rPr>
              <w:t>day-2</w:t>
            </w:r>
            <w:proofErr w:type="gramEnd"/>
            <w:r w:rsidRPr="00E7517C">
              <w:rPr>
                <w:rFonts w:ascii="Times New Roman" w:eastAsia="等线" w:hAnsi="Times New Roman" w:cs="Times New Roman"/>
                <w:color w:val="000000"/>
                <w:kern w:val="0"/>
                <w:szCs w:val="21"/>
              </w:rPr>
              <w:t>~day1</w:t>
            </w:r>
          </w:p>
        </w:tc>
        <w:tc>
          <w:tcPr>
            <w:tcW w:w="2131" w:type="dxa"/>
            <w:tcBorders>
              <w:top w:val="nil"/>
              <w:left w:val="nil"/>
              <w:bottom w:val="nil"/>
              <w:right w:val="nil"/>
            </w:tcBorders>
            <w:shd w:val="clear" w:color="auto" w:fill="auto"/>
            <w:vAlign w:val="center"/>
            <w:hideMark/>
          </w:tcPr>
          <w:p w14:paraId="45A4AF3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50 mg, 1h after last dosing on day1</w:t>
            </w:r>
          </w:p>
        </w:tc>
        <w:tc>
          <w:tcPr>
            <w:tcW w:w="2029" w:type="dxa"/>
            <w:tcBorders>
              <w:top w:val="nil"/>
              <w:left w:val="nil"/>
              <w:bottom w:val="nil"/>
              <w:right w:val="nil"/>
            </w:tcBorders>
            <w:shd w:val="clear" w:color="auto" w:fill="auto"/>
            <w:vAlign w:val="center"/>
            <w:hideMark/>
          </w:tcPr>
          <w:p w14:paraId="59E3C78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1.61(1.48, 1.74)</w:t>
            </w:r>
          </w:p>
        </w:tc>
        <w:tc>
          <w:tcPr>
            <w:tcW w:w="1134" w:type="dxa"/>
            <w:tcBorders>
              <w:top w:val="nil"/>
              <w:left w:val="nil"/>
              <w:bottom w:val="nil"/>
              <w:right w:val="nil"/>
            </w:tcBorders>
            <w:shd w:val="clear" w:color="auto" w:fill="auto"/>
            <w:vAlign w:val="center"/>
            <w:hideMark/>
          </w:tcPr>
          <w:p w14:paraId="126B208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S16</w:t>
            </w:r>
          </w:p>
        </w:tc>
        <w:tc>
          <w:tcPr>
            <w:tcW w:w="211" w:type="dxa"/>
            <w:vAlign w:val="center"/>
            <w:hideMark/>
          </w:tcPr>
          <w:p w14:paraId="32CB8647"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4FA1E04F" w14:textId="77777777" w:rsidTr="00E40575">
        <w:trPr>
          <w:trHeight w:val="316"/>
        </w:trPr>
        <w:tc>
          <w:tcPr>
            <w:tcW w:w="1541" w:type="dxa"/>
            <w:tcBorders>
              <w:top w:val="nil"/>
              <w:left w:val="nil"/>
              <w:bottom w:val="nil"/>
              <w:right w:val="nil"/>
            </w:tcBorders>
            <w:shd w:val="clear" w:color="auto" w:fill="auto"/>
            <w:vAlign w:val="center"/>
            <w:hideMark/>
          </w:tcPr>
          <w:p w14:paraId="0BD9245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Ospemifene</w:t>
            </w:r>
          </w:p>
        </w:tc>
        <w:tc>
          <w:tcPr>
            <w:tcW w:w="1671" w:type="dxa"/>
            <w:tcBorders>
              <w:top w:val="nil"/>
              <w:left w:val="nil"/>
              <w:bottom w:val="nil"/>
              <w:right w:val="nil"/>
            </w:tcBorders>
            <w:shd w:val="clear" w:color="auto" w:fill="auto"/>
            <w:vAlign w:val="center"/>
            <w:hideMark/>
          </w:tcPr>
          <w:p w14:paraId="245375E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30DEA1B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60 mg, on day 6</w:t>
            </w:r>
          </w:p>
        </w:tc>
        <w:tc>
          <w:tcPr>
            <w:tcW w:w="2029" w:type="dxa"/>
            <w:tcBorders>
              <w:top w:val="nil"/>
              <w:left w:val="nil"/>
              <w:bottom w:val="nil"/>
              <w:right w:val="nil"/>
            </w:tcBorders>
            <w:shd w:val="clear" w:color="auto" w:fill="auto"/>
            <w:vAlign w:val="center"/>
            <w:hideMark/>
          </w:tcPr>
          <w:p w14:paraId="67EDD26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1.42(1.27, 1.60)</w:t>
            </w:r>
          </w:p>
        </w:tc>
        <w:tc>
          <w:tcPr>
            <w:tcW w:w="1134" w:type="dxa"/>
            <w:tcBorders>
              <w:top w:val="nil"/>
              <w:left w:val="nil"/>
              <w:bottom w:val="nil"/>
              <w:right w:val="nil"/>
            </w:tcBorders>
            <w:shd w:val="clear" w:color="auto" w:fill="auto"/>
            <w:vAlign w:val="center"/>
            <w:hideMark/>
          </w:tcPr>
          <w:p w14:paraId="29AE723F"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S17</w:t>
            </w:r>
          </w:p>
        </w:tc>
        <w:tc>
          <w:tcPr>
            <w:tcW w:w="211" w:type="dxa"/>
            <w:vAlign w:val="center"/>
            <w:hideMark/>
          </w:tcPr>
          <w:p w14:paraId="24619BC7"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69CD72B9" w14:textId="77777777" w:rsidTr="00E40575">
        <w:trPr>
          <w:trHeight w:val="633"/>
        </w:trPr>
        <w:tc>
          <w:tcPr>
            <w:tcW w:w="1541" w:type="dxa"/>
            <w:tcBorders>
              <w:top w:val="nil"/>
              <w:left w:val="nil"/>
              <w:bottom w:val="nil"/>
              <w:right w:val="nil"/>
            </w:tcBorders>
            <w:shd w:val="clear" w:color="auto" w:fill="auto"/>
            <w:vAlign w:val="center"/>
            <w:hideMark/>
          </w:tcPr>
          <w:p w14:paraId="10270753"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Panobinostat</w:t>
            </w:r>
          </w:p>
        </w:tc>
        <w:tc>
          <w:tcPr>
            <w:tcW w:w="1671" w:type="dxa"/>
            <w:tcBorders>
              <w:top w:val="nil"/>
              <w:left w:val="nil"/>
              <w:bottom w:val="nil"/>
              <w:right w:val="nil"/>
            </w:tcBorders>
            <w:shd w:val="clear" w:color="auto" w:fill="auto"/>
            <w:vAlign w:val="center"/>
            <w:hideMark/>
          </w:tcPr>
          <w:p w14:paraId="4450BFB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68D78AA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 mg, 1 h after dosing on day 4</w:t>
            </w:r>
          </w:p>
        </w:tc>
        <w:tc>
          <w:tcPr>
            <w:tcW w:w="2029" w:type="dxa"/>
            <w:tcBorders>
              <w:top w:val="nil"/>
              <w:left w:val="nil"/>
              <w:bottom w:val="nil"/>
              <w:right w:val="nil"/>
            </w:tcBorders>
            <w:shd w:val="clear" w:color="auto" w:fill="auto"/>
            <w:vAlign w:val="center"/>
            <w:hideMark/>
          </w:tcPr>
          <w:p w14:paraId="2FEFD55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1.78(1.45, 2.20)</w:t>
            </w:r>
          </w:p>
        </w:tc>
        <w:tc>
          <w:tcPr>
            <w:tcW w:w="1134" w:type="dxa"/>
            <w:tcBorders>
              <w:top w:val="nil"/>
              <w:left w:val="nil"/>
              <w:bottom w:val="nil"/>
              <w:right w:val="nil"/>
            </w:tcBorders>
            <w:shd w:val="clear" w:color="auto" w:fill="auto"/>
            <w:vAlign w:val="center"/>
            <w:hideMark/>
          </w:tcPr>
          <w:p w14:paraId="1ED8DAF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S18</w:t>
            </w:r>
          </w:p>
        </w:tc>
        <w:tc>
          <w:tcPr>
            <w:tcW w:w="211" w:type="dxa"/>
            <w:vAlign w:val="center"/>
            <w:hideMark/>
          </w:tcPr>
          <w:p w14:paraId="00557746"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035B457B" w14:textId="77777777" w:rsidTr="00E40575">
        <w:trPr>
          <w:trHeight w:val="316"/>
        </w:trPr>
        <w:tc>
          <w:tcPr>
            <w:tcW w:w="1541" w:type="dxa"/>
            <w:tcBorders>
              <w:top w:val="nil"/>
              <w:left w:val="nil"/>
              <w:bottom w:val="nil"/>
              <w:right w:val="nil"/>
            </w:tcBorders>
            <w:shd w:val="clear" w:color="auto" w:fill="auto"/>
            <w:vAlign w:val="center"/>
            <w:hideMark/>
          </w:tcPr>
          <w:p w14:paraId="09B7093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Pomalidomide</w:t>
            </w:r>
          </w:p>
        </w:tc>
        <w:tc>
          <w:tcPr>
            <w:tcW w:w="1671" w:type="dxa"/>
            <w:tcBorders>
              <w:top w:val="nil"/>
              <w:left w:val="nil"/>
              <w:bottom w:val="nil"/>
              <w:right w:val="nil"/>
            </w:tcBorders>
            <w:shd w:val="clear" w:color="auto" w:fill="auto"/>
            <w:vAlign w:val="center"/>
            <w:hideMark/>
          </w:tcPr>
          <w:p w14:paraId="4DE8407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BID</w:t>
            </w:r>
          </w:p>
        </w:tc>
        <w:tc>
          <w:tcPr>
            <w:tcW w:w="2131" w:type="dxa"/>
            <w:tcBorders>
              <w:top w:val="nil"/>
              <w:left w:val="nil"/>
              <w:bottom w:val="nil"/>
              <w:right w:val="nil"/>
            </w:tcBorders>
            <w:shd w:val="clear" w:color="auto" w:fill="auto"/>
            <w:vAlign w:val="center"/>
            <w:hideMark/>
          </w:tcPr>
          <w:p w14:paraId="61FE00C0"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 mg, on day5</w:t>
            </w:r>
          </w:p>
        </w:tc>
        <w:tc>
          <w:tcPr>
            <w:tcW w:w="2029" w:type="dxa"/>
            <w:tcBorders>
              <w:top w:val="nil"/>
              <w:left w:val="nil"/>
              <w:bottom w:val="nil"/>
              <w:right w:val="nil"/>
            </w:tcBorders>
            <w:shd w:val="clear" w:color="auto" w:fill="auto"/>
            <w:vAlign w:val="center"/>
            <w:hideMark/>
          </w:tcPr>
          <w:p w14:paraId="686FB8B0"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1.19(1.10, 1.28)</w:t>
            </w:r>
          </w:p>
        </w:tc>
        <w:tc>
          <w:tcPr>
            <w:tcW w:w="1134" w:type="dxa"/>
            <w:tcBorders>
              <w:top w:val="nil"/>
              <w:left w:val="nil"/>
              <w:bottom w:val="nil"/>
              <w:right w:val="nil"/>
            </w:tcBorders>
            <w:shd w:val="clear" w:color="auto" w:fill="auto"/>
            <w:vAlign w:val="center"/>
            <w:hideMark/>
          </w:tcPr>
          <w:p w14:paraId="210D2A3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S19</w:t>
            </w:r>
          </w:p>
        </w:tc>
        <w:tc>
          <w:tcPr>
            <w:tcW w:w="211" w:type="dxa"/>
            <w:vAlign w:val="center"/>
            <w:hideMark/>
          </w:tcPr>
          <w:p w14:paraId="1118E6CF"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25C18DE8" w14:textId="77777777" w:rsidTr="00E40575">
        <w:trPr>
          <w:trHeight w:val="316"/>
        </w:trPr>
        <w:tc>
          <w:tcPr>
            <w:tcW w:w="1541" w:type="dxa"/>
            <w:tcBorders>
              <w:top w:val="nil"/>
              <w:left w:val="nil"/>
              <w:bottom w:val="nil"/>
              <w:right w:val="nil"/>
            </w:tcBorders>
            <w:shd w:val="clear" w:color="auto" w:fill="auto"/>
            <w:vAlign w:val="center"/>
            <w:hideMark/>
          </w:tcPr>
          <w:p w14:paraId="5F852E9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Ponatinib</w:t>
            </w:r>
          </w:p>
        </w:tc>
        <w:tc>
          <w:tcPr>
            <w:tcW w:w="1671" w:type="dxa"/>
            <w:tcBorders>
              <w:top w:val="nil"/>
              <w:left w:val="nil"/>
              <w:bottom w:val="nil"/>
              <w:right w:val="nil"/>
            </w:tcBorders>
            <w:shd w:val="clear" w:color="auto" w:fill="auto"/>
            <w:vAlign w:val="center"/>
            <w:hideMark/>
          </w:tcPr>
          <w:p w14:paraId="1359257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5DFEC1B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 mg, on day5</w:t>
            </w:r>
          </w:p>
        </w:tc>
        <w:tc>
          <w:tcPr>
            <w:tcW w:w="2029" w:type="dxa"/>
            <w:tcBorders>
              <w:top w:val="nil"/>
              <w:left w:val="nil"/>
              <w:bottom w:val="nil"/>
              <w:right w:val="nil"/>
            </w:tcBorders>
            <w:shd w:val="clear" w:color="auto" w:fill="auto"/>
            <w:vAlign w:val="center"/>
            <w:hideMark/>
          </w:tcPr>
          <w:p w14:paraId="115B2709"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1.78(1.66, 1.91)</w:t>
            </w:r>
          </w:p>
        </w:tc>
        <w:tc>
          <w:tcPr>
            <w:tcW w:w="1134" w:type="dxa"/>
            <w:tcBorders>
              <w:top w:val="nil"/>
              <w:left w:val="nil"/>
              <w:bottom w:val="nil"/>
              <w:right w:val="nil"/>
            </w:tcBorders>
            <w:shd w:val="clear" w:color="auto" w:fill="auto"/>
            <w:vAlign w:val="center"/>
            <w:hideMark/>
          </w:tcPr>
          <w:p w14:paraId="70F540A9"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S20</w:t>
            </w:r>
          </w:p>
        </w:tc>
        <w:tc>
          <w:tcPr>
            <w:tcW w:w="211" w:type="dxa"/>
            <w:vAlign w:val="center"/>
            <w:hideMark/>
          </w:tcPr>
          <w:p w14:paraId="0BBE7CAC"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20A4AE83" w14:textId="77777777" w:rsidTr="00E40575">
        <w:trPr>
          <w:trHeight w:val="316"/>
        </w:trPr>
        <w:tc>
          <w:tcPr>
            <w:tcW w:w="1541" w:type="dxa"/>
            <w:tcBorders>
              <w:top w:val="nil"/>
              <w:left w:val="nil"/>
              <w:bottom w:val="nil"/>
              <w:right w:val="nil"/>
            </w:tcBorders>
            <w:shd w:val="clear" w:color="auto" w:fill="auto"/>
            <w:vAlign w:val="center"/>
            <w:hideMark/>
          </w:tcPr>
          <w:p w14:paraId="0D6DB25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Rivaroxaban</w:t>
            </w:r>
          </w:p>
        </w:tc>
        <w:tc>
          <w:tcPr>
            <w:tcW w:w="1671" w:type="dxa"/>
            <w:tcBorders>
              <w:top w:val="nil"/>
              <w:left w:val="nil"/>
              <w:bottom w:val="nil"/>
              <w:right w:val="nil"/>
            </w:tcBorders>
            <w:shd w:val="clear" w:color="auto" w:fill="auto"/>
            <w:vAlign w:val="center"/>
            <w:hideMark/>
          </w:tcPr>
          <w:p w14:paraId="445F316F"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12F83EE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 mg, on day5</w:t>
            </w:r>
          </w:p>
        </w:tc>
        <w:tc>
          <w:tcPr>
            <w:tcW w:w="2029" w:type="dxa"/>
            <w:tcBorders>
              <w:top w:val="nil"/>
              <w:left w:val="nil"/>
              <w:bottom w:val="nil"/>
              <w:right w:val="nil"/>
            </w:tcBorders>
            <w:shd w:val="clear" w:color="auto" w:fill="auto"/>
            <w:vAlign w:val="center"/>
            <w:hideMark/>
          </w:tcPr>
          <w:p w14:paraId="5891D3A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2.58(2.36, 2.82)</w:t>
            </w:r>
          </w:p>
        </w:tc>
        <w:tc>
          <w:tcPr>
            <w:tcW w:w="1134" w:type="dxa"/>
            <w:tcBorders>
              <w:top w:val="nil"/>
              <w:left w:val="nil"/>
              <w:bottom w:val="nil"/>
              <w:right w:val="nil"/>
            </w:tcBorders>
            <w:shd w:val="clear" w:color="auto" w:fill="auto"/>
            <w:vAlign w:val="center"/>
            <w:hideMark/>
          </w:tcPr>
          <w:p w14:paraId="6D7155D4"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S21</w:t>
            </w:r>
          </w:p>
        </w:tc>
        <w:tc>
          <w:tcPr>
            <w:tcW w:w="211" w:type="dxa"/>
            <w:vAlign w:val="center"/>
            <w:hideMark/>
          </w:tcPr>
          <w:p w14:paraId="2FF68DA5"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59E9CCE1" w14:textId="77777777" w:rsidTr="00E40575">
        <w:trPr>
          <w:trHeight w:val="633"/>
        </w:trPr>
        <w:tc>
          <w:tcPr>
            <w:tcW w:w="1541" w:type="dxa"/>
            <w:tcBorders>
              <w:top w:val="nil"/>
              <w:left w:val="nil"/>
              <w:bottom w:val="nil"/>
              <w:right w:val="nil"/>
            </w:tcBorders>
            <w:shd w:val="clear" w:color="auto" w:fill="auto"/>
            <w:vAlign w:val="center"/>
            <w:hideMark/>
          </w:tcPr>
          <w:p w14:paraId="68C79A93"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Roflumilast</w:t>
            </w:r>
          </w:p>
        </w:tc>
        <w:tc>
          <w:tcPr>
            <w:tcW w:w="1671" w:type="dxa"/>
            <w:tcBorders>
              <w:top w:val="nil"/>
              <w:left w:val="nil"/>
              <w:bottom w:val="nil"/>
              <w:right w:val="nil"/>
            </w:tcBorders>
            <w:shd w:val="clear" w:color="auto" w:fill="auto"/>
            <w:vAlign w:val="center"/>
            <w:hideMark/>
          </w:tcPr>
          <w:p w14:paraId="4C81E214"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mg, on day 11</w:t>
            </w:r>
          </w:p>
        </w:tc>
        <w:tc>
          <w:tcPr>
            <w:tcW w:w="2131" w:type="dxa"/>
            <w:tcBorders>
              <w:top w:val="nil"/>
              <w:left w:val="nil"/>
              <w:bottom w:val="nil"/>
              <w:right w:val="nil"/>
            </w:tcBorders>
            <w:shd w:val="clear" w:color="auto" w:fill="auto"/>
            <w:vAlign w:val="center"/>
            <w:hideMark/>
          </w:tcPr>
          <w:p w14:paraId="2DCAE99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0.5 mg, QD, day1~day11</w:t>
            </w:r>
          </w:p>
        </w:tc>
        <w:tc>
          <w:tcPr>
            <w:tcW w:w="2029" w:type="dxa"/>
            <w:tcBorders>
              <w:top w:val="nil"/>
              <w:left w:val="nil"/>
              <w:bottom w:val="nil"/>
              <w:right w:val="nil"/>
            </w:tcBorders>
            <w:shd w:val="clear" w:color="auto" w:fill="auto"/>
            <w:vAlign w:val="center"/>
            <w:hideMark/>
          </w:tcPr>
          <w:p w14:paraId="5C7014E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 xml:space="preserve">1.34(1.29, 1.39) </w:t>
            </w:r>
          </w:p>
        </w:tc>
        <w:tc>
          <w:tcPr>
            <w:tcW w:w="1134" w:type="dxa"/>
            <w:tcBorders>
              <w:top w:val="nil"/>
              <w:left w:val="nil"/>
              <w:bottom w:val="nil"/>
              <w:right w:val="nil"/>
            </w:tcBorders>
            <w:shd w:val="clear" w:color="auto" w:fill="auto"/>
            <w:vAlign w:val="center"/>
            <w:hideMark/>
          </w:tcPr>
          <w:p w14:paraId="52DED3F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S22</w:t>
            </w:r>
          </w:p>
        </w:tc>
        <w:tc>
          <w:tcPr>
            <w:tcW w:w="211" w:type="dxa"/>
            <w:vAlign w:val="center"/>
            <w:hideMark/>
          </w:tcPr>
          <w:p w14:paraId="49764960"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44C5DEB3" w14:textId="77777777" w:rsidTr="00E40575">
        <w:trPr>
          <w:trHeight w:val="633"/>
        </w:trPr>
        <w:tc>
          <w:tcPr>
            <w:tcW w:w="1541" w:type="dxa"/>
            <w:tcBorders>
              <w:top w:val="nil"/>
              <w:left w:val="nil"/>
              <w:bottom w:val="nil"/>
              <w:right w:val="nil"/>
            </w:tcBorders>
            <w:shd w:val="clear" w:color="auto" w:fill="auto"/>
            <w:vAlign w:val="center"/>
            <w:hideMark/>
          </w:tcPr>
          <w:p w14:paraId="7965A7E1"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Rolapitant</w:t>
            </w:r>
            <w:proofErr w:type="spellEnd"/>
          </w:p>
        </w:tc>
        <w:tc>
          <w:tcPr>
            <w:tcW w:w="1671" w:type="dxa"/>
            <w:tcBorders>
              <w:top w:val="nil"/>
              <w:left w:val="nil"/>
              <w:bottom w:val="nil"/>
              <w:right w:val="nil"/>
            </w:tcBorders>
            <w:shd w:val="clear" w:color="auto" w:fill="auto"/>
            <w:vAlign w:val="center"/>
            <w:hideMark/>
          </w:tcPr>
          <w:p w14:paraId="4BE66244"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6054AA89"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90 mg, 2h after dosing on day2</w:t>
            </w:r>
          </w:p>
        </w:tc>
        <w:tc>
          <w:tcPr>
            <w:tcW w:w="2029" w:type="dxa"/>
            <w:tcBorders>
              <w:top w:val="nil"/>
              <w:left w:val="nil"/>
              <w:bottom w:val="nil"/>
              <w:right w:val="nil"/>
            </w:tcBorders>
            <w:shd w:val="clear" w:color="auto" w:fill="auto"/>
            <w:vAlign w:val="center"/>
            <w:hideMark/>
          </w:tcPr>
          <w:p w14:paraId="2B1F2FD3"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1.21(1.04, 1.41)</w:t>
            </w:r>
          </w:p>
        </w:tc>
        <w:tc>
          <w:tcPr>
            <w:tcW w:w="1134" w:type="dxa"/>
            <w:tcBorders>
              <w:top w:val="nil"/>
              <w:left w:val="nil"/>
              <w:bottom w:val="nil"/>
              <w:right w:val="nil"/>
            </w:tcBorders>
            <w:shd w:val="clear" w:color="auto" w:fill="auto"/>
            <w:vAlign w:val="center"/>
            <w:hideMark/>
          </w:tcPr>
          <w:p w14:paraId="667A7443"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S23</w:t>
            </w:r>
          </w:p>
        </w:tc>
        <w:tc>
          <w:tcPr>
            <w:tcW w:w="211" w:type="dxa"/>
            <w:vAlign w:val="center"/>
            <w:hideMark/>
          </w:tcPr>
          <w:p w14:paraId="02CB1A8A"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0C29E21A" w14:textId="77777777" w:rsidTr="00E40575">
        <w:trPr>
          <w:trHeight w:val="316"/>
        </w:trPr>
        <w:tc>
          <w:tcPr>
            <w:tcW w:w="1541" w:type="dxa"/>
            <w:tcBorders>
              <w:top w:val="nil"/>
              <w:left w:val="nil"/>
              <w:bottom w:val="nil"/>
              <w:right w:val="nil"/>
            </w:tcBorders>
            <w:shd w:val="clear" w:color="auto" w:fill="auto"/>
            <w:vAlign w:val="center"/>
            <w:hideMark/>
          </w:tcPr>
          <w:p w14:paraId="75FD4634"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Ruxolitinib</w:t>
            </w:r>
            <w:proofErr w:type="spellEnd"/>
          </w:p>
        </w:tc>
        <w:tc>
          <w:tcPr>
            <w:tcW w:w="1671" w:type="dxa"/>
            <w:tcBorders>
              <w:top w:val="nil"/>
              <w:left w:val="nil"/>
              <w:bottom w:val="nil"/>
              <w:right w:val="nil"/>
            </w:tcBorders>
            <w:shd w:val="clear" w:color="auto" w:fill="auto"/>
            <w:vAlign w:val="center"/>
            <w:hideMark/>
          </w:tcPr>
          <w:p w14:paraId="107B2D2F"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mg, BID</w:t>
            </w:r>
          </w:p>
        </w:tc>
        <w:tc>
          <w:tcPr>
            <w:tcW w:w="2131" w:type="dxa"/>
            <w:tcBorders>
              <w:top w:val="nil"/>
              <w:left w:val="nil"/>
              <w:bottom w:val="nil"/>
              <w:right w:val="nil"/>
            </w:tcBorders>
            <w:shd w:val="clear" w:color="auto" w:fill="auto"/>
            <w:vAlign w:val="center"/>
            <w:hideMark/>
          </w:tcPr>
          <w:p w14:paraId="608113F4"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 mg, on day4</w:t>
            </w:r>
          </w:p>
        </w:tc>
        <w:tc>
          <w:tcPr>
            <w:tcW w:w="2029" w:type="dxa"/>
            <w:tcBorders>
              <w:top w:val="nil"/>
              <w:left w:val="nil"/>
              <w:bottom w:val="nil"/>
              <w:right w:val="nil"/>
            </w:tcBorders>
            <w:shd w:val="clear" w:color="auto" w:fill="auto"/>
            <w:vAlign w:val="center"/>
            <w:hideMark/>
          </w:tcPr>
          <w:p w14:paraId="52E7541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1.91(1.72, 2.21)</w:t>
            </w:r>
          </w:p>
        </w:tc>
        <w:tc>
          <w:tcPr>
            <w:tcW w:w="1134" w:type="dxa"/>
            <w:tcBorders>
              <w:top w:val="nil"/>
              <w:left w:val="nil"/>
              <w:bottom w:val="nil"/>
              <w:right w:val="nil"/>
            </w:tcBorders>
            <w:shd w:val="clear" w:color="auto" w:fill="auto"/>
            <w:vAlign w:val="center"/>
            <w:hideMark/>
          </w:tcPr>
          <w:p w14:paraId="0F9248D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S24</w:t>
            </w:r>
          </w:p>
        </w:tc>
        <w:tc>
          <w:tcPr>
            <w:tcW w:w="211" w:type="dxa"/>
            <w:vAlign w:val="center"/>
            <w:hideMark/>
          </w:tcPr>
          <w:p w14:paraId="7A00CF9E"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1849B2DC" w14:textId="77777777" w:rsidTr="00E40575">
        <w:trPr>
          <w:trHeight w:val="316"/>
        </w:trPr>
        <w:tc>
          <w:tcPr>
            <w:tcW w:w="1541" w:type="dxa"/>
            <w:tcBorders>
              <w:top w:val="nil"/>
              <w:left w:val="nil"/>
              <w:bottom w:val="nil"/>
              <w:right w:val="nil"/>
            </w:tcBorders>
            <w:shd w:val="clear" w:color="auto" w:fill="auto"/>
            <w:vAlign w:val="center"/>
            <w:hideMark/>
          </w:tcPr>
          <w:p w14:paraId="3DD3C31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Safinamide</w:t>
            </w:r>
          </w:p>
        </w:tc>
        <w:tc>
          <w:tcPr>
            <w:tcW w:w="1671" w:type="dxa"/>
            <w:tcBorders>
              <w:top w:val="nil"/>
              <w:left w:val="nil"/>
              <w:bottom w:val="nil"/>
              <w:right w:val="nil"/>
            </w:tcBorders>
            <w:shd w:val="clear" w:color="auto" w:fill="auto"/>
            <w:vAlign w:val="center"/>
            <w:hideMark/>
          </w:tcPr>
          <w:p w14:paraId="7FF0BD7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mg, BID</w:t>
            </w:r>
          </w:p>
        </w:tc>
        <w:tc>
          <w:tcPr>
            <w:tcW w:w="2131" w:type="dxa"/>
            <w:tcBorders>
              <w:top w:val="nil"/>
              <w:left w:val="nil"/>
              <w:bottom w:val="nil"/>
              <w:right w:val="nil"/>
            </w:tcBorders>
            <w:shd w:val="clear" w:color="auto" w:fill="auto"/>
            <w:vAlign w:val="center"/>
            <w:hideMark/>
          </w:tcPr>
          <w:p w14:paraId="51A19C8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100 mg, on day 3</w:t>
            </w:r>
          </w:p>
        </w:tc>
        <w:tc>
          <w:tcPr>
            <w:tcW w:w="2029" w:type="dxa"/>
            <w:tcBorders>
              <w:top w:val="nil"/>
              <w:left w:val="nil"/>
              <w:bottom w:val="nil"/>
              <w:right w:val="nil"/>
            </w:tcBorders>
            <w:shd w:val="clear" w:color="auto" w:fill="auto"/>
            <w:vAlign w:val="center"/>
            <w:hideMark/>
          </w:tcPr>
          <w:p w14:paraId="3FFFC61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1.13(1.10, 1.16)</w:t>
            </w:r>
          </w:p>
        </w:tc>
        <w:tc>
          <w:tcPr>
            <w:tcW w:w="1134" w:type="dxa"/>
            <w:tcBorders>
              <w:top w:val="nil"/>
              <w:left w:val="nil"/>
              <w:bottom w:val="nil"/>
              <w:right w:val="nil"/>
            </w:tcBorders>
            <w:shd w:val="clear" w:color="auto" w:fill="auto"/>
            <w:vAlign w:val="center"/>
            <w:hideMark/>
          </w:tcPr>
          <w:p w14:paraId="525EECF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S25</w:t>
            </w:r>
          </w:p>
        </w:tc>
        <w:tc>
          <w:tcPr>
            <w:tcW w:w="211" w:type="dxa"/>
            <w:vAlign w:val="center"/>
            <w:hideMark/>
          </w:tcPr>
          <w:p w14:paraId="1EB4C72C"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4E9FD0D0" w14:textId="77777777" w:rsidTr="00E40575">
        <w:trPr>
          <w:trHeight w:val="316"/>
        </w:trPr>
        <w:tc>
          <w:tcPr>
            <w:tcW w:w="1541" w:type="dxa"/>
            <w:tcBorders>
              <w:top w:val="nil"/>
              <w:left w:val="nil"/>
              <w:bottom w:val="nil"/>
              <w:right w:val="nil"/>
            </w:tcBorders>
            <w:shd w:val="clear" w:color="auto" w:fill="auto"/>
            <w:vAlign w:val="center"/>
            <w:hideMark/>
          </w:tcPr>
          <w:p w14:paraId="5E5F6D86"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Sonidegib</w:t>
            </w:r>
            <w:proofErr w:type="spellEnd"/>
          </w:p>
        </w:tc>
        <w:tc>
          <w:tcPr>
            <w:tcW w:w="1671" w:type="dxa"/>
            <w:tcBorders>
              <w:top w:val="nil"/>
              <w:left w:val="nil"/>
              <w:bottom w:val="nil"/>
              <w:right w:val="nil"/>
            </w:tcBorders>
            <w:shd w:val="clear" w:color="auto" w:fill="auto"/>
            <w:vAlign w:val="center"/>
            <w:hideMark/>
          </w:tcPr>
          <w:p w14:paraId="0DF9921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mg, BID</w:t>
            </w:r>
          </w:p>
        </w:tc>
        <w:tc>
          <w:tcPr>
            <w:tcW w:w="2131" w:type="dxa"/>
            <w:tcBorders>
              <w:top w:val="nil"/>
              <w:left w:val="nil"/>
              <w:bottom w:val="nil"/>
              <w:right w:val="nil"/>
            </w:tcBorders>
            <w:shd w:val="clear" w:color="auto" w:fill="auto"/>
            <w:vAlign w:val="center"/>
            <w:hideMark/>
          </w:tcPr>
          <w:p w14:paraId="3A6618C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800 mg, on day5</w:t>
            </w:r>
          </w:p>
        </w:tc>
        <w:tc>
          <w:tcPr>
            <w:tcW w:w="2029" w:type="dxa"/>
            <w:tcBorders>
              <w:top w:val="nil"/>
              <w:left w:val="nil"/>
              <w:bottom w:val="nil"/>
              <w:right w:val="nil"/>
            </w:tcBorders>
            <w:shd w:val="clear" w:color="auto" w:fill="auto"/>
            <w:vAlign w:val="center"/>
            <w:hideMark/>
          </w:tcPr>
          <w:p w14:paraId="79D077E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2.25(1.78, 2.86)</w:t>
            </w:r>
          </w:p>
        </w:tc>
        <w:tc>
          <w:tcPr>
            <w:tcW w:w="1134" w:type="dxa"/>
            <w:tcBorders>
              <w:top w:val="nil"/>
              <w:left w:val="nil"/>
              <w:bottom w:val="nil"/>
              <w:right w:val="nil"/>
            </w:tcBorders>
            <w:shd w:val="clear" w:color="auto" w:fill="auto"/>
            <w:vAlign w:val="center"/>
            <w:hideMark/>
          </w:tcPr>
          <w:p w14:paraId="4D93F5C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S26</w:t>
            </w:r>
          </w:p>
        </w:tc>
        <w:tc>
          <w:tcPr>
            <w:tcW w:w="211" w:type="dxa"/>
            <w:vAlign w:val="center"/>
            <w:hideMark/>
          </w:tcPr>
          <w:p w14:paraId="40491462"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20B34C38" w14:textId="77777777" w:rsidTr="00E40575">
        <w:trPr>
          <w:trHeight w:val="316"/>
        </w:trPr>
        <w:tc>
          <w:tcPr>
            <w:tcW w:w="1541" w:type="dxa"/>
            <w:tcBorders>
              <w:top w:val="nil"/>
              <w:left w:val="nil"/>
              <w:bottom w:val="nil"/>
              <w:right w:val="nil"/>
            </w:tcBorders>
            <w:shd w:val="clear" w:color="auto" w:fill="auto"/>
            <w:vAlign w:val="center"/>
            <w:hideMark/>
          </w:tcPr>
          <w:p w14:paraId="641A93E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Suvorexant</w:t>
            </w:r>
          </w:p>
        </w:tc>
        <w:tc>
          <w:tcPr>
            <w:tcW w:w="1671" w:type="dxa"/>
            <w:tcBorders>
              <w:top w:val="nil"/>
              <w:left w:val="nil"/>
              <w:bottom w:val="nil"/>
              <w:right w:val="nil"/>
            </w:tcBorders>
            <w:shd w:val="clear" w:color="auto" w:fill="auto"/>
            <w:vAlign w:val="center"/>
            <w:hideMark/>
          </w:tcPr>
          <w:p w14:paraId="6AA8E4A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6C599FE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 mg on day2</w:t>
            </w:r>
          </w:p>
        </w:tc>
        <w:tc>
          <w:tcPr>
            <w:tcW w:w="2029" w:type="dxa"/>
            <w:tcBorders>
              <w:top w:val="nil"/>
              <w:left w:val="nil"/>
              <w:bottom w:val="nil"/>
              <w:right w:val="nil"/>
            </w:tcBorders>
            <w:shd w:val="clear" w:color="auto" w:fill="auto"/>
            <w:vAlign w:val="center"/>
            <w:hideMark/>
          </w:tcPr>
          <w:p w14:paraId="45595A8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2.79(2.35, 3.31)</w:t>
            </w:r>
          </w:p>
        </w:tc>
        <w:tc>
          <w:tcPr>
            <w:tcW w:w="1134" w:type="dxa"/>
            <w:tcBorders>
              <w:top w:val="nil"/>
              <w:left w:val="nil"/>
              <w:bottom w:val="nil"/>
              <w:right w:val="nil"/>
            </w:tcBorders>
            <w:shd w:val="clear" w:color="auto" w:fill="auto"/>
            <w:vAlign w:val="center"/>
            <w:hideMark/>
          </w:tcPr>
          <w:p w14:paraId="0FF3E569"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S27</w:t>
            </w:r>
          </w:p>
        </w:tc>
        <w:tc>
          <w:tcPr>
            <w:tcW w:w="211" w:type="dxa"/>
            <w:vAlign w:val="center"/>
            <w:hideMark/>
          </w:tcPr>
          <w:p w14:paraId="1AB4AF3C"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367D44D6" w14:textId="77777777" w:rsidTr="00E40575">
        <w:trPr>
          <w:trHeight w:val="316"/>
        </w:trPr>
        <w:tc>
          <w:tcPr>
            <w:tcW w:w="1541" w:type="dxa"/>
            <w:tcBorders>
              <w:top w:val="nil"/>
              <w:left w:val="nil"/>
              <w:bottom w:val="nil"/>
              <w:right w:val="nil"/>
            </w:tcBorders>
            <w:shd w:val="clear" w:color="auto" w:fill="auto"/>
            <w:vAlign w:val="center"/>
            <w:hideMark/>
          </w:tcPr>
          <w:p w14:paraId="197FB565"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Tasimelteon</w:t>
            </w:r>
            <w:proofErr w:type="spellEnd"/>
          </w:p>
        </w:tc>
        <w:tc>
          <w:tcPr>
            <w:tcW w:w="1671" w:type="dxa"/>
            <w:tcBorders>
              <w:top w:val="nil"/>
              <w:left w:val="nil"/>
              <w:bottom w:val="nil"/>
              <w:right w:val="nil"/>
            </w:tcBorders>
            <w:shd w:val="clear" w:color="auto" w:fill="auto"/>
            <w:vAlign w:val="center"/>
            <w:hideMark/>
          </w:tcPr>
          <w:p w14:paraId="535EAE3F"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724F767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 mg on day5</w:t>
            </w:r>
          </w:p>
        </w:tc>
        <w:tc>
          <w:tcPr>
            <w:tcW w:w="2029" w:type="dxa"/>
            <w:tcBorders>
              <w:top w:val="nil"/>
              <w:left w:val="nil"/>
              <w:bottom w:val="nil"/>
              <w:right w:val="nil"/>
            </w:tcBorders>
            <w:shd w:val="clear" w:color="auto" w:fill="auto"/>
            <w:vAlign w:val="center"/>
            <w:hideMark/>
          </w:tcPr>
          <w:p w14:paraId="6D8062F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1.54(1.38, 1.72)</w:t>
            </w:r>
          </w:p>
        </w:tc>
        <w:tc>
          <w:tcPr>
            <w:tcW w:w="1134" w:type="dxa"/>
            <w:tcBorders>
              <w:top w:val="nil"/>
              <w:left w:val="nil"/>
              <w:bottom w:val="nil"/>
              <w:right w:val="nil"/>
            </w:tcBorders>
            <w:shd w:val="clear" w:color="auto" w:fill="auto"/>
            <w:vAlign w:val="center"/>
            <w:hideMark/>
          </w:tcPr>
          <w:p w14:paraId="716145F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S28</w:t>
            </w:r>
          </w:p>
        </w:tc>
        <w:tc>
          <w:tcPr>
            <w:tcW w:w="211" w:type="dxa"/>
            <w:vAlign w:val="center"/>
            <w:hideMark/>
          </w:tcPr>
          <w:p w14:paraId="3BC60366"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6C27EE47" w14:textId="77777777" w:rsidTr="00E40575">
        <w:trPr>
          <w:trHeight w:val="316"/>
        </w:trPr>
        <w:tc>
          <w:tcPr>
            <w:tcW w:w="1541" w:type="dxa"/>
            <w:tcBorders>
              <w:top w:val="nil"/>
              <w:left w:val="nil"/>
              <w:bottom w:val="nil"/>
              <w:right w:val="nil"/>
            </w:tcBorders>
            <w:shd w:val="clear" w:color="auto" w:fill="auto"/>
            <w:vAlign w:val="center"/>
            <w:hideMark/>
          </w:tcPr>
          <w:p w14:paraId="7EC684F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Telaprevir</w:t>
            </w:r>
          </w:p>
        </w:tc>
        <w:tc>
          <w:tcPr>
            <w:tcW w:w="1671" w:type="dxa"/>
            <w:tcBorders>
              <w:top w:val="nil"/>
              <w:left w:val="nil"/>
              <w:bottom w:val="nil"/>
              <w:right w:val="nil"/>
            </w:tcBorders>
            <w:shd w:val="clear" w:color="auto" w:fill="auto"/>
            <w:vAlign w:val="center"/>
            <w:hideMark/>
          </w:tcPr>
          <w:p w14:paraId="20E876B7"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SD</w:t>
            </w:r>
          </w:p>
        </w:tc>
        <w:tc>
          <w:tcPr>
            <w:tcW w:w="2131" w:type="dxa"/>
            <w:tcBorders>
              <w:top w:val="nil"/>
              <w:left w:val="nil"/>
              <w:bottom w:val="nil"/>
              <w:right w:val="nil"/>
            </w:tcBorders>
            <w:shd w:val="clear" w:color="auto" w:fill="auto"/>
            <w:vAlign w:val="center"/>
            <w:hideMark/>
          </w:tcPr>
          <w:p w14:paraId="111F02C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750 mg, SD</w:t>
            </w:r>
          </w:p>
        </w:tc>
        <w:tc>
          <w:tcPr>
            <w:tcW w:w="2029" w:type="dxa"/>
            <w:tcBorders>
              <w:top w:val="nil"/>
              <w:left w:val="nil"/>
              <w:bottom w:val="nil"/>
              <w:right w:val="nil"/>
            </w:tcBorders>
            <w:shd w:val="clear" w:color="auto" w:fill="auto"/>
            <w:vAlign w:val="center"/>
            <w:hideMark/>
          </w:tcPr>
          <w:p w14:paraId="6DB9696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1.62(1.45, 1.81)</w:t>
            </w:r>
          </w:p>
        </w:tc>
        <w:tc>
          <w:tcPr>
            <w:tcW w:w="1134" w:type="dxa"/>
            <w:tcBorders>
              <w:top w:val="nil"/>
              <w:left w:val="nil"/>
              <w:bottom w:val="nil"/>
              <w:right w:val="nil"/>
            </w:tcBorders>
            <w:shd w:val="clear" w:color="auto" w:fill="auto"/>
            <w:vAlign w:val="center"/>
            <w:hideMark/>
          </w:tcPr>
          <w:p w14:paraId="7D0D4C3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S29</w:t>
            </w:r>
          </w:p>
        </w:tc>
        <w:tc>
          <w:tcPr>
            <w:tcW w:w="211" w:type="dxa"/>
            <w:vAlign w:val="center"/>
            <w:hideMark/>
          </w:tcPr>
          <w:p w14:paraId="0232A671"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3E22CCF9" w14:textId="77777777" w:rsidTr="00E40575">
        <w:trPr>
          <w:trHeight w:val="316"/>
        </w:trPr>
        <w:tc>
          <w:tcPr>
            <w:tcW w:w="1541" w:type="dxa"/>
            <w:tcBorders>
              <w:top w:val="nil"/>
              <w:left w:val="nil"/>
              <w:bottom w:val="nil"/>
              <w:right w:val="nil"/>
            </w:tcBorders>
            <w:shd w:val="clear" w:color="auto" w:fill="auto"/>
            <w:vAlign w:val="center"/>
            <w:hideMark/>
          </w:tcPr>
          <w:p w14:paraId="52ED0099"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Tofacitinib</w:t>
            </w:r>
          </w:p>
        </w:tc>
        <w:tc>
          <w:tcPr>
            <w:tcW w:w="1671" w:type="dxa"/>
            <w:tcBorders>
              <w:top w:val="nil"/>
              <w:left w:val="nil"/>
              <w:bottom w:val="nil"/>
              <w:right w:val="nil"/>
            </w:tcBorders>
            <w:shd w:val="clear" w:color="auto" w:fill="auto"/>
            <w:vAlign w:val="center"/>
            <w:hideMark/>
          </w:tcPr>
          <w:p w14:paraId="693CC03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on day1~3</w:t>
            </w:r>
          </w:p>
        </w:tc>
        <w:tc>
          <w:tcPr>
            <w:tcW w:w="2131" w:type="dxa"/>
            <w:tcBorders>
              <w:top w:val="nil"/>
              <w:left w:val="nil"/>
              <w:bottom w:val="nil"/>
              <w:right w:val="nil"/>
            </w:tcBorders>
            <w:shd w:val="clear" w:color="auto" w:fill="auto"/>
            <w:vAlign w:val="center"/>
            <w:hideMark/>
          </w:tcPr>
          <w:p w14:paraId="5AA75852"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 mg on day3</w:t>
            </w:r>
          </w:p>
        </w:tc>
        <w:tc>
          <w:tcPr>
            <w:tcW w:w="2029" w:type="dxa"/>
            <w:tcBorders>
              <w:top w:val="nil"/>
              <w:left w:val="nil"/>
              <w:bottom w:val="nil"/>
              <w:right w:val="nil"/>
            </w:tcBorders>
            <w:shd w:val="clear" w:color="auto" w:fill="auto"/>
            <w:vAlign w:val="center"/>
            <w:hideMark/>
          </w:tcPr>
          <w:p w14:paraId="60F4272A"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 xml:space="preserve">2.03(1.91, 2.16) </w:t>
            </w:r>
          </w:p>
        </w:tc>
        <w:tc>
          <w:tcPr>
            <w:tcW w:w="1134" w:type="dxa"/>
            <w:tcBorders>
              <w:top w:val="nil"/>
              <w:left w:val="nil"/>
              <w:bottom w:val="nil"/>
              <w:right w:val="nil"/>
            </w:tcBorders>
            <w:shd w:val="clear" w:color="auto" w:fill="auto"/>
            <w:vAlign w:val="center"/>
            <w:hideMark/>
          </w:tcPr>
          <w:p w14:paraId="118F6D3F"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S30</w:t>
            </w:r>
          </w:p>
        </w:tc>
        <w:tc>
          <w:tcPr>
            <w:tcW w:w="211" w:type="dxa"/>
            <w:vAlign w:val="center"/>
            <w:hideMark/>
          </w:tcPr>
          <w:p w14:paraId="465ECE72"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6A77FDD1" w14:textId="77777777" w:rsidTr="00E40575">
        <w:trPr>
          <w:trHeight w:val="316"/>
        </w:trPr>
        <w:tc>
          <w:tcPr>
            <w:tcW w:w="1541" w:type="dxa"/>
            <w:tcBorders>
              <w:top w:val="nil"/>
              <w:left w:val="nil"/>
              <w:bottom w:val="nil"/>
              <w:right w:val="nil"/>
            </w:tcBorders>
            <w:shd w:val="clear" w:color="auto" w:fill="auto"/>
            <w:vAlign w:val="center"/>
            <w:hideMark/>
          </w:tcPr>
          <w:p w14:paraId="581E32F7" w14:textId="77777777" w:rsidR="009B60DE" w:rsidRPr="00E7517C" w:rsidRDefault="009B60DE" w:rsidP="009B60DE">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Venetoclax</w:t>
            </w:r>
            <w:proofErr w:type="spellEnd"/>
          </w:p>
        </w:tc>
        <w:tc>
          <w:tcPr>
            <w:tcW w:w="1671" w:type="dxa"/>
            <w:tcBorders>
              <w:top w:val="nil"/>
              <w:left w:val="nil"/>
              <w:bottom w:val="nil"/>
              <w:right w:val="nil"/>
            </w:tcBorders>
            <w:shd w:val="clear" w:color="auto" w:fill="auto"/>
            <w:vAlign w:val="center"/>
            <w:hideMark/>
          </w:tcPr>
          <w:p w14:paraId="199604A6"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nil"/>
              <w:right w:val="nil"/>
            </w:tcBorders>
            <w:shd w:val="clear" w:color="auto" w:fill="auto"/>
            <w:vAlign w:val="center"/>
            <w:hideMark/>
          </w:tcPr>
          <w:p w14:paraId="2B3D22C2"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50 mg on day4</w:t>
            </w:r>
          </w:p>
        </w:tc>
        <w:tc>
          <w:tcPr>
            <w:tcW w:w="2029" w:type="dxa"/>
            <w:tcBorders>
              <w:top w:val="nil"/>
              <w:left w:val="nil"/>
              <w:bottom w:val="nil"/>
              <w:right w:val="nil"/>
            </w:tcBorders>
            <w:shd w:val="clear" w:color="auto" w:fill="auto"/>
            <w:vAlign w:val="center"/>
            <w:hideMark/>
          </w:tcPr>
          <w:p w14:paraId="636B26C5"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6.40(4.47, 9.17)</w:t>
            </w:r>
          </w:p>
        </w:tc>
        <w:tc>
          <w:tcPr>
            <w:tcW w:w="1134" w:type="dxa"/>
            <w:tcBorders>
              <w:top w:val="nil"/>
              <w:left w:val="nil"/>
              <w:bottom w:val="nil"/>
              <w:right w:val="nil"/>
            </w:tcBorders>
            <w:shd w:val="clear" w:color="auto" w:fill="auto"/>
            <w:vAlign w:val="center"/>
            <w:hideMark/>
          </w:tcPr>
          <w:p w14:paraId="20BB398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S31</w:t>
            </w:r>
          </w:p>
        </w:tc>
        <w:tc>
          <w:tcPr>
            <w:tcW w:w="211" w:type="dxa"/>
            <w:vAlign w:val="center"/>
            <w:hideMark/>
          </w:tcPr>
          <w:p w14:paraId="499B6B81"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2708A57A" w14:textId="77777777" w:rsidTr="00E40575">
        <w:trPr>
          <w:trHeight w:val="316"/>
        </w:trPr>
        <w:tc>
          <w:tcPr>
            <w:tcW w:w="1541" w:type="dxa"/>
            <w:tcBorders>
              <w:top w:val="nil"/>
              <w:left w:val="nil"/>
              <w:bottom w:val="nil"/>
              <w:right w:val="nil"/>
            </w:tcBorders>
            <w:shd w:val="clear" w:color="auto" w:fill="auto"/>
            <w:vAlign w:val="center"/>
            <w:hideMark/>
          </w:tcPr>
          <w:p w14:paraId="18511F7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Vilazodone</w:t>
            </w:r>
          </w:p>
        </w:tc>
        <w:tc>
          <w:tcPr>
            <w:tcW w:w="1671" w:type="dxa"/>
            <w:tcBorders>
              <w:top w:val="nil"/>
              <w:left w:val="nil"/>
              <w:bottom w:val="nil"/>
              <w:right w:val="nil"/>
            </w:tcBorders>
            <w:shd w:val="clear" w:color="auto" w:fill="auto"/>
            <w:vAlign w:val="center"/>
            <w:hideMark/>
          </w:tcPr>
          <w:p w14:paraId="7B31826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200 mg, QD</w:t>
            </w:r>
          </w:p>
        </w:tc>
        <w:tc>
          <w:tcPr>
            <w:tcW w:w="2131" w:type="dxa"/>
            <w:tcBorders>
              <w:top w:val="nil"/>
              <w:left w:val="nil"/>
              <w:bottom w:val="nil"/>
              <w:right w:val="nil"/>
            </w:tcBorders>
            <w:shd w:val="clear" w:color="auto" w:fill="auto"/>
            <w:vAlign w:val="center"/>
            <w:hideMark/>
          </w:tcPr>
          <w:p w14:paraId="3563B521"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 mg on day4</w:t>
            </w:r>
          </w:p>
        </w:tc>
        <w:tc>
          <w:tcPr>
            <w:tcW w:w="2029" w:type="dxa"/>
            <w:tcBorders>
              <w:top w:val="nil"/>
              <w:left w:val="nil"/>
              <w:bottom w:val="nil"/>
              <w:right w:val="nil"/>
            </w:tcBorders>
            <w:shd w:val="clear" w:color="auto" w:fill="auto"/>
            <w:vAlign w:val="center"/>
            <w:hideMark/>
          </w:tcPr>
          <w:p w14:paraId="4D28906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1.42(1.31, 1.55)</w:t>
            </w:r>
          </w:p>
        </w:tc>
        <w:tc>
          <w:tcPr>
            <w:tcW w:w="1134" w:type="dxa"/>
            <w:tcBorders>
              <w:top w:val="nil"/>
              <w:left w:val="nil"/>
              <w:bottom w:val="nil"/>
              <w:right w:val="nil"/>
            </w:tcBorders>
            <w:shd w:val="clear" w:color="auto" w:fill="auto"/>
            <w:vAlign w:val="center"/>
            <w:hideMark/>
          </w:tcPr>
          <w:p w14:paraId="28396C7B"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S32</w:t>
            </w:r>
          </w:p>
        </w:tc>
        <w:tc>
          <w:tcPr>
            <w:tcW w:w="211" w:type="dxa"/>
            <w:vAlign w:val="center"/>
            <w:hideMark/>
          </w:tcPr>
          <w:p w14:paraId="3E037E14" w14:textId="77777777" w:rsidR="009B60DE" w:rsidRPr="00E7517C" w:rsidRDefault="009B60DE" w:rsidP="009B60DE">
            <w:pPr>
              <w:widowControl/>
              <w:jc w:val="left"/>
              <w:rPr>
                <w:rFonts w:ascii="Times New Roman" w:eastAsia="Times New Roman" w:hAnsi="Times New Roman" w:cs="Times New Roman"/>
                <w:kern w:val="0"/>
                <w:szCs w:val="21"/>
              </w:rPr>
            </w:pPr>
          </w:p>
        </w:tc>
      </w:tr>
      <w:tr w:rsidR="009B60DE" w:rsidRPr="003D0565" w14:paraId="0372FA17" w14:textId="77777777" w:rsidTr="00E40575">
        <w:trPr>
          <w:trHeight w:val="331"/>
        </w:trPr>
        <w:tc>
          <w:tcPr>
            <w:tcW w:w="1541" w:type="dxa"/>
            <w:tcBorders>
              <w:top w:val="nil"/>
              <w:left w:val="nil"/>
              <w:bottom w:val="single" w:sz="12" w:space="0" w:color="auto"/>
              <w:right w:val="nil"/>
            </w:tcBorders>
            <w:shd w:val="clear" w:color="auto" w:fill="auto"/>
            <w:vAlign w:val="center"/>
            <w:hideMark/>
          </w:tcPr>
          <w:p w14:paraId="11C0F57E"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Vorapaxar</w:t>
            </w:r>
          </w:p>
        </w:tc>
        <w:tc>
          <w:tcPr>
            <w:tcW w:w="1671" w:type="dxa"/>
            <w:tcBorders>
              <w:top w:val="nil"/>
              <w:left w:val="nil"/>
              <w:bottom w:val="single" w:sz="12" w:space="0" w:color="auto"/>
              <w:right w:val="nil"/>
            </w:tcBorders>
            <w:shd w:val="clear" w:color="auto" w:fill="auto"/>
            <w:vAlign w:val="center"/>
            <w:hideMark/>
          </w:tcPr>
          <w:p w14:paraId="329690C8"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400 mg, QD</w:t>
            </w:r>
          </w:p>
        </w:tc>
        <w:tc>
          <w:tcPr>
            <w:tcW w:w="2131" w:type="dxa"/>
            <w:tcBorders>
              <w:top w:val="nil"/>
              <w:left w:val="nil"/>
              <w:bottom w:val="single" w:sz="12" w:space="0" w:color="auto"/>
              <w:right w:val="nil"/>
            </w:tcBorders>
            <w:shd w:val="clear" w:color="auto" w:fill="auto"/>
            <w:vAlign w:val="center"/>
            <w:hideMark/>
          </w:tcPr>
          <w:p w14:paraId="553D105D"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 mg, on day7</w:t>
            </w:r>
          </w:p>
        </w:tc>
        <w:tc>
          <w:tcPr>
            <w:tcW w:w="2029" w:type="dxa"/>
            <w:tcBorders>
              <w:top w:val="nil"/>
              <w:left w:val="nil"/>
              <w:bottom w:val="single" w:sz="12" w:space="0" w:color="auto"/>
              <w:right w:val="nil"/>
            </w:tcBorders>
            <w:shd w:val="clear" w:color="auto" w:fill="auto"/>
            <w:vAlign w:val="center"/>
            <w:hideMark/>
          </w:tcPr>
          <w:p w14:paraId="22A9931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1.23(1.05, 1.46)</w:t>
            </w:r>
          </w:p>
        </w:tc>
        <w:tc>
          <w:tcPr>
            <w:tcW w:w="1134" w:type="dxa"/>
            <w:tcBorders>
              <w:top w:val="nil"/>
              <w:left w:val="nil"/>
              <w:bottom w:val="single" w:sz="12" w:space="0" w:color="auto"/>
              <w:right w:val="nil"/>
            </w:tcBorders>
            <w:shd w:val="clear" w:color="auto" w:fill="auto"/>
            <w:vAlign w:val="center"/>
            <w:hideMark/>
          </w:tcPr>
          <w:p w14:paraId="5E7D4C0C" w14:textId="77777777" w:rsidR="009B60DE" w:rsidRPr="00E7517C" w:rsidRDefault="009B60DE" w:rsidP="009B60DE">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S33</w:t>
            </w:r>
          </w:p>
        </w:tc>
        <w:tc>
          <w:tcPr>
            <w:tcW w:w="211" w:type="dxa"/>
            <w:vAlign w:val="center"/>
            <w:hideMark/>
          </w:tcPr>
          <w:p w14:paraId="07DB4F04" w14:textId="77777777" w:rsidR="009B60DE" w:rsidRPr="00E7517C" w:rsidRDefault="009B60DE" w:rsidP="009B60DE">
            <w:pPr>
              <w:widowControl/>
              <w:jc w:val="left"/>
              <w:rPr>
                <w:rFonts w:ascii="Times New Roman" w:eastAsia="Times New Roman" w:hAnsi="Times New Roman" w:cs="Times New Roman"/>
                <w:kern w:val="0"/>
                <w:szCs w:val="21"/>
              </w:rPr>
            </w:pPr>
          </w:p>
        </w:tc>
      </w:tr>
    </w:tbl>
    <w:p w14:paraId="66E50025" w14:textId="77777777" w:rsidR="009B60DE" w:rsidRDefault="009B60DE" w:rsidP="00D03071">
      <w:pPr>
        <w:rPr>
          <w:rFonts w:ascii="Times New Roman" w:eastAsia="宋体" w:hAnsi="Times New Roman"/>
        </w:rPr>
      </w:pPr>
    </w:p>
    <w:p w14:paraId="5D01F1B6" w14:textId="2C11A243" w:rsidR="009B60DE" w:rsidRDefault="009B60DE" w:rsidP="00D03071">
      <w:pPr>
        <w:rPr>
          <w:rFonts w:ascii="Times New Roman" w:eastAsia="宋体" w:hAnsi="Times New Roman"/>
        </w:rPr>
      </w:pPr>
      <w:r w:rsidRPr="009B60DE">
        <w:rPr>
          <w:rFonts w:ascii="Times New Roman" w:eastAsia="宋体" w:hAnsi="Times New Roman"/>
        </w:rPr>
        <w:t>A comparison was made between the predicted PK profiles and the observed data, and the results are depicted in Figure S6. The comparison shows a close resemblance between the predicted PK profiles and the observed data, both in terms of the overall shape and trend. This indicates a good predictive performance of our model, demonstrating its accuracy in predicting the PK outcomes.</w:t>
      </w:r>
    </w:p>
    <w:p w14:paraId="17F9693B" w14:textId="4CDAA117" w:rsidR="009B60DE" w:rsidRDefault="00583CA3" w:rsidP="00D03071">
      <w:pPr>
        <w:rPr>
          <w:rFonts w:ascii="Times New Roman" w:eastAsia="宋体" w:hAnsi="Times New Roman"/>
        </w:rPr>
      </w:pPr>
      <w:r>
        <w:rPr>
          <w:rFonts w:ascii="Times New Roman" w:eastAsia="宋体" w:hAnsi="Times New Roman"/>
          <w:noProof/>
        </w:rPr>
        <w:lastRenderedPageBreak/>
        <w:drawing>
          <wp:inline distT="0" distB="0" distL="0" distR="0" wp14:anchorId="7A62C1D9" wp14:editId="2F9B3C5C">
            <wp:extent cx="5274310" cy="7618730"/>
            <wp:effectExtent l="0" t="0" r="2540" b="1270"/>
            <wp:docPr id="13888586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858695" name="图片 1388858695"/>
                    <pic:cNvPicPr/>
                  </pic:nvPicPr>
                  <pic:blipFill>
                    <a:blip r:embed="rId14">
                      <a:extLst>
                        <a:ext uri="{28A0092B-C50C-407E-A947-70E740481C1C}">
                          <a14:useLocalDpi xmlns:a14="http://schemas.microsoft.com/office/drawing/2010/main" val="0"/>
                        </a:ext>
                      </a:extLst>
                    </a:blip>
                    <a:stretch>
                      <a:fillRect/>
                    </a:stretch>
                  </pic:blipFill>
                  <pic:spPr>
                    <a:xfrm>
                      <a:off x="0" y="0"/>
                      <a:ext cx="5274310" cy="7618730"/>
                    </a:xfrm>
                    <a:prstGeom prst="rect">
                      <a:avLst/>
                    </a:prstGeom>
                  </pic:spPr>
                </pic:pic>
              </a:graphicData>
            </a:graphic>
          </wp:inline>
        </w:drawing>
      </w:r>
    </w:p>
    <w:p w14:paraId="23F9BEFE" w14:textId="6CC2648D" w:rsidR="00583CA3" w:rsidRDefault="00583CA3" w:rsidP="00D03071">
      <w:pPr>
        <w:rPr>
          <w:rFonts w:ascii="Times New Roman" w:eastAsia="宋体" w:hAnsi="Times New Roman"/>
        </w:rPr>
      </w:pPr>
      <w:r>
        <w:rPr>
          <w:rFonts w:ascii="Times New Roman" w:eastAsia="宋体" w:hAnsi="Times New Roman" w:hint="eastAsia"/>
          <w:noProof/>
        </w:rPr>
        <w:lastRenderedPageBreak/>
        <w:drawing>
          <wp:inline distT="0" distB="0" distL="0" distR="0" wp14:anchorId="78986563" wp14:editId="1B6E8944">
            <wp:extent cx="5274310" cy="3875405"/>
            <wp:effectExtent l="0" t="0" r="2540" b="0"/>
            <wp:docPr id="1269420448" name="图片 2"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420448" name="图片 2" descr="图表, 折线图&#10;&#10;描述已自动生成"/>
                    <pic:cNvPicPr/>
                  </pic:nvPicPr>
                  <pic:blipFill>
                    <a:blip r:embed="rId15">
                      <a:extLst>
                        <a:ext uri="{28A0092B-C50C-407E-A947-70E740481C1C}">
                          <a14:useLocalDpi xmlns:a14="http://schemas.microsoft.com/office/drawing/2010/main" val="0"/>
                        </a:ext>
                      </a:extLst>
                    </a:blip>
                    <a:stretch>
                      <a:fillRect/>
                    </a:stretch>
                  </pic:blipFill>
                  <pic:spPr>
                    <a:xfrm>
                      <a:off x="0" y="0"/>
                      <a:ext cx="5274310" cy="3875405"/>
                    </a:xfrm>
                    <a:prstGeom prst="rect">
                      <a:avLst/>
                    </a:prstGeom>
                  </pic:spPr>
                </pic:pic>
              </a:graphicData>
            </a:graphic>
          </wp:inline>
        </w:drawing>
      </w:r>
    </w:p>
    <w:p w14:paraId="33F19DF8" w14:textId="3F2F9BCE" w:rsidR="00583CA3" w:rsidRDefault="00583CA3" w:rsidP="00D03071">
      <w:pPr>
        <w:rPr>
          <w:rFonts w:ascii="Times New Roman" w:eastAsia="宋体" w:hAnsi="Times New Roman"/>
        </w:rPr>
      </w:pPr>
      <w:r>
        <w:rPr>
          <w:rFonts w:ascii="Times New Roman" w:eastAsia="宋体" w:hAnsi="Times New Roman" w:hint="eastAsia"/>
        </w:rPr>
        <w:t>F</w:t>
      </w:r>
      <w:r>
        <w:rPr>
          <w:rFonts w:ascii="Times New Roman" w:eastAsia="宋体" w:hAnsi="Times New Roman"/>
        </w:rPr>
        <w:t xml:space="preserve">igure S6. </w:t>
      </w:r>
      <w:r w:rsidRPr="00583CA3">
        <w:rPr>
          <w:rFonts w:ascii="Times New Roman" w:eastAsia="宋体" w:hAnsi="Times New Roman"/>
        </w:rPr>
        <w:t>Model-</w:t>
      </w:r>
      <w:r w:rsidR="00060D0F">
        <w:rPr>
          <w:rFonts w:ascii="Times New Roman" w:eastAsia="宋体" w:hAnsi="Times New Roman"/>
        </w:rPr>
        <w:t>predicted</w:t>
      </w:r>
      <w:r w:rsidRPr="00583CA3">
        <w:rPr>
          <w:rFonts w:ascii="Times New Roman" w:eastAsia="宋体" w:hAnsi="Times New Roman"/>
        </w:rPr>
        <w:t xml:space="preserve"> pharmacokinetic plasma profiles</w:t>
      </w:r>
      <w:r w:rsidR="00060D0F">
        <w:rPr>
          <w:rFonts w:ascii="Times New Roman" w:eastAsia="宋体" w:hAnsi="Times New Roman"/>
        </w:rPr>
        <w:t xml:space="preserve"> of victims after</w:t>
      </w:r>
      <w:r>
        <w:rPr>
          <w:rFonts w:ascii="Times New Roman" w:eastAsia="宋体" w:hAnsi="Times New Roman"/>
        </w:rPr>
        <w:t xml:space="preserve"> co-administering with ketoconazole</w:t>
      </w:r>
      <w:r w:rsidRPr="00583CA3">
        <w:rPr>
          <w:rFonts w:ascii="Times New Roman" w:eastAsia="宋体" w:hAnsi="Times New Roman"/>
        </w:rPr>
        <w:t xml:space="preserve">, overlaid with the observed data. </w:t>
      </w:r>
      <w:r>
        <w:rPr>
          <w:rFonts w:ascii="Times New Roman" w:eastAsia="宋体" w:hAnsi="Times New Roman"/>
        </w:rPr>
        <w:t>Red</w:t>
      </w:r>
      <w:r w:rsidRPr="00583CA3">
        <w:rPr>
          <w:rFonts w:ascii="Times New Roman" w:eastAsia="宋体" w:hAnsi="Times New Roman"/>
        </w:rPr>
        <w:t xml:space="preserve"> solid lines and circles represent the fitted pharmacokinetic profiles and the observed mean data, respectively.</w:t>
      </w:r>
    </w:p>
    <w:p w14:paraId="3D71B5D0" w14:textId="77777777" w:rsidR="003D0565" w:rsidRPr="009B60DE" w:rsidRDefault="003D0565" w:rsidP="00D03071">
      <w:pPr>
        <w:rPr>
          <w:rFonts w:ascii="Times New Roman" w:eastAsia="宋体" w:hAnsi="Times New Roman"/>
        </w:rPr>
      </w:pPr>
    </w:p>
    <w:p w14:paraId="6DFE9EC0" w14:textId="43A5A5DF" w:rsidR="009B60DE" w:rsidRPr="000C6737" w:rsidRDefault="009B60DE" w:rsidP="009B60DE">
      <w:pPr>
        <w:rPr>
          <w:rFonts w:ascii="Times New Roman" w:eastAsia="宋体" w:hAnsi="Times New Roman"/>
          <w:b/>
          <w:bCs/>
        </w:rPr>
      </w:pPr>
      <w:bookmarkStart w:id="4" w:name="_Hlk138945358"/>
      <w:r>
        <w:rPr>
          <w:rFonts w:ascii="Times New Roman" w:eastAsia="宋体" w:hAnsi="Times New Roman"/>
          <w:b/>
          <w:bCs/>
        </w:rPr>
        <w:t>4</w:t>
      </w:r>
      <w:r w:rsidRPr="000C6737">
        <w:rPr>
          <w:rFonts w:ascii="Times New Roman" w:eastAsia="宋体" w:hAnsi="Times New Roman"/>
          <w:b/>
          <w:bCs/>
        </w:rPr>
        <w:t>. The comparison of DDI predictions between PBPK model and MSMs</w:t>
      </w:r>
    </w:p>
    <w:bookmarkEnd w:id="4"/>
    <w:p w14:paraId="5C1D2BF4" w14:textId="77777777" w:rsidR="009B60DE" w:rsidRDefault="009B60DE" w:rsidP="009B60DE">
      <w:pPr>
        <w:rPr>
          <w:rFonts w:ascii="Times New Roman" w:eastAsia="宋体" w:hAnsi="Times New Roman"/>
        </w:rPr>
      </w:pPr>
      <w:r w:rsidRPr="0054195A">
        <w:rPr>
          <w:rFonts w:ascii="Times New Roman" w:eastAsia="宋体" w:hAnsi="Times New Roman"/>
        </w:rPr>
        <w:t xml:space="preserve">The predictive performance of PBPK-DDI model was </w:t>
      </w:r>
      <w:r>
        <w:rPr>
          <w:rFonts w:ascii="Times New Roman" w:eastAsia="宋体" w:hAnsi="Times New Roman"/>
        </w:rPr>
        <w:t xml:space="preserve">much </w:t>
      </w:r>
      <w:r w:rsidRPr="0054195A">
        <w:rPr>
          <w:rFonts w:ascii="Times New Roman" w:eastAsia="宋体" w:hAnsi="Times New Roman"/>
        </w:rPr>
        <w:t>better than mechanistic</w:t>
      </w:r>
      <w:r>
        <w:rPr>
          <w:rFonts w:ascii="Times New Roman" w:eastAsia="宋体" w:hAnsi="Times New Roman"/>
        </w:rPr>
        <w:t xml:space="preserve"> </w:t>
      </w:r>
      <w:r w:rsidRPr="0054195A">
        <w:rPr>
          <w:rFonts w:ascii="Times New Roman" w:eastAsia="宋体" w:hAnsi="Times New Roman"/>
        </w:rPr>
        <w:t>static models</w:t>
      </w:r>
      <w:r>
        <w:rPr>
          <w:rFonts w:ascii="Times New Roman" w:eastAsia="宋体" w:hAnsi="Times New Roman"/>
        </w:rPr>
        <w:t xml:space="preserve"> (MSMs).</w:t>
      </w:r>
    </w:p>
    <w:p w14:paraId="662C0CED" w14:textId="1EAF4F61" w:rsidR="009B60DE" w:rsidRDefault="009B60DE" w:rsidP="009B60DE">
      <w:pPr>
        <w:rPr>
          <w:rFonts w:ascii="Times New Roman" w:eastAsia="宋体" w:hAnsi="Times New Roman"/>
        </w:rPr>
      </w:pPr>
      <w:r>
        <w:rPr>
          <w:rFonts w:ascii="Times New Roman" w:eastAsia="宋体" w:hAnsi="Times New Roman" w:hint="eastAsia"/>
        </w:rPr>
        <w:t>T</w:t>
      </w:r>
      <w:r>
        <w:rPr>
          <w:rFonts w:ascii="Times New Roman" w:eastAsia="宋体" w:hAnsi="Times New Roman"/>
        </w:rPr>
        <w:t>able S</w:t>
      </w:r>
      <w:r w:rsidR="002A6E38">
        <w:rPr>
          <w:rFonts w:ascii="Times New Roman" w:eastAsia="宋体" w:hAnsi="Times New Roman"/>
        </w:rPr>
        <w:t>4</w:t>
      </w:r>
      <w:r>
        <w:rPr>
          <w:rFonts w:ascii="Times New Roman" w:eastAsia="宋体" w:hAnsi="Times New Roman"/>
        </w:rPr>
        <w:t xml:space="preserve">. </w:t>
      </w:r>
      <w:r w:rsidRPr="007A1FCB">
        <w:rPr>
          <w:rFonts w:ascii="Times New Roman" w:eastAsia="宋体" w:hAnsi="Times New Roman"/>
        </w:rPr>
        <w:t>The comparison between the predicted AUCR</w:t>
      </w:r>
      <w:r>
        <w:rPr>
          <w:rFonts w:ascii="Times New Roman" w:eastAsia="宋体" w:hAnsi="Times New Roman"/>
        </w:rPr>
        <w:t xml:space="preserve"> </w:t>
      </w:r>
      <w:r w:rsidRPr="007A1FCB">
        <w:rPr>
          <w:rFonts w:ascii="Times New Roman" w:eastAsia="宋体" w:hAnsi="Times New Roman"/>
        </w:rPr>
        <w:t>using MSMs and PBPK models with the observed data.</w:t>
      </w:r>
    </w:p>
    <w:tbl>
      <w:tblPr>
        <w:tblW w:w="8333" w:type="dxa"/>
        <w:tblLook w:val="04A0" w:firstRow="1" w:lastRow="0" w:firstColumn="1" w:lastColumn="0" w:noHBand="0" w:noVBand="1"/>
      </w:tblPr>
      <w:tblGrid>
        <w:gridCol w:w="1441"/>
        <w:gridCol w:w="905"/>
        <w:gridCol w:w="1632"/>
        <w:gridCol w:w="1970"/>
        <w:gridCol w:w="2396"/>
      </w:tblGrid>
      <w:tr w:rsidR="001A06AC" w:rsidRPr="003D0565" w14:paraId="76A28EC0" w14:textId="77777777" w:rsidTr="001A06AC">
        <w:trPr>
          <w:trHeight w:val="330"/>
        </w:trPr>
        <w:tc>
          <w:tcPr>
            <w:tcW w:w="1430" w:type="dxa"/>
            <w:vMerge w:val="restart"/>
            <w:tcBorders>
              <w:top w:val="single" w:sz="8" w:space="0" w:color="auto"/>
              <w:left w:val="nil"/>
              <w:bottom w:val="single" w:sz="8" w:space="0" w:color="000000"/>
              <w:right w:val="nil"/>
            </w:tcBorders>
            <w:shd w:val="clear" w:color="auto" w:fill="auto"/>
            <w:noWrap/>
            <w:vAlign w:val="center"/>
            <w:hideMark/>
          </w:tcPr>
          <w:p w14:paraId="40027E5A"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Compound</w:t>
            </w:r>
          </w:p>
        </w:tc>
        <w:tc>
          <w:tcPr>
            <w:tcW w:w="6903" w:type="dxa"/>
            <w:gridSpan w:val="4"/>
            <w:tcBorders>
              <w:top w:val="single" w:sz="8" w:space="0" w:color="auto"/>
              <w:left w:val="nil"/>
              <w:bottom w:val="single" w:sz="8" w:space="0" w:color="auto"/>
              <w:right w:val="nil"/>
            </w:tcBorders>
            <w:shd w:val="clear" w:color="auto" w:fill="auto"/>
            <w:noWrap/>
            <w:vAlign w:val="center"/>
            <w:hideMark/>
          </w:tcPr>
          <w:p w14:paraId="3AB61724"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AUCR</w:t>
            </w:r>
          </w:p>
        </w:tc>
      </w:tr>
      <w:tr w:rsidR="001A06AC" w:rsidRPr="003D0565" w14:paraId="436E66B5" w14:textId="77777777" w:rsidTr="001A06AC">
        <w:trPr>
          <w:trHeight w:val="330"/>
        </w:trPr>
        <w:tc>
          <w:tcPr>
            <w:tcW w:w="1430" w:type="dxa"/>
            <w:vMerge/>
            <w:tcBorders>
              <w:top w:val="single" w:sz="8" w:space="0" w:color="auto"/>
              <w:left w:val="nil"/>
              <w:bottom w:val="single" w:sz="8" w:space="0" w:color="000000"/>
              <w:right w:val="nil"/>
            </w:tcBorders>
            <w:vAlign w:val="center"/>
            <w:hideMark/>
          </w:tcPr>
          <w:p w14:paraId="554B5150" w14:textId="77777777" w:rsidR="001A06AC" w:rsidRPr="00E7517C" w:rsidRDefault="001A06AC" w:rsidP="001A06AC">
            <w:pPr>
              <w:widowControl/>
              <w:jc w:val="left"/>
              <w:rPr>
                <w:rFonts w:ascii="Times New Roman" w:eastAsia="等线" w:hAnsi="Times New Roman" w:cs="Times New Roman"/>
                <w:color w:val="000000"/>
                <w:kern w:val="0"/>
                <w:szCs w:val="21"/>
              </w:rPr>
            </w:pPr>
          </w:p>
        </w:tc>
        <w:tc>
          <w:tcPr>
            <w:tcW w:w="2537" w:type="dxa"/>
            <w:gridSpan w:val="2"/>
            <w:tcBorders>
              <w:top w:val="single" w:sz="8" w:space="0" w:color="auto"/>
              <w:left w:val="nil"/>
              <w:bottom w:val="single" w:sz="8" w:space="0" w:color="auto"/>
              <w:right w:val="nil"/>
            </w:tcBorders>
            <w:shd w:val="clear" w:color="auto" w:fill="auto"/>
            <w:noWrap/>
            <w:vAlign w:val="center"/>
            <w:hideMark/>
          </w:tcPr>
          <w:p w14:paraId="457B43C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Static mechanistic models</w:t>
            </w:r>
          </w:p>
        </w:tc>
        <w:tc>
          <w:tcPr>
            <w:tcW w:w="1970" w:type="dxa"/>
            <w:tcBorders>
              <w:top w:val="nil"/>
              <w:left w:val="nil"/>
              <w:bottom w:val="single" w:sz="8" w:space="0" w:color="auto"/>
              <w:right w:val="nil"/>
            </w:tcBorders>
            <w:shd w:val="clear" w:color="auto" w:fill="auto"/>
            <w:noWrap/>
            <w:vAlign w:val="center"/>
            <w:hideMark/>
          </w:tcPr>
          <w:p w14:paraId="24E306D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PBPK model</w:t>
            </w:r>
          </w:p>
        </w:tc>
        <w:tc>
          <w:tcPr>
            <w:tcW w:w="2396" w:type="dxa"/>
            <w:vMerge w:val="restart"/>
            <w:tcBorders>
              <w:top w:val="nil"/>
              <w:left w:val="nil"/>
              <w:bottom w:val="single" w:sz="8" w:space="0" w:color="000000"/>
              <w:right w:val="nil"/>
            </w:tcBorders>
            <w:shd w:val="clear" w:color="auto" w:fill="auto"/>
            <w:noWrap/>
            <w:vAlign w:val="center"/>
            <w:hideMark/>
          </w:tcPr>
          <w:p w14:paraId="348A9477"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Observed</w:t>
            </w:r>
          </w:p>
        </w:tc>
      </w:tr>
      <w:tr w:rsidR="001A06AC" w:rsidRPr="003D0565" w14:paraId="395B80F3" w14:textId="77777777" w:rsidTr="001A06AC">
        <w:trPr>
          <w:trHeight w:val="330"/>
        </w:trPr>
        <w:tc>
          <w:tcPr>
            <w:tcW w:w="1430" w:type="dxa"/>
            <w:vMerge/>
            <w:tcBorders>
              <w:top w:val="single" w:sz="8" w:space="0" w:color="auto"/>
              <w:left w:val="nil"/>
              <w:bottom w:val="single" w:sz="8" w:space="0" w:color="000000"/>
              <w:right w:val="nil"/>
            </w:tcBorders>
            <w:vAlign w:val="center"/>
            <w:hideMark/>
          </w:tcPr>
          <w:p w14:paraId="7D67008C" w14:textId="77777777" w:rsidR="001A06AC" w:rsidRPr="00E7517C" w:rsidRDefault="001A06AC" w:rsidP="001A06AC">
            <w:pPr>
              <w:widowControl/>
              <w:jc w:val="left"/>
              <w:rPr>
                <w:rFonts w:ascii="Times New Roman" w:eastAsia="等线" w:hAnsi="Times New Roman" w:cs="Times New Roman"/>
                <w:color w:val="000000"/>
                <w:kern w:val="0"/>
                <w:szCs w:val="21"/>
              </w:rPr>
            </w:pPr>
          </w:p>
        </w:tc>
        <w:tc>
          <w:tcPr>
            <w:tcW w:w="905" w:type="dxa"/>
            <w:tcBorders>
              <w:top w:val="nil"/>
              <w:left w:val="nil"/>
              <w:bottom w:val="single" w:sz="8" w:space="0" w:color="auto"/>
              <w:right w:val="nil"/>
            </w:tcBorders>
            <w:shd w:val="clear" w:color="auto" w:fill="auto"/>
            <w:noWrap/>
            <w:vAlign w:val="center"/>
            <w:hideMark/>
          </w:tcPr>
          <w:p w14:paraId="738CF00B"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Liver</w:t>
            </w:r>
          </w:p>
        </w:tc>
        <w:tc>
          <w:tcPr>
            <w:tcW w:w="1632" w:type="dxa"/>
            <w:tcBorders>
              <w:top w:val="nil"/>
              <w:left w:val="nil"/>
              <w:bottom w:val="single" w:sz="8" w:space="0" w:color="auto"/>
              <w:right w:val="nil"/>
            </w:tcBorders>
            <w:shd w:val="clear" w:color="auto" w:fill="auto"/>
            <w:noWrap/>
            <w:vAlign w:val="center"/>
            <w:hideMark/>
          </w:tcPr>
          <w:p w14:paraId="00E1D980" w14:textId="1A6D8E44" w:rsidR="001A06AC" w:rsidRPr="00E7517C" w:rsidRDefault="001A06AC" w:rsidP="001A06AC">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Liver+</w:t>
            </w:r>
            <w:r w:rsidR="003D0565">
              <w:rPr>
                <w:rFonts w:ascii="Times New Roman" w:eastAsia="等线" w:hAnsi="Times New Roman" w:cs="Times New Roman"/>
                <w:color w:val="000000"/>
                <w:kern w:val="0"/>
                <w:szCs w:val="21"/>
              </w:rPr>
              <w:t>G</w:t>
            </w:r>
            <w:r w:rsidRPr="00E7517C">
              <w:rPr>
                <w:rFonts w:ascii="Times New Roman" w:eastAsia="等线" w:hAnsi="Times New Roman" w:cs="Times New Roman"/>
                <w:color w:val="000000"/>
                <w:kern w:val="0"/>
                <w:szCs w:val="21"/>
              </w:rPr>
              <w:t>ut</w:t>
            </w:r>
            <w:proofErr w:type="spellEnd"/>
          </w:p>
        </w:tc>
        <w:tc>
          <w:tcPr>
            <w:tcW w:w="1970" w:type="dxa"/>
            <w:tcBorders>
              <w:top w:val="nil"/>
              <w:left w:val="nil"/>
              <w:bottom w:val="single" w:sz="8" w:space="0" w:color="auto"/>
              <w:right w:val="nil"/>
            </w:tcBorders>
            <w:shd w:val="clear" w:color="auto" w:fill="auto"/>
            <w:noWrap/>
            <w:vAlign w:val="center"/>
            <w:hideMark/>
          </w:tcPr>
          <w:p w14:paraId="7361AE95" w14:textId="77F785F1" w:rsidR="001A06AC" w:rsidRPr="00E7517C" w:rsidRDefault="001A06AC" w:rsidP="001A06AC">
            <w:pPr>
              <w:widowControl/>
              <w:jc w:val="center"/>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Liver+</w:t>
            </w:r>
            <w:r w:rsidR="003D0565">
              <w:rPr>
                <w:rFonts w:ascii="Times New Roman" w:eastAsia="等线" w:hAnsi="Times New Roman" w:cs="Times New Roman"/>
                <w:color w:val="000000"/>
                <w:kern w:val="0"/>
                <w:szCs w:val="21"/>
              </w:rPr>
              <w:t>G</w:t>
            </w:r>
            <w:r w:rsidRPr="00E7517C">
              <w:rPr>
                <w:rFonts w:ascii="Times New Roman" w:eastAsia="等线" w:hAnsi="Times New Roman" w:cs="Times New Roman"/>
                <w:color w:val="000000"/>
                <w:kern w:val="0"/>
                <w:szCs w:val="21"/>
              </w:rPr>
              <w:t>ut</w:t>
            </w:r>
            <w:proofErr w:type="spellEnd"/>
          </w:p>
        </w:tc>
        <w:tc>
          <w:tcPr>
            <w:tcW w:w="2396" w:type="dxa"/>
            <w:vMerge/>
            <w:tcBorders>
              <w:top w:val="nil"/>
              <w:left w:val="nil"/>
              <w:bottom w:val="single" w:sz="8" w:space="0" w:color="000000"/>
              <w:right w:val="nil"/>
            </w:tcBorders>
            <w:vAlign w:val="center"/>
            <w:hideMark/>
          </w:tcPr>
          <w:p w14:paraId="057374FB" w14:textId="77777777" w:rsidR="001A06AC" w:rsidRPr="00E7517C" w:rsidRDefault="001A06AC" w:rsidP="001A06AC">
            <w:pPr>
              <w:widowControl/>
              <w:jc w:val="left"/>
              <w:rPr>
                <w:rFonts w:ascii="Times New Roman" w:eastAsia="等线" w:hAnsi="Times New Roman" w:cs="Times New Roman"/>
                <w:color w:val="000000"/>
                <w:kern w:val="0"/>
                <w:szCs w:val="21"/>
              </w:rPr>
            </w:pPr>
          </w:p>
        </w:tc>
      </w:tr>
      <w:tr w:rsidR="001A06AC" w:rsidRPr="003D0565" w14:paraId="35A2D615"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066EB3DC"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Apixaban</w:t>
            </w:r>
          </w:p>
        </w:tc>
        <w:tc>
          <w:tcPr>
            <w:tcW w:w="905" w:type="dxa"/>
            <w:tcBorders>
              <w:top w:val="nil"/>
              <w:left w:val="nil"/>
              <w:bottom w:val="single" w:sz="8" w:space="0" w:color="auto"/>
              <w:right w:val="nil"/>
            </w:tcBorders>
            <w:shd w:val="clear" w:color="auto" w:fill="auto"/>
            <w:noWrap/>
            <w:vAlign w:val="center"/>
            <w:hideMark/>
          </w:tcPr>
          <w:p w14:paraId="5FF6C0A2"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2.17</w:t>
            </w:r>
          </w:p>
        </w:tc>
        <w:tc>
          <w:tcPr>
            <w:tcW w:w="1632" w:type="dxa"/>
            <w:tcBorders>
              <w:top w:val="nil"/>
              <w:left w:val="nil"/>
              <w:bottom w:val="single" w:sz="8" w:space="0" w:color="auto"/>
              <w:right w:val="nil"/>
            </w:tcBorders>
            <w:shd w:val="clear" w:color="auto" w:fill="auto"/>
            <w:noWrap/>
            <w:vAlign w:val="center"/>
            <w:hideMark/>
          </w:tcPr>
          <w:p w14:paraId="1848EC2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429</w:t>
            </w:r>
          </w:p>
        </w:tc>
        <w:tc>
          <w:tcPr>
            <w:tcW w:w="1970" w:type="dxa"/>
            <w:tcBorders>
              <w:top w:val="nil"/>
              <w:left w:val="nil"/>
              <w:bottom w:val="single" w:sz="8" w:space="0" w:color="auto"/>
              <w:right w:val="nil"/>
            </w:tcBorders>
            <w:shd w:val="clear" w:color="auto" w:fill="auto"/>
            <w:noWrap/>
            <w:vAlign w:val="center"/>
            <w:hideMark/>
          </w:tcPr>
          <w:p w14:paraId="4098843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w:t>
            </w:r>
          </w:p>
        </w:tc>
        <w:tc>
          <w:tcPr>
            <w:tcW w:w="2396" w:type="dxa"/>
            <w:tcBorders>
              <w:top w:val="nil"/>
              <w:left w:val="nil"/>
              <w:bottom w:val="single" w:sz="8" w:space="0" w:color="auto"/>
              <w:right w:val="nil"/>
            </w:tcBorders>
            <w:shd w:val="clear" w:color="auto" w:fill="auto"/>
            <w:noWrap/>
            <w:vAlign w:val="center"/>
            <w:hideMark/>
          </w:tcPr>
          <w:p w14:paraId="3613EE1E"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1.99(1.81, 2.18)</w:t>
            </w:r>
          </w:p>
        </w:tc>
      </w:tr>
      <w:tr w:rsidR="001A06AC" w:rsidRPr="003D0565" w14:paraId="52D557D7"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42FBADA9"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Apremilast</w:t>
            </w:r>
          </w:p>
        </w:tc>
        <w:tc>
          <w:tcPr>
            <w:tcW w:w="905" w:type="dxa"/>
            <w:tcBorders>
              <w:top w:val="nil"/>
              <w:left w:val="nil"/>
              <w:bottom w:val="single" w:sz="8" w:space="0" w:color="auto"/>
              <w:right w:val="nil"/>
            </w:tcBorders>
            <w:shd w:val="clear" w:color="auto" w:fill="auto"/>
            <w:noWrap/>
            <w:vAlign w:val="center"/>
            <w:hideMark/>
          </w:tcPr>
          <w:p w14:paraId="4C41F18E"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5.94</w:t>
            </w:r>
          </w:p>
        </w:tc>
        <w:tc>
          <w:tcPr>
            <w:tcW w:w="1632" w:type="dxa"/>
            <w:tcBorders>
              <w:top w:val="nil"/>
              <w:left w:val="nil"/>
              <w:bottom w:val="single" w:sz="8" w:space="0" w:color="auto"/>
              <w:right w:val="nil"/>
            </w:tcBorders>
            <w:shd w:val="clear" w:color="auto" w:fill="auto"/>
            <w:noWrap/>
            <w:vAlign w:val="center"/>
            <w:hideMark/>
          </w:tcPr>
          <w:p w14:paraId="18DCA12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1165</w:t>
            </w:r>
          </w:p>
        </w:tc>
        <w:tc>
          <w:tcPr>
            <w:tcW w:w="1970" w:type="dxa"/>
            <w:tcBorders>
              <w:top w:val="nil"/>
              <w:left w:val="nil"/>
              <w:bottom w:val="single" w:sz="8" w:space="0" w:color="auto"/>
              <w:right w:val="nil"/>
            </w:tcBorders>
            <w:shd w:val="clear" w:color="auto" w:fill="auto"/>
            <w:noWrap/>
            <w:vAlign w:val="center"/>
            <w:hideMark/>
          </w:tcPr>
          <w:p w14:paraId="631F9429"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1.844</w:t>
            </w:r>
          </w:p>
        </w:tc>
        <w:tc>
          <w:tcPr>
            <w:tcW w:w="2396" w:type="dxa"/>
            <w:tcBorders>
              <w:top w:val="nil"/>
              <w:left w:val="nil"/>
              <w:bottom w:val="single" w:sz="8" w:space="0" w:color="auto"/>
              <w:right w:val="nil"/>
            </w:tcBorders>
            <w:shd w:val="clear" w:color="auto" w:fill="auto"/>
            <w:noWrap/>
            <w:vAlign w:val="center"/>
            <w:hideMark/>
          </w:tcPr>
          <w:p w14:paraId="4D83C2CF"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1.36(1.26, 1.47)</w:t>
            </w:r>
          </w:p>
        </w:tc>
      </w:tr>
      <w:tr w:rsidR="001A06AC" w:rsidRPr="003D0565" w14:paraId="23E6D7C1"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5D97A85F"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Axitinib</w:t>
            </w:r>
            <w:proofErr w:type="spellEnd"/>
          </w:p>
        </w:tc>
        <w:tc>
          <w:tcPr>
            <w:tcW w:w="905" w:type="dxa"/>
            <w:tcBorders>
              <w:top w:val="nil"/>
              <w:left w:val="nil"/>
              <w:bottom w:val="single" w:sz="8" w:space="0" w:color="auto"/>
              <w:right w:val="nil"/>
            </w:tcBorders>
            <w:shd w:val="clear" w:color="auto" w:fill="auto"/>
            <w:noWrap/>
            <w:vAlign w:val="center"/>
            <w:hideMark/>
          </w:tcPr>
          <w:p w14:paraId="1E23397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4860C58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1603</w:t>
            </w:r>
          </w:p>
        </w:tc>
        <w:tc>
          <w:tcPr>
            <w:tcW w:w="1970" w:type="dxa"/>
            <w:tcBorders>
              <w:top w:val="nil"/>
              <w:left w:val="nil"/>
              <w:bottom w:val="single" w:sz="8" w:space="0" w:color="auto"/>
              <w:right w:val="nil"/>
            </w:tcBorders>
            <w:shd w:val="clear" w:color="auto" w:fill="auto"/>
            <w:noWrap/>
            <w:vAlign w:val="center"/>
            <w:hideMark/>
          </w:tcPr>
          <w:p w14:paraId="43878FF5"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5.96</w:t>
            </w:r>
          </w:p>
        </w:tc>
        <w:tc>
          <w:tcPr>
            <w:tcW w:w="2396" w:type="dxa"/>
            <w:tcBorders>
              <w:top w:val="nil"/>
              <w:left w:val="nil"/>
              <w:bottom w:val="single" w:sz="8" w:space="0" w:color="auto"/>
              <w:right w:val="nil"/>
            </w:tcBorders>
            <w:shd w:val="clear" w:color="auto" w:fill="auto"/>
            <w:noWrap/>
            <w:vAlign w:val="center"/>
            <w:hideMark/>
          </w:tcPr>
          <w:p w14:paraId="42AA8CC2"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2.06(1.84, 2.30)</w:t>
            </w:r>
          </w:p>
        </w:tc>
      </w:tr>
      <w:tr w:rsidR="001A06AC" w:rsidRPr="003D0565" w14:paraId="58E607F9"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69EFC274"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Baricitinib</w:t>
            </w:r>
          </w:p>
        </w:tc>
        <w:tc>
          <w:tcPr>
            <w:tcW w:w="905" w:type="dxa"/>
            <w:tcBorders>
              <w:top w:val="nil"/>
              <w:left w:val="nil"/>
              <w:bottom w:val="single" w:sz="8" w:space="0" w:color="auto"/>
              <w:right w:val="nil"/>
            </w:tcBorders>
            <w:shd w:val="clear" w:color="auto" w:fill="auto"/>
            <w:noWrap/>
            <w:vAlign w:val="center"/>
            <w:hideMark/>
          </w:tcPr>
          <w:p w14:paraId="2E03D6F3"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1.21</w:t>
            </w:r>
          </w:p>
        </w:tc>
        <w:tc>
          <w:tcPr>
            <w:tcW w:w="1632" w:type="dxa"/>
            <w:tcBorders>
              <w:top w:val="nil"/>
              <w:left w:val="nil"/>
              <w:bottom w:val="single" w:sz="8" w:space="0" w:color="auto"/>
              <w:right w:val="nil"/>
            </w:tcBorders>
            <w:shd w:val="clear" w:color="auto" w:fill="auto"/>
            <w:noWrap/>
            <w:vAlign w:val="center"/>
            <w:hideMark/>
          </w:tcPr>
          <w:p w14:paraId="6459F6F3"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238</w:t>
            </w:r>
          </w:p>
        </w:tc>
        <w:tc>
          <w:tcPr>
            <w:tcW w:w="1970" w:type="dxa"/>
            <w:tcBorders>
              <w:top w:val="nil"/>
              <w:left w:val="nil"/>
              <w:bottom w:val="single" w:sz="8" w:space="0" w:color="auto"/>
              <w:right w:val="nil"/>
            </w:tcBorders>
            <w:shd w:val="clear" w:color="auto" w:fill="auto"/>
            <w:noWrap/>
            <w:vAlign w:val="center"/>
            <w:hideMark/>
          </w:tcPr>
          <w:p w14:paraId="6A63BDD6"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w:t>
            </w:r>
          </w:p>
        </w:tc>
        <w:tc>
          <w:tcPr>
            <w:tcW w:w="2396" w:type="dxa"/>
            <w:tcBorders>
              <w:top w:val="nil"/>
              <w:left w:val="nil"/>
              <w:bottom w:val="single" w:sz="8" w:space="0" w:color="auto"/>
              <w:right w:val="nil"/>
            </w:tcBorders>
            <w:shd w:val="clear" w:color="auto" w:fill="auto"/>
            <w:noWrap/>
            <w:vAlign w:val="center"/>
            <w:hideMark/>
          </w:tcPr>
          <w:p w14:paraId="0F76BAB9"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1.21(1.17, 1.24)</w:t>
            </w:r>
          </w:p>
        </w:tc>
      </w:tr>
      <w:tr w:rsidR="001A06AC" w:rsidRPr="003D0565" w14:paraId="1C320A5C"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0BCCC137"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Bosutinib</w:t>
            </w:r>
          </w:p>
        </w:tc>
        <w:tc>
          <w:tcPr>
            <w:tcW w:w="905" w:type="dxa"/>
            <w:tcBorders>
              <w:top w:val="nil"/>
              <w:left w:val="nil"/>
              <w:bottom w:val="single" w:sz="8" w:space="0" w:color="auto"/>
              <w:right w:val="nil"/>
            </w:tcBorders>
            <w:shd w:val="clear" w:color="auto" w:fill="auto"/>
            <w:noWrap/>
            <w:vAlign w:val="center"/>
            <w:hideMark/>
          </w:tcPr>
          <w:p w14:paraId="491D01B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2.58</w:t>
            </w:r>
          </w:p>
        </w:tc>
        <w:tc>
          <w:tcPr>
            <w:tcW w:w="1632" w:type="dxa"/>
            <w:tcBorders>
              <w:top w:val="nil"/>
              <w:left w:val="nil"/>
              <w:bottom w:val="single" w:sz="8" w:space="0" w:color="auto"/>
              <w:right w:val="nil"/>
            </w:tcBorders>
            <w:shd w:val="clear" w:color="auto" w:fill="auto"/>
            <w:noWrap/>
            <w:vAlign w:val="center"/>
            <w:hideMark/>
          </w:tcPr>
          <w:p w14:paraId="78D7C62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255</w:t>
            </w:r>
          </w:p>
        </w:tc>
        <w:tc>
          <w:tcPr>
            <w:tcW w:w="1970" w:type="dxa"/>
            <w:tcBorders>
              <w:top w:val="nil"/>
              <w:left w:val="nil"/>
              <w:bottom w:val="single" w:sz="8" w:space="0" w:color="auto"/>
              <w:right w:val="nil"/>
            </w:tcBorders>
            <w:shd w:val="clear" w:color="auto" w:fill="auto"/>
            <w:noWrap/>
            <w:vAlign w:val="center"/>
            <w:hideMark/>
          </w:tcPr>
          <w:p w14:paraId="08D9F654"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8.35</w:t>
            </w:r>
          </w:p>
        </w:tc>
        <w:tc>
          <w:tcPr>
            <w:tcW w:w="2396" w:type="dxa"/>
            <w:tcBorders>
              <w:top w:val="nil"/>
              <w:left w:val="nil"/>
              <w:bottom w:val="single" w:sz="8" w:space="0" w:color="auto"/>
              <w:right w:val="nil"/>
            </w:tcBorders>
            <w:shd w:val="clear" w:color="auto" w:fill="auto"/>
            <w:noWrap/>
            <w:vAlign w:val="center"/>
            <w:hideMark/>
          </w:tcPr>
          <w:p w14:paraId="2CCBA97E"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7.55(6.42, 8.88)</w:t>
            </w:r>
          </w:p>
        </w:tc>
      </w:tr>
      <w:tr w:rsidR="001A06AC" w:rsidRPr="003D0565" w14:paraId="57FF2377"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46C43F1E"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Crizotinib</w:t>
            </w:r>
            <w:proofErr w:type="spellEnd"/>
          </w:p>
        </w:tc>
        <w:tc>
          <w:tcPr>
            <w:tcW w:w="905" w:type="dxa"/>
            <w:tcBorders>
              <w:top w:val="nil"/>
              <w:left w:val="nil"/>
              <w:bottom w:val="single" w:sz="8" w:space="0" w:color="auto"/>
              <w:right w:val="nil"/>
            </w:tcBorders>
            <w:shd w:val="clear" w:color="auto" w:fill="auto"/>
            <w:noWrap/>
            <w:vAlign w:val="center"/>
            <w:hideMark/>
          </w:tcPr>
          <w:p w14:paraId="71B6379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3.36</w:t>
            </w:r>
          </w:p>
        </w:tc>
        <w:tc>
          <w:tcPr>
            <w:tcW w:w="1632" w:type="dxa"/>
            <w:tcBorders>
              <w:top w:val="nil"/>
              <w:left w:val="nil"/>
              <w:bottom w:val="single" w:sz="8" w:space="0" w:color="auto"/>
              <w:right w:val="nil"/>
            </w:tcBorders>
            <w:shd w:val="clear" w:color="auto" w:fill="auto"/>
            <w:noWrap/>
            <w:vAlign w:val="center"/>
            <w:hideMark/>
          </w:tcPr>
          <w:p w14:paraId="76807A71"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336</w:t>
            </w:r>
          </w:p>
        </w:tc>
        <w:tc>
          <w:tcPr>
            <w:tcW w:w="1970" w:type="dxa"/>
            <w:tcBorders>
              <w:top w:val="nil"/>
              <w:left w:val="nil"/>
              <w:bottom w:val="single" w:sz="8" w:space="0" w:color="auto"/>
              <w:right w:val="nil"/>
            </w:tcBorders>
            <w:shd w:val="clear" w:color="auto" w:fill="auto"/>
            <w:noWrap/>
            <w:vAlign w:val="center"/>
            <w:hideMark/>
          </w:tcPr>
          <w:p w14:paraId="39E63D5C"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2.552</w:t>
            </w:r>
          </w:p>
        </w:tc>
        <w:tc>
          <w:tcPr>
            <w:tcW w:w="2396" w:type="dxa"/>
            <w:tcBorders>
              <w:top w:val="nil"/>
              <w:left w:val="nil"/>
              <w:bottom w:val="single" w:sz="8" w:space="0" w:color="auto"/>
              <w:right w:val="nil"/>
            </w:tcBorders>
            <w:shd w:val="clear" w:color="auto" w:fill="auto"/>
            <w:noWrap/>
            <w:vAlign w:val="center"/>
            <w:hideMark/>
          </w:tcPr>
          <w:p w14:paraId="50CCB316"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 xml:space="preserve">3.16(2.86, 3.50) </w:t>
            </w:r>
          </w:p>
        </w:tc>
      </w:tr>
      <w:tr w:rsidR="001A06AC" w:rsidRPr="003D0565" w14:paraId="05B2A5BE"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72006937"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Edoxaban</w:t>
            </w:r>
            <w:proofErr w:type="spellEnd"/>
          </w:p>
        </w:tc>
        <w:tc>
          <w:tcPr>
            <w:tcW w:w="905" w:type="dxa"/>
            <w:tcBorders>
              <w:top w:val="nil"/>
              <w:left w:val="nil"/>
              <w:bottom w:val="single" w:sz="8" w:space="0" w:color="auto"/>
              <w:right w:val="nil"/>
            </w:tcBorders>
            <w:shd w:val="clear" w:color="auto" w:fill="auto"/>
            <w:noWrap/>
            <w:vAlign w:val="center"/>
            <w:hideMark/>
          </w:tcPr>
          <w:p w14:paraId="14D14CC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1.38</w:t>
            </w:r>
          </w:p>
        </w:tc>
        <w:tc>
          <w:tcPr>
            <w:tcW w:w="1632" w:type="dxa"/>
            <w:tcBorders>
              <w:top w:val="nil"/>
              <w:left w:val="nil"/>
              <w:bottom w:val="single" w:sz="8" w:space="0" w:color="auto"/>
              <w:right w:val="nil"/>
            </w:tcBorders>
            <w:shd w:val="clear" w:color="auto" w:fill="auto"/>
            <w:noWrap/>
            <w:vAlign w:val="center"/>
            <w:hideMark/>
          </w:tcPr>
          <w:p w14:paraId="3C7B5A6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270</w:t>
            </w:r>
          </w:p>
        </w:tc>
        <w:tc>
          <w:tcPr>
            <w:tcW w:w="1970" w:type="dxa"/>
            <w:tcBorders>
              <w:top w:val="nil"/>
              <w:left w:val="nil"/>
              <w:bottom w:val="single" w:sz="8" w:space="0" w:color="auto"/>
              <w:right w:val="nil"/>
            </w:tcBorders>
            <w:shd w:val="clear" w:color="auto" w:fill="auto"/>
            <w:noWrap/>
            <w:vAlign w:val="center"/>
            <w:hideMark/>
          </w:tcPr>
          <w:p w14:paraId="63487277"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w:t>
            </w:r>
          </w:p>
        </w:tc>
        <w:tc>
          <w:tcPr>
            <w:tcW w:w="2396" w:type="dxa"/>
            <w:tcBorders>
              <w:top w:val="nil"/>
              <w:left w:val="nil"/>
              <w:bottom w:val="single" w:sz="8" w:space="0" w:color="auto"/>
              <w:right w:val="nil"/>
            </w:tcBorders>
            <w:shd w:val="clear" w:color="auto" w:fill="auto"/>
            <w:noWrap/>
            <w:vAlign w:val="center"/>
            <w:hideMark/>
          </w:tcPr>
          <w:p w14:paraId="6D5C36E3"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1.87(1.76, 1.98)</w:t>
            </w:r>
          </w:p>
        </w:tc>
      </w:tr>
      <w:tr w:rsidR="001A06AC" w:rsidRPr="003D0565" w14:paraId="5B99A147"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318D267E"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Elagolix</w:t>
            </w:r>
            <w:proofErr w:type="spellEnd"/>
          </w:p>
        </w:tc>
        <w:tc>
          <w:tcPr>
            <w:tcW w:w="905" w:type="dxa"/>
            <w:tcBorders>
              <w:top w:val="nil"/>
              <w:left w:val="nil"/>
              <w:bottom w:val="single" w:sz="8" w:space="0" w:color="auto"/>
              <w:right w:val="nil"/>
            </w:tcBorders>
            <w:shd w:val="clear" w:color="auto" w:fill="auto"/>
            <w:noWrap/>
            <w:vAlign w:val="center"/>
            <w:hideMark/>
          </w:tcPr>
          <w:p w14:paraId="0F0A79A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1.64</w:t>
            </w:r>
          </w:p>
        </w:tc>
        <w:tc>
          <w:tcPr>
            <w:tcW w:w="1632" w:type="dxa"/>
            <w:tcBorders>
              <w:top w:val="nil"/>
              <w:left w:val="nil"/>
              <w:bottom w:val="single" w:sz="8" w:space="0" w:color="auto"/>
              <w:right w:val="nil"/>
            </w:tcBorders>
            <w:shd w:val="clear" w:color="auto" w:fill="auto"/>
            <w:noWrap/>
            <w:vAlign w:val="center"/>
            <w:hideMark/>
          </w:tcPr>
          <w:p w14:paraId="1FE9D941"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323</w:t>
            </w:r>
          </w:p>
        </w:tc>
        <w:tc>
          <w:tcPr>
            <w:tcW w:w="1970" w:type="dxa"/>
            <w:tcBorders>
              <w:top w:val="nil"/>
              <w:left w:val="nil"/>
              <w:bottom w:val="single" w:sz="8" w:space="0" w:color="auto"/>
              <w:right w:val="nil"/>
            </w:tcBorders>
            <w:shd w:val="clear" w:color="auto" w:fill="auto"/>
            <w:noWrap/>
            <w:vAlign w:val="center"/>
            <w:hideMark/>
          </w:tcPr>
          <w:p w14:paraId="6940676E"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1.17</w:t>
            </w:r>
          </w:p>
        </w:tc>
        <w:tc>
          <w:tcPr>
            <w:tcW w:w="2396" w:type="dxa"/>
            <w:tcBorders>
              <w:top w:val="nil"/>
              <w:left w:val="nil"/>
              <w:bottom w:val="single" w:sz="8" w:space="0" w:color="auto"/>
              <w:right w:val="nil"/>
            </w:tcBorders>
            <w:shd w:val="clear" w:color="auto" w:fill="auto"/>
            <w:noWrap/>
            <w:vAlign w:val="center"/>
            <w:hideMark/>
          </w:tcPr>
          <w:p w14:paraId="66CCD87A"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2.20(1.98, 2.44)</w:t>
            </w:r>
          </w:p>
        </w:tc>
      </w:tr>
      <w:tr w:rsidR="001A06AC" w:rsidRPr="003D0565" w14:paraId="5B14B4EC"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2FCCFC48"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Fedratinib</w:t>
            </w:r>
            <w:proofErr w:type="spellEnd"/>
          </w:p>
        </w:tc>
        <w:tc>
          <w:tcPr>
            <w:tcW w:w="905" w:type="dxa"/>
            <w:tcBorders>
              <w:top w:val="nil"/>
              <w:left w:val="nil"/>
              <w:bottom w:val="single" w:sz="8" w:space="0" w:color="auto"/>
              <w:right w:val="nil"/>
            </w:tcBorders>
            <w:shd w:val="clear" w:color="auto" w:fill="auto"/>
            <w:noWrap/>
            <w:vAlign w:val="center"/>
            <w:hideMark/>
          </w:tcPr>
          <w:p w14:paraId="65F727A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3.73</w:t>
            </w:r>
          </w:p>
        </w:tc>
        <w:tc>
          <w:tcPr>
            <w:tcW w:w="1632" w:type="dxa"/>
            <w:tcBorders>
              <w:top w:val="nil"/>
              <w:left w:val="nil"/>
              <w:bottom w:val="single" w:sz="8" w:space="0" w:color="auto"/>
              <w:right w:val="nil"/>
            </w:tcBorders>
            <w:shd w:val="clear" w:color="auto" w:fill="auto"/>
            <w:noWrap/>
            <w:vAlign w:val="center"/>
            <w:hideMark/>
          </w:tcPr>
          <w:p w14:paraId="55BA09A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375</w:t>
            </w:r>
          </w:p>
        </w:tc>
        <w:tc>
          <w:tcPr>
            <w:tcW w:w="1970" w:type="dxa"/>
            <w:tcBorders>
              <w:top w:val="nil"/>
              <w:left w:val="nil"/>
              <w:bottom w:val="single" w:sz="8" w:space="0" w:color="auto"/>
              <w:right w:val="nil"/>
            </w:tcBorders>
            <w:shd w:val="clear" w:color="auto" w:fill="auto"/>
            <w:noWrap/>
            <w:vAlign w:val="center"/>
            <w:hideMark/>
          </w:tcPr>
          <w:p w14:paraId="5D119539"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3.468</w:t>
            </w:r>
          </w:p>
        </w:tc>
        <w:tc>
          <w:tcPr>
            <w:tcW w:w="2396" w:type="dxa"/>
            <w:tcBorders>
              <w:top w:val="nil"/>
              <w:left w:val="nil"/>
              <w:bottom w:val="single" w:sz="8" w:space="0" w:color="auto"/>
              <w:right w:val="nil"/>
            </w:tcBorders>
            <w:shd w:val="clear" w:color="auto" w:fill="auto"/>
            <w:noWrap/>
            <w:vAlign w:val="center"/>
            <w:hideMark/>
          </w:tcPr>
          <w:p w14:paraId="06969D14"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3.85(2.89, 5.12)</w:t>
            </w:r>
          </w:p>
        </w:tc>
      </w:tr>
      <w:tr w:rsidR="001A06AC" w:rsidRPr="003D0565" w14:paraId="1AB96FBF"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446DA577"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Flibanserin</w:t>
            </w:r>
            <w:proofErr w:type="spellEnd"/>
          </w:p>
        </w:tc>
        <w:tc>
          <w:tcPr>
            <w:tcW w:w="905" w:type="dxa"/>
            <w:tcBorders>
              <w:top w:val="nil"/>
              <w:left w:val="nil"/>
              <w:bottom w:val="single" w:sz="8" w:space="0" w:color="auto"/>
              <w:right w:val="nil"/>
            </w:tcBorders>
            <w:shd w:val="clear" w:color="auto" w:fill="auto"/>
            <w:noWrap/>
            <w:vAlign w:val="center"/>
            <w:hideMark/>
          </w:tcPr>
          <w:p w14:paraId="3D719701"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49BAD3DC"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1604</w:t>
            </w:r>
          </w:p>
        </w:tc>
        <w:tc>
          <w:tcPr>
            <w:tcW w:w="1970" w:type="dxa"/>
            <w:tcBorders>
              <w:top w:val="nil"/>
              <w:left w:val="nil"/>
              <w:bottom w:val="single" w:sz="8" w:space="0" w:color="auto"/>
              <w:right w:val="nil"/>
            </w:tcBorders>
            <w:shd w:val="clear" w:color="auto" w:fill="auto"/>
            <w:noWrap/>
            <w:vAlign w:val="center"/>
            <w:hideMark/>
          </w:tcPr>
          <w:p w14:paraId="1F5E783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6.581</w:t>
            </w:r>
          </w:p>
        </w:tc>
        <w:tc>
          <w:tcPr>
            <w:tcW w:w="2396" w:type="dxa"/>
            <w:tcBorders>
              <w:top w:val="nil"/>
              <w:left w:val="nil"/>
              <w:bottom w:val="single" w:sz="8" w:space="0" w:color="auto"/>
              <w:right w:val="nil"/>
            </w:tcBorders>
            <w:shd w:val="clear" w:color="auto" w:fill="auto"/>
            <w:noWrap/>
            <w:vAlign w:val="center"/>
            <w:hideMark/>
          </w:tcPr>
          <w:p w14:paraId="0637836C"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4.5</w:t>
            </w:r>
          </w:p>
        </w:tc>
      </w:tr>
      <w:tr w:rsidR="001A06AC" w:rsidRPr="003D0565" w14:paraId="4C99F67A"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5700BDFD"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lastRenderedPageBreak/>
              <w:t>Fostamatinib</w:t>
            </w:r>
          </w:p>
        </w:tc>
        <w:tc>
          <w:tcPr>
            <w:tcW w:w="905" w:type="dxa"/>
            <w:tcBorders>
              <w:top w:val="nil"/>
              <w:left w:val="nil"/>
              <w:bottom w:val="single" w:sz="8" w:space="0" w:color="auto"/>
              <w:right w:val="nil"/>
            </w:tcBorders>
            <w:shd w:val="clear" w:color="auto" w:fill="auto"/>
            <w:noWrap/>
            <w:vAlign w:val="center"/>
            <w:hideMark/>
          </w:tcPr>
          <w:p w14:paraId="5285775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4.01</w:t>
            </w:r>
          </w:p>
        </w:tc>
        <w:tc>
          <w:tcPr>
            <w:tcW w:w="1632" w:type="dxa"/>
            <w:tcBorders>
              <w:top w:val="nil"/>
              <w:left w:val="nil"/>
              <w:bottom w:val="single" w:sz="8" w:space="0" w:color="auto"/>
              <w:right w:val="nil"/>
            </w:tcBorders>
            <w:shd w:val="clear" w:color="auto" w:fill="auto"/>
            <w:noWrap/>
            <w:vAlign w:val="center"/>
            <w:hideMark/>
          </w:tcPr>
          <w:p w14:paraId="653F212F"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405</w:t>
            </w:r>
          </w:p>
        </w:tc>
        <w:tc>
          <w:tcPr>
            <w:tcW w:w="1970" w:type="dxa"/>
            <w:tcBorders>
              <w:top w:val="nil"/>
              <w:left w:val="nil"/>
              <w:bottom w:val="single" w:sz="8" w:space="0" w:color="auto"/>
              <w:right w:val="nil"/>
            </w:tcBorders>
            <w:shd w:val="clear" w:color="auto" w:fill="auto"/>
            <w:noWrap/>
            <w:vAlign w:val="center"/>
            <w:hideMark/>
          </w:tcPr>
          <w:p w14:paraId="41E90235"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1.443</w:t>
            </w:r>
          </w:p>
        </w:tc>
        <w:tc>
          <w:tcPr>
            <w:tcW w:w="2396" w:type="dxa"/>
            <w:tcBorders>
              <w:top w:val="nil"/>
              <w:left w:val="nil"/>
              <w:bottom w:val="single" w:sz="8" w:space="0" w:color="auto"/>
              <w:right w:val="nil"/>
            </w:tcBorders>
            <w:shd w:val="clear" w:color="auto" w:fill="auto"/>
            <w:noWrap/>
            <w:vAlign w:val="center"/>
            <w:hideMark/>
          </w:tcPr>
          <w:p w14:paraId="230687F1"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2.02(1.77, 2.30)</w:t>
            </w:r>
          </w:p>
        </w:tc>
      </w:tr>
      <w:tr w:rsidR="001A06AC" w:rsidRPr="003D0565" w14:paraId="33259558"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49917C90"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Ibrutinib</w:t>
            </w:r>
          </w:p>
        </w:tc>
        <w:tc>
          <w:tcPr>
            <w:tcW w:w="905" w:type="dxa"/>
            <w:tcBorders>
              <w:top w:val="nil"/>
              <w:left w:val="nil"/>
              <w:bottom w:val="single" w:sz="8" w:space="0" w:color="auto"/>
              <w:right w:val="nil"/>
            </w:tcBorders>
            <w:shd w:val="clear" w:color="auto" w:fill="auto"/>
            <w:noWrap/>
            <w:vAlign w:val="center"/>
            <w:hideMark/>
          </w:tcPr>
          <w:p w14:paraId="6D647CC6"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4313975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237</w:t>
            </w:r>
          </w:p>
        </w:tc>
        <w:tc>
          <w:tcPr>
            <w:tcW w:w="1970" w:type="dxa"/>
            <w:tcBorders>
              <w:top w:val="nil"/>
              <w:left w:val="nil"/>
              <w:bottom w:val="single" w:sz="8" w:space="0" w:color="auto"/>
              <w:right w:val="nil"/>
            </w:tcBorders>
            <w:shd w:val="clear" w:color="auto" w:fill="auto"/>
            <w:noWrap/>
            <w:vAlign w:val="center"/>
            <w:hideMark/>
          </w:tcPr>
          <w:p w14:paraId="61A0BABE"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26.09</w:t>
            </w:r>
          </w:p>
        </w:tc>
        <w:tc>
          <w:tcPr>
            <w:tcW w:w="2396" w:type="dxa"/>
            <w:tcBorders>
              <w:top w:val="nil"/>
              <w:left w:val="nil"/>
              <w:bottom w:val="single" w:sz="8" w:space="0" w:color="auto"/>
              <w:right w:val="nil"/>
            </w:tcBorders>
            <w:shd w:val="clear" w:color="auto" w:fill="auto"/>
            <w:noWrap/>
            <w:vAlign w:val="center"/>
            <w:hideMark/>
          </w:tcPr>
          <w:p w14:paraId="6E28ED54"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26.2(20.0, 34.4)</w:t>
            </w:r>
          </w:p>
        </w:tc>
      </w:tr>
      <w:tr w:rsidR="001A06AC" w:rsidRPr="003D0565" w14:paraId="3FBCBDC1"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43DF251D"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Istradefylline</w:t>
            </w:r>
            <w:proofErr w:type="spellEnd"/>
            <w:r w:rsidRPr="00E7517C">
              <w:rPr>
                <w:rFonts w:ascii="Times New Roman" w:eastAsia="等线" w:hAnsi="Times New Roman" w:cs="Times New Roman"/>
                <w:color w:val="000000"/>
                <w:kern w:val="0"/>
                <w:szCs w:val="21"/>
              </w:rPr>
              <w:t xml:space="preserve"> </w:t>
            </w:r>
          </w:p>
        </w:tc>
        <w:tc>
          <w:tcPr>
            <w:tcW w:w="905" w:type="dxa"/>
            <w:tcBorders>
              <w:top w:val="nil"/>
              <w:left w:val="nil"/>
              <w:bottom w:val="single" w:sz="8" w:space="0" w:color="auto"/>
              <w:right w:val="nil"/>
            </w:tcBorders>
            <w:shd w:val="clear" w:color="auto" w:fill="auto"/>
            <w:noWrap/>
            <w:vAlign w:val="center"/>
            <w:hideMark/>
          </w:tcPr>
          <w:p w14:paraId="629FA2B3"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4.01</w:t>
            </w:r>
          </w:p>
        </w:tc>
        <w:tc>
          <w:tcPr>
            <w:tcW w:w="1632" w:type="dxa"/>
            <w:tcBorders>
              <w:top w:val="nil"/>
              <w:left w:val="nil"/>
              <w:bottom w:val="single" w:sz="8" w:space="0" w:color="auto"/>
              <w:right w:val="nil"/>
            </w:tcBorders>
            <w:shd w:val="clear" w:color="auto" w:fill="auto"/>
            <w:noWrap/>
            <w:vAlign w:val="center"/>
            <w:hideMark/>
          </w:tcPr>
          <w:p w14:paraId="21318CB7"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404</w:t>
            </w:r>
          </w:p>
        </w:tc>
        <w:tc>
          <w:tcPr>
            <w:tcW w:w="1970" w:type="dxa"/>
            <w:tcBorders>
              <w:top w:val="nil"/>
              <w:left w:val="nil"/>
              <w:bottom w:val="single" w:sz="8" w:space="0" w:color="auto"/>
              <w:right w:val="nil"/>
            </w:tcBorders>
            <w:shd w:val="clear" w:color="auto" w:fill="auto"/>
            <w:noWrap/>
            <w:vAlign w:val="center"/>
            <w:hideMark/>
          </w:tcPr>
          <w:p w14:paraId="04EFFA3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2.136</w:t>
            </w:r>
          </w:p>
        </w:tc>
        <w:tc>
          <w:tcPr>
            <w:tcW w:w="2396" w:type="dxa"/>
            <w:tcBorders>
              <w:top w:val="nil"/>
              <w:left w:val="nil"/>
              <w:bottom w:val="single" w:sz="8" w:space="0" w:color="auto"/>
              <w:right w:val="nil"/>
            </w:tcBorders>
            <w:shd w:val="clear" w:color="auto" w:fill="auto"/>
            <w:noWrap/>
            <w:vAlign w:val="center"/>
            <w:hideMark/>
          </w:tcPr>
          <w:p w14:paraId="055F9AA7"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2.47(1.92, 3.18)</w:t>
            </w:r>
          </w:p>
        </w:tc>
      </w:tr>
      <w:tr w:rsidR="001A06AC" w:rsidRPr="003D0565" w14:paraId="18634C29"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46C85AB9"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Lenvatinib</w:t>
            </w:r>
          </w:p>
        </w:tc>
        <w:tc>
          <w:tcPr>
            <w:tcW w:w="905" w:type="dxa"/>
            <w:tcBorders>
              <w:top w:val="nil"/>
              <w:left w:val="nil"/>
              <w:bottom w:val="single" w:sz="8" w:space="0" w:color="auto"/>
              <w:right w:val="nil"/>
            </w:tcBorders>
            <w:shd w:val="clear" w:color="auto" w:fill="auto"/>
            <w:noWrap/>
            <w:vAlign w:val="center"/>
            <w:hideMark/>
          </w:tcPr>
          <w:p w14:paraId="0F4D3B3C"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20E61FF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1591</w:t>
            </w:r>
          </w:p>
        </w:tc>
        <w:tc>
          <w:tcPr>
            <w:tcW w:w="1970" w:type="dxa"/>
            <w:tcBorders>
              <w:top w:val="nil"/>
              <w:left w:val="nil"/>
              <w:bottom w:val="single" w:sz="8" w:space="0" w:color="auto"/>
              <w:right w:val="nil"/>
            </w:tcBorders>
            <w:shd w:val="clear" w:color="auto" w:fill="auto"/>
            <w:noWrap/>
            <w:vAlign w:val="center"/>
            <w:hideMark/>
          </w:tcPr>
          <w:p w14:paraId="37656F9F"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w:t>
            </w:r>
          </w:p>
        </w:tc>
        <w:tc>
          <w:tcPr>
            <w:tcW w:w="2396" w:type="dxa"/>
            <w:tcBorders>
              <w:top w:val="nil"/>
              <w:left w:val="nil"/>
              <w:bottom w:val="single" w:sz="8" w:space="0" w:color="auto"/>
              <w:right w:val="nil"/>
            </w:tcBorders>
            <w:shd w:val="clear" w:color="auto" w:fill="auto"/>
            <w:noWrap/>
            <w:vAlign w:val="center"/>
            <w:hideMark/>
          </w:tcPr>
          <w:p w14:paraId="4977EA46"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1.15(1.08, 1.21)</w:t>
            </w:r>
          </w:p>
        </w:tc>
      </w:tr>
      <w:tr w:rsidR="001A06AC" w:rsidRPr="003D0565" w14:paraId="7FB874F3"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346D745F"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Macitentan</w:t>
            </w:r>
            <w:proofErr w:type="spellEnd"/>
          </w:p>
        </w:tc>
        <w:tc>
          <w:tcPr>
            <w:tcW w:w="905" w:type="dxa"/>
            <w:tcBorders>
              <w:top w:val="nil"/>
              <w:left w:val="nil"/>
              <w:bottom w:val="single" w:sz="8" w:space="0" w:color="auto"/>
              <w:right w:val="nil"/>
            </w:tcBorders>
            <w:shd w:val="clear" w:color="auto" w:fill="auto"/>
            <w:noWrap/>
            <w:vAlign w:val="center"/>
            <w:hideMark/>
          </w:tcPr>
          <w:p w14:paraId="6616322E"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7C900E76"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1591</w:t>
            </w:r>
          </w:p>
        </w:tc>
        <w:tc>
          <w:tcPr>
            <w:tcW w:w="1970" w:type="dxa"/>
            <w:tcBorders>
              <w:top w:val="nil"/>
              <w:left w:val="nil"/>
              <w:bottom w:val="single" w:sz="8" w:space="0" w:color="auto"/>
              <w:right w:val="nil"/>
            </w:tcBorders>
            <w:shd w:val="clear" w:color="auto" w:fill="auto"/>
            <w:noWrap/>
            <w:vAlign w:val="center"/>
            <w:hideMark/>
          </w:tcPr>
          <w:p w14:paraId="3D87B975"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2.904</w:t>
            </w:r>
          </w:p>
        </w:tc>
        <w:tc>
          <w:tcPr>
            <w:tcW w:w="2396" w:type="dxa"/>
            <w:tcBorders>
              <w:top w:val="nil"/>
              <w:left w:val="nil"/>
              <w:bottom w:val="single" w:sz="8" w:space="0" w:color="auto"/>
              <w:right w:val="nil"/>
            </w:tcBorders>
            <w:shd w:val="clear" w:color="auto" w:fill="auto"/>
            <w:noWrap/>
            <w:vAlign w:val="center"/>
            <w:hideMark/>
          </w:tcPr>
          <w:p w14:paraId="1AE28942"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2.30(2.10, 2.50)</w:t>
            </w:r>
          </w:p>
        </w:tc>
      </w:tr>
      <w:tr w:rsidR="001A06AC" w:rsidRPr="003D0565" w14:paraId="26589974"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626B9585"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Nintedanib</w:t>
            </w:r>
            <w:proofErr w:type="spellEnd"/>
          </w:p>
        </w:tc>
        <w:tc>
          <w:tcPr>
            <w:tcW w:w="905" w:type="dxa"/>
            <w:tcBorders>
              <w:top w:val="nil"/>
              <w:left w:val="nil"/>
              <w:bottom w:val="single" w:sz="8" w:space="0" w:color="auto"/>
              <w:right w:val="nil"/>
            </w:tcBorders>
            <w:shd w:val="clear" w:color="auto" w:fill="auto"/>
            <w:noWrap/>
            <w:vAlign w:val="center"/>
            <w:hideMark/>
          </w:tcPr>
          <w:p w14:paraId="54540A46"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3.76</w:t>
            </w:r>
          </w:p>
        </w:tc>
        <w:tc>
          <w:tcPr>
            <w:tcW w:w="1632" w:type="dxa"/>
            <w:tcBorders>
              <w:top w:val="nil"/>
              <w:left w:val="nil"/>
              <w:bottom w:val="single" w:sz="8" w:space="0" w:color="auto"/>
              <w:right w:val="nil"/>
            </w:tcBorders>
            <w:shd w:val="clear" w:color="auto" w:fill="auto"/>
            <w:noWrap/>
            <w:vAlign w:val="center"/>
            <w:hideMark/>
          </w:tcPr>
          <w:p w14:paraId="371AFC0B"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111</w:t>
            </w:r>
          </w:p>
        </w:tc>
        <w:tc>
          <w:tcPr>
            <w:tcW w:w="1970" w:type="dxa"/>
            <w:tcBorders>
              <w:top w:val="nil"/>
              <w:left w:val="nil"/>
              <w:bottom w:val="single" w:sz="8" w:space="0" w:color="auto"/>
              <w:right w:val="nil"/>
            </w:tcBorders>
            <w:shd w:val="clear" w:color="auto" w:fill="auto"/>
            <w:noWrap/>
            <w:vAlign w:val="center"/>
            <w:hideMark/>
          </w:tcPr>
          <w:p w14:paraId="2143F8F5"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1.817</w:t>
            </w:r>
          </w:p>
        </w:tc>
        <w:tc>
          <w:tcPr>
            <w:tcW w:w="2396" w:type="dxa"/>
            <w:tcBorders>
              <w:top w:val="nil"/>
              <w:left w:val="nil"/>
              <w:bottom w:val="single" w:sz="8" w:space="0" w:color="auto"/>
              <w:right w:val="nil"/>
            </w:tcBorders>
            <w:shd w:val="clear" w:color="auto" w:fill="auto"/>
            <w:noWrap/>
            <w:vAlign w:val="center"/>
            <w:hideMark/>
          </w:tcPr>
          <w:p w14:paraId="47B28301"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1.61(1.48, 1.74)</w:t>
            </w:r>
          </w:p>
        </w:tc>
      </w:tr>
      <w:tr w:rsidR="001A06AC" w:rsidRPr="003D0565" w14:paraId="4FC690F5"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3003B3AF"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Ospemifene</w:t>
            </w:r>
          </w:p>
        </w:tc>
        <w:tc>
          <w:tcPr>
            <w:tcW w:w="905" w:type="dxa"/>
            <w:tcBorders>
              <w:top w:val="nil"/>
              <w:left w:val="nil"/>
              <w:bottom w:val="single" w:sz="8" w:space="0" w:color="auto"/>
              <w:right w:val="nil"/>
            </w:tcBorders>
            <w:shd w:val="clear" w:color="auto" w:fill="auto"/>
            <w:noWrap/>
            <w:vAlign w:val="center"/>
            <w:hideMark/>
          </w:tcPr>
          <w:p w14:paraId="1911116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3ED635B3"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1608</w:t>
            </w:r>
          </w:p>
        </w:tc>
        <w:tc>
          <w:tcPr>
            <w:tcW w:w="1970" w:type="dxa"/>
            <w:tcBorders>
              <w:top w:val="nil"/>
              <w:left w:val="nil"/>
              <w:bottom w:val="single" w:sz="8" w:space="0" w:color="auto"/>
              <w:right w:val="nil"/>
            </w:tcBorders>
            <w:shd w:val="clear" w:color="auto" w:fill="auto"/>
            <w:noWrap/>
            <w:vAlign w:val="center"/>
            <w:hideMark/>
          </w:tcPr>
          <w:p w14:paraId="3AD6E939"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1.991</w:t>
            </w:r>
          </w:p>
        </w:tc>
        <w:tc>
          <w:tcPr>
            <w:tcW w:w="2396" w:type="dxa"/>
            <w:tcBorders>
              <w:top w:val="nil"/>
              <w:left w:val="nil"/>
              <w:bottom w:val="single" w:sz="8" w:space="0" w:color="auto"/>
              <w:right w:val="nil"/>
            </w:tcBorders>
            <w:shd w:val="clear" w:color="auto" w:fill="auto"/>
            <w:noWrap/>
            <w:vAlign w:val="center"/>
            <w:hideMark/>
          </w:tcPr>
          <w:p w14:paraId="61BDF756"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1.42(1.27, 1.60)</w:t>
            </w:r>
          </w:p>
        </w:tc>
      </w:tr>
      <w:tr w:rsidR="001A06AC" w:rsidRPr="003D0565" w14:paraId="790A7DDF"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0FB3E45E"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Panobinostat</w:t>
            </w:r>
          </w:p>
        </w:tc>
        <w:tc>
          <w:tcPr>
            <w:tcW w:w="905" w:type="dxa"/>
            <w:tcBorders>
              <w:top w:val="nil"/>
              <w:left w:val="nil"/>
              <w:bottom w:val="single" w:sz="8" w:space="0" w:color="auto"/>
              <w:right w:val="nil"/>
            </w:tcBorders>
            <w:shd w:val="clear" w:color="auto" w:fill="auto"/>
            <w:noWrap/>
            <w:vAlign w:val="center"/>
            <w:hideMark/>
          </w:tcPr>
          <w:p w14:paraId="034CAA11"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5.82</w:t>
            </w:r>
          </w:p>
        </w:tc>
        <w:tc>
          <w:tcPr>
            <w:tcW w:w="1632" w:type="dxa"/>
            <w:tcBorders>
              <w:top w:val="nil"/>
              <w:left w:val="nil"/>
              <w:bottom w:val="single" w:sz="8" w:space="0" w:color="auto"/>
              <w:right w:val="nil"/>
            </w:tcBorders>
            <w:shd w:val="clear" w:color="auto" w:fill="auto"/>
            <w:noWrap/>
            <w:vAlign w:val="center"/>
            <w:hideMark/>
          </w:tcPr>
          <w:p w14:paraId="2F24FF55"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166</w:t>
            </w:r>
          </w:p>
        </w:tc>
        <w:tc>
          <w:tcPr>
            <w:tcW w:w="1970" w:type="dxa"/>
            <w:tcBorders>
              <w:top w:val="nil"/>
              <w:left w:val="nil"/>
              <w:bottom w:val="single" w:sz="8" w:space="0" w:color="auto"/>
              <w:right w:val="nil"/>
            </w:tcBorders>
            <w:shd w:val="clear" w:color="auto" w:fill="auto"/>
            <w:noWrap/>
            <w:vAlign w:val="center"/>
            <w:hideMark/>
          </w:tcPr>
          <w:p w14:paraId="3964195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2.8</w:t>
            </w:r>
          </w:p>
        </w:tc>
        <w:tc>
          <w:tcPr>
            <w:tcW w:w="2396" w:type="dxa"/>
            <w:tcBorders>
              <w:top w:val="nil"/>
              <w:left w:val="nil"/>
              <w:bottom w:val="single" w:sz="8" w:space="0" w:color="auto"/>
              <w:right w:val="nil"/>
            </w:tcBorders>
            <w:shd w:val="clear" w:color="auto" w:fill="auto"/>
            <w:noWrap/>
            <w:vAlign w:val="center"/>
            <w:hideMark/>
          </w:tcPr>
          <w:p w14:paraId="502D6863"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1.78(1.45, 2.20)</w:t>
            </w:r>
          </w:p>
        </w:tc>
      </w:tr>
      <w:tr w:rsidR="001A06AC" w:rsidRPr="003D0565" w14:paraId="5D67BF3E"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228BC109"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Pomalidomide</w:t>
            </w:r>
          </w:p>
        </w:tc>
        <w:tc>
          <w:tcPr>
            <w:tcW w:w="905" w:type="dxa"/>
            <w:tcBorders>
              <w:top w:val="nil"/>
              <w:left w:val="nil"/>
              <w:bottom w:val="single" w:sz="8" w:space="0" w:color="auto"/>
              <w:right w:val="nil"/>
            </w:tcBorders>
            <w:shd w:val="clear" w:color="auto" w:fill="auto"/>
            <w:noWrap/>
            <w:vAlign w:val="center"/>
            <w:hideMark/>
          </w:tcPr>
          <w:p w14:paraId="667934D5"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3.7</w:t>
            </w:r>
          </w:p>
        </w:tc>
        <w:tc>
          <w:tcPr>
            <w:tcW w:w="1632" w:type="dxa"/>
            <w:tcBorders>
              <w:top w:val="nil"/>
              <w:left w:val="nil"/>
              <w:bottom w:val="single" w:sz="8" w:space="0" w:color="auto"/>
              <w:right w:val="nil"/>
            </w:tcBorders>
            <w:shd w:val="clear" w:color="auto" w:fill="auto"/>
            <w:noWrap/>
            <w:vAlign w:val="center"/>
            <w:hideMark/>
          </w:tcPr>
          <w:p w14:paraId="52ECC2EB"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374</w:t>
            </w:r>
          </w:p>
        </w:tc>
        <w:tc>
          <w:tcPr>
            <w:tcW w:w="1970" w:type="dxa"/>
            <w:tcBorders>
              <w:top w:val="nil"/>
              <w:left w:val="nil"/>
              <w:bottom w:val="single" w:sz="8" w:space="0" w:color="auto"/>
              <w:right w:val="nil"/>
            </w:tcBorders>
            <w:shd w:val="clear" w:color="auto" w:fill="auto"/>
            <w:noWrap/>
            <w:vAlign w:val="center"/>
            <w:hideMark/>
          </w:tcPr>
          <w:p w14:paraId="5FFE8EA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1.029</w:t>
            </w:r>
          </w:p>
        </w:tc>
        <w:tc>
          <w:tcPr>
            <w:tcW w:w="2396" w:type="dxa"/>
            <w:tcBorders>
              <w:top w:val="nil"/>
              <w:left w:val="nil"/>
              <w:bottom w:val="single" w:sz="8" w:space="0" w:color="auto"/>
              <w:right w:val="nil"/>
            </w:tcBorders>
            <w:shd w:val="clear" w:color="auto" w:fill="auto"/>
            <w:noWrap/>
            <w:vAlign w:val="center"/>
            <w:hideMark/>
          </w:tcPr>
          <w:p w14:paraId="43B3A257"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1.19(1.10, 1.28)</w:t>
            </w:r>
          </w:p>
        </w:tc>
      </w:tr>
      <w:tr w:rsidR="001A06AC" w:rsidRPr="003D0565" w14:paraId="665987C0"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70208CFB"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Ponatinib</w:t>
            </w:r>
          </w:p>
        </w:tc>
        <w:tc>
          <w:tcPr>
            <w:tcW w:w="905" w:type="dxa"/>
            <w:tcBorders>
              <w:top w:val="nil"/>
              <w:left w:val="nil"/>
              <w:bottom w:val="single" w:sz="8" w:space="0" w:color="auto"/>
              <w:right w:val="nil"/>
            </w:tcBorders>
            <w:shd w:val="clear" w:color="auto" w:fill="auto"/>
            <w:noWrap/>
            <w:vAlign w:val="center"/>
            <w:hideMark/>
          </w:tcPr>
          <w:p w14:paraId="2BCD62C2"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015283C6"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1602</w:t>
            </w:r>
          </w:p>
        </w:tc>
        <w:tc>
          <w:tcPr>
            <w:tcW w:w="1970" w:type="dxa"/>
            <w:tcBorders>
              <w:top w:val="nil"/>
              <w:left w:val="nil"/>
              <w:bottom w:val="single" w:sz="8" w:space="0" w:color="auto"/>
              <w:right w:val="nil"/>
            </w:tcBorders>
            <w:shd w:val="clear" w:color="auto" w:fill="auto"/>
            <w:noWrap/>
            <w:vAlign w:val="center"/>
            <w:hideMark/>
          </w:tcPr>
          <w:p w14:paraId="5595E77E"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2.607</w:t>
            </w:r>
          </w:p>
        </w:tc>
        <w:tc>
          <w:tcPr>
            <w:tcW w:w="2396" w:type="dxa"/>
            <w:tcBorders>
              <w:top w:val="nil"/>
              <w:left w:val="nil"/>
              <w:bottom w:val="single" w:sz="8" w:space="0" w:color="auto"/>
              <w:right w:val="nil"/>
            </w:tcBorders>
            <w:shd w:val="clear" w:color="auto" w:fill="auto"/>
            <w:noWrap/>
            <w:vAlign w:val="center"/>
            <w:hideMark/>
          </w:tcPr>
          <w:p w14:paraId="72DEBF30"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1.78(1.66, 1.91)</w:t>
            </w:r>
          </w:p>
        </w:tc>
      </w:tr>
      <w:tr w:rsidR="001A06AC" w:rsidRPr="003D0565" w14:paraId="7300F499"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13B9BF92"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Rivaroxaban</w:t>
            </w:r>
          </w:p>
        </w:tc>
        <w:tc>
          <w:tcPr>
            <w:tcW w:w="905" w:type="dxa"/>
            <w:tcBorders>
              <w:top w:val="nil"/>
              <w:left w:val="nil"/>
              <w:bottom w:val="single" w:sz="8" w:space="0" w:color="auto"/>
              <w:right w:val="nil"/>
            </w:tcBorders>
            <w:shd w:val="clear" w:color="auto" w:fill="auto"/>
            <w:noWrap/>
            <w:vAlign w:val="center"/>
            <w:hideMark/>
          </w:tcPr>
          <w:p w14:paraId="57F71051"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2.16</w:t>
            </w:r>
          </w:p>
        </w:tc>
        <w:tc>
          <w:tcPr>
            <w:tcW w:w="1632" w:type="dxa"/>
            <w:tcBorders>
              <w:top w:val="nil"/>
              <w:left w:val="nil"/>
              <w:bottom w:val="single" w:sz="8" w:space="0" w:color="auto"/>
              <w:right w:val="nil"/>
            </w:tcBorders>
            <w:shd w:val="clear" w:color="auto" w:fill="auto"/>
            <w:noWrap/>
            <w:vAlign w:val="center"/>
            <w:hideMark/>
          </w:tcPr>
          <w:p w14:paraId="3C39C9D2"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425</w:t>
            </w:r>
          </w:p>
        </w:tc>
        <w:tc>
          <w:tcPr>
            <w:tcW w:w="1970" w:type="dxa"/>
            <w:tcBorders>
              <w:top w:val="nil"/>
              <w:left w:val="nil"/>
              <w:bottom w:val="single" w:sz="8" w:space="0" w:color="auto"/>
              <w:right w:val="nil"/>
            </w:tcBorders>
            <w:shd w:val="clear" w:color="auto" w:fill="auto"/>
            <w:noWrap/>
            <w:vAlign w:val="center"/>
            <w:hideMark/>
          </w:tcPr>
          <w:p w14:paraId="10004154"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1.574</w:t>
            </w:r>
          </w:p>
        </w:tc>
        <w:tc>
          <w:tcPr>
            <w:tcW w:w="2396" w:type="dxa"/>
            <w:tcBorders>
              <w:top w:val="nil"/>
              <w:left w:val="nil"/>
              <w:bottom w:val="single" w:sz="8" w:space="0" w:color="auto"/>
              <w:right w:val="nil"/>
            </w:tcBorders>
            <w:shd w:val="clear" w:color="auto" w:fill="auto"/>
            <w:noWrap/>
            <w:vAlign w:val="center"/>
            <w:hideMark/>
          </w:tcPr>
          <w:p w14:paraId="74D6E44B"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2.58(2.36, 2.82)</w:t>
            </w:r>
          </w:p>
        </w:tc>
      </w:tr>
      <w:tr w:rsidR="001A06AC" w:rsidRPr="003D0565" w14:paraId="77128E30"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06B48C65"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Roflumilast</w:t>
            </w:r>
          </w:p>
        </w:tc>
        <w:tc>
          <w:tcPr>
            <w:tcW w:w="905" w:type="dxa"/>
            <w:tcBorders>
              <w:top w:val="nil"/>
              <w:left w:val="nil"/>
              <w:bottom w:val="single" w:sz="8" w:space="0" w:color="auto"/>
              <w:right w:val="nil"/>
            </w:tcBorders>
            <w:shd w:val="clear" w:color="auto" w:fill="auto"/>
            <w:noWrap/>
            <w:vAlign w:val="center"/>
            <w:hideMark/>
          </w:tcPr>
          <w:p w14:paraId="577AA714"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1.74</w:t>
            </w:r>
          </w:p>
        </w:tc>
        <w:tc>
          <w:tcPr>
            <w:tcW w:w="1632" w:type="dxa"/>
            <w:tcBorders>
              <w:top w:val="nil"/>
              <w:left w:val="nil"/>
              <w:bottom w:val="single" w:sz="8" w:space="0" w:color="auto"/>
              <w:right w:val="nil"/>
            </w:tcBorders>
            <w:shd w:val="clear" w:color="auto" w:fill="auto"/>
            <w:noWrap/>
            <w:vAlign w:val="center"/>
            <w:hideMark/>
          </w:tcPr>
          <w:p w14:paraId="1768807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1.74</w:t>
            </w:r>
          </w:p>
        </w:tc>
        <w:tc>
          <w:tcPr>
            <w:tcW w:w="1970" w:type="dxa"/>
            <w:tcBorders>
              <w:top w:val="nil"/>
              <w:left w:val="nil"/>
              <w:bottom w:val="single" w:sz="8" w:space="0" w:color="auto"/>
              <w:right w:val="nil"/>
            </w:tcBorders>
            <w:shd w:val="clear" w:color="auto" w:fill="auto"/>
            <w:noWrap/>
            <w:vAlign w:val="center"/>
            <w:hideMark/>
          </w:tcPr>
          <w:p w14:paraId="1F13F7D2"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1.027</w:t>
            </w:r>
          </w:p>
        </w:tc>
        <w:tc>
          <w:tcPr>
            <w:tcW w:w="2396" w:type="dxa"/>
            <w:tcBorders>
              <w:top w:val="nil"/>
              <w:left w:val="nil"/>
              <w:bottom w:val="single" w:sz="8" w:space="0" w:color="auto"/>
              <w:right w:val="nil"/>
            </w:tcBorders>
            <w:shd w:val="clear" w:color="auto" w:fill="auto"/>
            <w:noWrap/>
            <w:vAlign w:val="center"/>
            <w:hideMark/>
          </w:tcPr>
          <w:p w14:paraId="5C16F06E"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 xml:space="preserve">1.34(1.29, 1.39) </w:t>
            </w:r>
          </w:p>
        </w:tc>
      </w:tr>
      <w:tr w:rsidR="001A06AC" w:rsidRPr="003D0565" w14:paraId="1F32492D"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1DE5CCAA"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Rolapitant</w:t>
            </w:r>
            <w:proofErr w:type="spellEnd"/>
          </w:p>
        </w:tc>
        <w:tc>
          <w:tcPr>
            <w:tcW w:w="905" w:type="dxa"/>
            <w:tcBorders>
              <w:top w:val="nil"/>
              <w:left w:val="nil"/>
              <w:bottom w:val="single" w:sz="8" w:space="0" w:color="auto"/>
              <w:right w:val="nil"/>
            </w:tcBorders>
            <w:shd w:val="clear" w:color="auto" w:fill="auto"/>
            <w:noWrap/>
            <w:vAlign w:val="center"/>
            <w:hideMark/>
          </w:tcPr>
          <w:p w14:paraId="13E947B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4.39</w:t>
            </w:r>
          </w:p>
        </w:tc>
        <w:tc>
          <w:tcPr>
            <w:tcW w:w="1632" w:type="dxa"/>
            <w:tcBorders>
              <w:top w:val="nil"/>
              <w:left w:val="nil"/>
              <w:bottom w:val="single" w:sz="8" w:space="0" w:color="auto"/>
              <w:right w:val="nil"/>
            </w:tcBorders>
            <w:shd w:val="clear" w:color="auto" w:fill="auto"/>
            <w:noWrap/>
            <w:vAlign w:val="center"/>
            <w:hideMark/>
          </w:tcPr>
          <w:p w14:paraId="7771D70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8.97</w:t>
            </w:r>
          </w:p>
        </w:tc>
        <w:tc>
          <w:tcPr>
            <w:tcW w:w="1970" w:type="dxa"/>
            <w:tcBorders>
              <w:top w:val="nil"/>
              <w:left w:val="nil"/>
              <w:bottom w:val="single" w:sz="8" w:space="0" w:color="auto"/>
              <w:right w:val="nil"/>
            </w:tcBorders>
            <w:shd w:val="clear" w:color="auto" w:fill="auto"/>
            <w:noWrap/>
            <w:vAlign w:val="center"/>
            <w:hideMark/>
          </w:tcPr>
          <w:p w14:paraId="6554132B"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1.58</w:t>
            </w:r>
          </w:p>
        </w:tc>
        <w:tc>
          <w:tcPr>
            <w:tcW w:w="2396" w:type="dxa"/>
            <w:tcBorders>
              <w:top w:val="nil"/>
              <w:left w:val="nil"/>
              <w:bottom w:val="single" w:sz="8" w:space="0" w:color="auto"/>
              <w:right w:val="nil"/>
            </w:tcBorders>
            <w:shd w:val="clear" w:color="auto" w:fill="auto"/>
            <w:noWrap/>
            <w:vAlign w:val="center"/>
            <w:hideMark/>
          </w:tcPr>
          <w:p w14:paraId="657045CA"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1.21(1.04, 1.41)</w:t>
            </w:r>
          </w:p>
        </w:tc>
      </w:tr>
      <w:tr w:rsidR="001A06AC" w:rsidRPr="003D0565" w14:paraId="00C96B24"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672E0150"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Ruxolitinib</w:t>
            </w:r>
            <w:proofErr w:type="spellEnd"/>
          </w:p>
        </w:tc>
        <w:tc>
          <w:tcPr>
            <w:tcW w:w="905" w:type="dxa"/>
            <w:tcBorders>
              <w:top w:val="nil"/>
              <w:left w:val="nil"/>
              <w:bottom w:val="single" w:sz="8" w:space="0" w:color="auto"/>
              <w:right w:val="nil"/>
            </w:tcBorders>
            <w:shd w:val="clear" w:color="auto" w:fill="auto"/>
            <w:noWrap/>
            <w:vAlign w:val="center"/>
            <w:hideMark/>
          </w:tcPr>
          <w:p w14:paraId="6AF53C37"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4.01</w:t>
            </w:r>
          </w:p>
        </w:tc>
        <w:tc>
          <w:tcPr>
            <w:tcW w:w="1632" w:type="dxa"/>
            <w:tcBorders>
              <w:top w:val="nil"/>
              <w:left w:val="nil"/>
              <w:bottom w:val="single" w:sz="8" w:space="0" w:color="auto"/>
              <w:right w:val="nil"/>
            </w:tcBorders>
            <w:shd w:val="clear" w:color="auto" w:fill="auto"/>
            <w:noWrap/>
            <w:vAlign w:val="center"/>
            <w:hideMark/>
          </w:tcPr>
          <w:p w14:paraId="5D14083C"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405</w:t>
            </w:r>
          </w:p>
        </w:tc>
        <w:tc>
          <w:tcPr>
            <w:tcW w:w="1970" w:type="dxa"/>
            <w:tcBorders>
              <w:top w:val="nil"/>
              <w:left w:val="nil"/>
              <w:bottom w:val="single" w:sz="8" w:space="0" w:color="auto"/>
              <w:right w:val="nil"/>
            </w:tcBorders>
            <w:shd w:val="clear" w:color="auto" w:fill="auto"/>
            <w:noWrap/>
            <w:vAlign w:val="center"/>
            <w:hideMark/>
          </w:tcPr>
          <w:p w14:paraId="648CC22E"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1.432</w:t>
            </w:r>
          </w:p>
        </w:tc>
        <w:tc>
          <w:tcPr>
            <w:tcW w:w="2396" w:type="dxa"/>
            <w:tcBorders>
              <w:top w:val="nil"/>
              <w:left w:val="nil"/>
              <w:bottom w:val="single" w:sz="8" w:space="0" w:color="auto"/>
              <w:right w:val="nil"/>
            </w:tcBorders>
            <w:shd w:val="clear" w:color="auto" w:fill="auto"/>
            <w:noWrap/>
            <w:vAlign w:val="center"/>
            <w:hideMark/>
          </w:tcPr>
          <w:p w14:paraId="07025D7E"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1.91(1.72, 2.21)</w:t>
            </w:r>
          </w:p>
        </w:tc>
      </w:tr>
      <w:tr w:rsidR="001A06AC" w:rsidRPr="003D0565" w14:paraId="7DDE4615"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4A1FF8AD"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Safinamide</w:t>
            </w:r>
          </w:p>
        </w:tc>
        <w:tc>
          <w:tcPr>
            <w:tcW w:w="905" w:type="dxa"/>
            <w:tcBorders>
              <w:top w:val="nil"/>
              <w:left w:val="nil"/>
              <w:bottom w:val="single" w:sz="8" w:space="0" w:color="auto"/>
              <w:right w:val="nil"/>
            </w:tcBorders>
            <w:shd w:val="clear" w:color="auto" w:fill="auto"/>
            <w:noWrap/>
            <w:vAlign w:val="center"/>
            <w:hideMark/>
          </w:tcPr>
          <w:p w14:paraId="4793F252"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3.27</w:t>
            </w:r>
          </w:p>
        </w:tc>
        <w:tc>
          <w:tcPr>
            <w:tcW w:w="1632" w:type="dxa"/>
            <w:tcBorders>
              <w:top w:val="nil"/>
              <w:left w:val="nil"/>
              <w:bottom w:val="single" w:sz="8" w:space="0" w:color="auto"/>
              <w:right w:val="nil"/>
            </w:tcBorders>
            <w:shd w:val="clear" w:color="auto" w:fill="auto"/>
            <w:noWrap/>
            <w:vAlign w:val="center"/>
            <w:hideMark/>
          </w:tcPr>
          <w:p w14:paraId="11C40131"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330</w:t>
            </w:r>
          </w:p>
        </w:tc>
        <w:tc>
          <w:tcPr>
            <w:tcW w:w="1970" w:type="dxa"/>
            <w:tcBorders>
              <w:top w:val="nil"/>
              <w:left w:val="nil"/>
              <w:bottom w:val="single" w:sz="8" w:space="0" w:color="auto"/>
              <w:right w:val="nil"/>
            </w:tcBorders>
            <w:shd w:val="clear" w:color="auto" w:fill="auto"/>
            <w:noWrap/>
            <w:vAlign w:val="center"/>
            <w:hideMark/>
          </w:tcPr>
          <w:p w14:paraId="276E80A1"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w:t>
            </w:r>
          </w:p>
        </w:tc>
        <w:tc>
          <w:tcPr>
            <w:tcW w:w="2396" w:type="dxa"/>
            <w:tcBorders>
              <w:top w:val="nil"/>
              <w:left w:val="nil"/>
              <w:bottom w:val="single" w:sz="8" w:space="0" w:color="auto"/>
              <w:right w:val="nil"/>
            </w:tcBorders>
            <w:shd w:val="clear" w:color="auto" w:fill="auto"/>
            <w:noWrap/>
            <w:vAlign w:val="center"/>
            <w:hideMark/>
          </w:tcPr>
          <w:p w14:paraId="5549736F"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1.13(1.10, 1.16)</w:t>
            </w:r>
          </w:p>
        </w:tc>
      </w:tr>
      <w:tr w:rsidR="001A06AC" w:rsidRPr="003D0565" w14:paraId="30B5D4BE"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53338EE3"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Sonidegib</w:t>
            </w:r>
            <w:proofErr w:type="spellEnd"/>
          </w:p>
        </w:tc>
        <w:tc>
          <w:tcPr>
            <w:tcW w:w="905" w:type="dxa"/>
            <w:tcBorders>
              <w:top w:val="nil"/>
              <w:left w:val="nil"/>
              <w:bottom w:val="single" w:sz="8" w:space="0" w:color="auto"/>
              <w:right w:val="nil"/>
            </w:tcBorders>
            <w:shd w:val="clear" w:color="auto" w:fill="auto"/>
            <w:noWrap/>
            <w:vAlign w:val="center"/>
            <w:hideMark/>
          </w:tcPr>
          <w:p w14:paraId="7BFD6CA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4.01</w:t>
            </w:r>
          </w:p>
        </w:tc>
        <w:tc>
          <w:tcPr>
            <w:tcW w:w="1632" w:type="dxa"/>
            <w:tcBorders>
              <w:top w:val="nil"/>
              <w:left w:val="nil"/>
              <w:bottom w:val="single" w:sz="8" w:space="0" w:color="auto"/>
              <w:right w:val="nil"/>
            </w:tcBorders>
            <w:shd w:val="clear" w:color="auto" w:fill="auto"/>
            <w:noWrap/>
            <w:vAlign w:val="center"/>
            <w:hideMark/>
          </w:tcPr>
          <w:p w14:paraId="443E7333"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391</w:t>
            </w:r>
          </w:p>
        </w:tc>
        <w:tc>
          <w:tcPr>
            <w:tcW w:w="1970" w:type="dxa"/>
            <w:tcBorders>
              <w:top w:val="nil"/>
              <w:left w:val="nil"/>
              <w:bottom w:val="single" w:sz="8" w:space="0" w:color="auto"/>
              <w:right w:val="nil"/>
            </w:tcBorders>
            <w:shd w:val="clear" w:color="auto" w:fill="auto"/>
            <w:noWrap/>
            <w:vAlign w:val="center"/>
            <w:hideMark/>
          </w:tcPr>
          <w:p w14:paraId="2AD64345"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1.526</w:t>
            </w:r>
          </w:p>
        </w:tc>
        <w:tc>
          <w:tcPr>
            <w:tcW w:w="2396" w:type="dxa"/>
            <w:tcBorders>
              <w:top w:val="nil"/>
              <w:left w:val="nil"/>
              <w:bottom w:val="single" w:sz="8" w:space="0" w:color="auto"/>
              <w:right w:val="nil"/>
            </w:tcBorders>
            <w:shd w:val="clear" w:color="auto" w:fill="auto"/>
            <w:noWrap/>
            <w:vAlign w:val="center"/>
            <w:hideMark/>
          </w:tcPr>
          <w:p w14:paraId="78DF7C70"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2.25(1.78, 2.86)</w:t>
            </w:r>
          </w:p>
        </w:tc>
      </w:tr>
      <w:tr w:rsidR="001A06AC" w:rsidRPr="003D0565" w14:paraId="473ED52F"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4AAF40D5"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Suvorexant</w:t>
            </w:r>
          </w:p>
        </w:tc>
        <w:tc>
          <w:tcPr>
            <w:tcW w:w="905" w:type="dxa"/>
            <w:tcBorders>
              <w:top w:val="nil"/>
              <w:left w:val="nil"/>
              <w:bottom w:val="single" w:sz="8" w:space="0" w:color="auto"/>
              <w:right w:val="nil"/>
            </w:tcBorders>
            <w:shd w:val="clear" w:color="auto" w:fill="auto"/>
            <w:noWrap/>
            <w:vAlign w:val="center"/>
            <w:hideMark/>
          </w:tcPr>
          <w:p w14:paraId="405713FB"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3.76</w:t>
            </w:r>
          </w:p>
        </w:tc>
        <w:tc>
          <w:tcPr>
            <w:tcW w:w="1632" w:type="dxa"/>
            <w:tcBorders>
              <w:top w:val="nil"/>
              <w:left w:val="nil"/>
              <w:bottom w:val="single" w:sz="8" w:space="0" w:color="auto"/>
              <w:right w:val="nil"/>
            </w:tcBorders>
            <w:shd w:val="clear" w:color="auto" w:fill="auto"/>
            <w:noWrap/>
            <w:vAlign w:val="center"/>
            <w:hideMark/>
          </w:tcPr>
          <w:p w14:paraId="67A64D89"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740</w:t>
            </w:r>
          </w:p>
        </w:tc>
        <w:tc>
          <w:tcPr>
            <w:tcW w:w="1970" w:type="dxa"/>
            <w:tcBorders>
              <w:top w:val="nil"/>
              <w:left w:val="nil"/>
              <w:bottom w:val="single" w:sz="8" w:space="0" w:color="auto"/>
              <w:right w:val="nil"/>
            </w:tcBorders>
            <w:shd w:val="clear" w:color="auto" w:fill="auto"/>
            <w:noWrap/>
            <w:vAlign w:val="center"/>
            <w:hideMark/>
          </w:tcPr>
          <w:p w14:paraId="71F97A4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3.418</w:t>
            </w:r>
          </w:p>
        </w:tc>
        <w:tc>
          <w:tcPr>
            <w:tcW w:w="2396" w:type="dxa"/>
            <w:tcBorders>
              <w:top w:val="nil"/>
              <w:left w:val="nil"/>
              <w:bottom w:val="single" w:sz="8" w:space="0" w:color="auto"/>
              <w:right w:val="nil"/>
            </w:tcBorders>
            <w:shd w:val="clear" w:color="auto" w:fill="auto"/>
            <w:noWrap/>
            <w:vAlign w:val="center"/>
            <w:hideMark/>
          </w:tcPr>
          <w:p w14:paraId="0AD5CDA4"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2.79(2.35, 3.31)</w:t>
            </w:r>
          </w:p>
        </w:tc>
      </w:tr>
      <w:tr w:rsidR="001A06AC" w:rsidRPr="003D0565" w14:paraId="2120D52C"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5085464A"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Tasimelteon</w:t>
            </w:r>
            <w:proofErr w:type="spellEnd"/>
          </w:p>
        </w:tc>
        <w:tc>
          <w:tcPr>
            <w:tcW w:w="905" w:type="dxa"/>
            <w:tcBorders>
              <w:top w:val="nil"/>
              <w:left w:val="nil"/>
              <w:bottom w:val="single" w:sz="8" w:space="0" w:color="auto"/>
              <w:right w:val="nil"/>
            </w:tcBorders>
            <w:shd w:val="clear" w:color="auto" w:fill="auto"/>
            <w:noWrap/>
            <w:vAlign w:val="center"/>
            <w:hideMark/>
          </w:tcPr>
          <w:p w14:paraId="23E65309"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560C450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1604</w:t>
            </w:r>
          </w:p>
        </w:tc>
        <w:tc>
          <w:tcPr>
            <w:tcW w:w="1970" w:type="dxa"/>
            <w:tcBorders>
              <w:top w:val="nil"/>
              <w:left w:val="nil"/>
              <w:bottom w:val="single" w:sz="8" w:space="0" w:color="auto"/>
              <w:right w:val="nil"/>
            </w:tcBorders>
            <w:shd w:val="clear" w:color="auto" w:fill="auto"/>
            <w:noWrap/>
            <w:vAlign w:val="center"/>
            <w:hideMark/>
          </w:tcPr>
          <w:p w14:paraId="2FC1FA3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w:t>
            </w:r>
          </w:p>
        </w:tc>
        <w:tc>
          <w:tcPr>
            <w:tcW w:w="2396" w:type="dxa"/>
            <w:tcBorders>
              <w:top w:val="nil"/>
              <w:left w:val="nil"/>
              <w:bottom w:val="single" w:sz="8" w:space="0" w:color="auto"/>
              <w:right w:val="nil"/>
            </w:tcBorders>
            <w:shd w:val="clear" w:color="auto" w:fill="auto"/>
            <w:noWrap/>
            <w:vAlign w:val="center"/>
            <w:hideMark/>
          </w:tcPr>
          <w:p w14:paraId="3FA7BD95"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1.54(1.38, 1.72)</w:t>
            </w:r>
          </w:p>
        </w:tc>
      </w:tr>
      <w:tr w:rsidR="001A06AC" w:rsidRPr="003D0565" w14:paraId="5B9782C2"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039EBCE0"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Telaprevir</w:t>
            </w:r>
          </w:p>
        </w:tc>
        <w:tc>
          <w:tcPr>
            <w:tcW w:w="905" w:type="dxa"/>
            <w:tcBorders>
              <w:top w:val="nil"/>
              <w:left w:val="nil"/>
              <w:bottom w:val="single" w:sz="8" w:space="0" w:color="auto"/>
              <w:right w:val="nil"/>
            </w:tcBorders>
            <w:shd w:val="clear" w:color="auto" w:fill="auto"/>
            <w:noWrap/>
            <w:vAlign w:val="center"/>
            <w:hideMark/>
          </w:tcPr>
          <w:p w14:paraId="7BC08037"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3.76</w:t>
            </w:r>
          </w:p>
        </w:tc>
        <w:tc>
          <w:tcPr>
            <w:tcW w:w="1632" w:type="dxa"/>
            <w:tcBorders>
              <w:top w:val="nil"/>
              <w:left w:val="nil"/>
              <w:bottom w:val="single" w:sz="8" w:space="0" w:color="auto"/>
              <w:right w:val="nil"/>
            </w:tcBorders>
            <w:shd w:val="clear" w:color="auto" w:fill="auto"/>
            <w:noWrap/>
            <w:vAlign w:val="center"/>
            <w:hideMark/>
          </w:tcPr>
          <w:p w14:paraId="2303A994"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742</w:t>
            </w:r>
          </w:p>
        </w:tc>
        <w:tc>
          <w:tcPr>
            <w:tcW w:w="1970" w:type="dxa"/>
            <w:tcBorders>
              <w:top w:val="nil"/>
              <w:left w:val="nil"/>
              <w:bottom w:val="single" w:sz="8" w:space="0" w:color="auto"/>
              <w:right w:val="nil"/>
            </w:tcBorders>
            <w:shd w:val="clear" w:color="auto" w:fill="auto"/>
            <w:noWrap/>
            <w:vAlign w:val="center"/>
            <w:hideMark/>
          </w:tcPr>
          <w:p w14:paraId="5E8D664F"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2.579</w:t>
            </w:r>
          </w:p>
        </w:tc>
        <w:tc>
          <w:tcPr>
            <w:tcW w:w="2396" w:type="dxa"/>
            <w:tcBorders>
              <w:top w:val="nil"/>
              <w:left w:val="nil"/>
              <w:bottom w:val="single" w:sz="8" w:space="0" w:color="auto"/>
              <w:right w:val="nil"/>
            </w:tcBorders>
            <w:shd w:val="clear" w:color="auto" w:fill="auto"/>
            <w:noWrap/>
            <w:vAlign w:val="center"/>
            <w:hideMark/>
          </w:tcPr>
          <w:p w14:paraId="719AD2D7"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1.62(1.45, 1.81)</w:t>
            </w:r>
          </w:p>
        </w:tc>
      </w:tr>
      <w:tr w:rsidR="001A06AC" w:rsidRPr="003D0565" w14:paraId="77B31FAE"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5E8021AB"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Tofacitinib</w:t>
            </w:r>
          </w:p>
        </w:tc>
        <w:tc>
          <w:tcPr>
            <w:tcW w:w="905" w:type="dxa"/>
            <w:tcBorders>
              <w:top w:val="nil"/>
              <w:left w:val="nil"/>
              <w:bottom w:val="single" w:sz="8" w:space="0" w:color="auto"/>
              <w:right w:val="nil"/>
            </w:tcBorders>
            <w:shd w:val="clear" w:color="auto" w:fill="auto"/>
            <w:noWrap/>
            <w:vAlign w:val="center"/>
            <w:hideMark/>
          </w:tcPr>
          <w:p w14:paraId="74988B1D"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2.17</w:t>
            </w:r>
          </w:p>
        </w:tc>
        <w:tc>
          <w:tcPr>
            <w:tcW w:w="1632" w:type="dxa"/>
            <w:tcBorders>
              <w:top w:val="nil"/>
              <w:left w:val="nil"/>
              <w:bottom w:val="single" w:sz="8" w:space="0" w:color="auto"/>
              <w:right w:val="nil"/>
            </w:tcBorders>
            <w:shd w:val="clear" w:color="auto" w:fill="auto"/>
            <w:noWrap/>
            <w:vAlign w:val="center"/>
            <w:hideMark/>
          </w:tcPr>
          <w:p w14:paraId="1B1DCA41"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430</w:t>
            </w:r>
          </w:p>
        </w:tc>
        <w:tc>
          <w:tcPr>
            <w:tcW w:w="1970" w:type="dxa"/>
            <w:tcBorders>
              <w:top w:val="nil"/>
              <w:left w:val="nil"/>
              <w:bottom w:val="single" w:sz="8" w:space="0" w:color="auto"/>
              <w:right w:val="nil"/>
            </w:tcBorders>
            <w:shd w:val="clear" w:color="auto" w:fill="auto"/>
            <w:noWrap/>
            <w:vAlign w:val="center"/>
            <w:hideMark/>
          </w:tcPr>
          <w:p w14:paraId="60E4D6AF"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2.075</w:t>
            </w:r>
          </w:p>
        </w:tc>
        <w:tc>
          <w:tcPr>
            <w:tcW w:w="2396" w:type="dxa"/>
            <w:tcBorders>
              <w:top w:val="nil"/>
              <w:left w:val="nil"/>
              <w:bottom w:val="single" w:sz="8" w:space="0" w:color="auto"/>
              <w:right w:val="nil"/>
            </w:tcBorders>
            <w:shd w:val="clear" w:color="auto" w:fill="auto"/>
            <w:noWrap/>
            <w:vAlign w:val="center"/>
            <w:hideMark/>
          </w:tcPr>
          <w:p w14:paraId="460CE4D2"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 xml:space="preserve">2.03(1.91, 2.16) </w:t>
            </w:r>
          </w:p>
        </w:tc>
      </w:tr>
      <w:tr w:rsidR="001A06AC" w:rsidRPr="003D0565" w14:paraId="2D7911D3"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2DD35CC9" w14:textId="77777777" w:rsidR="001A06AC" w:rsidRPr="00E7517C" w:rsidRDefault="001A06AC" w:rsidP="001A06AC">
            <w:pPr>
              <w:widowControl/>
              <w:jc w:val="left"/>
              <w:rPr>
                <w:rFonts w:ascii="Times New Roman" w:eastAsia="等线" w:hAnsi="Times New Roman" w:cs="Times New Roman"/>
                <w:color w:val="000000"/>
                <w:kern w:val="0"/>
                <w:szCs w:val="21"/>
              </w:rPr>
            </w:pPr>
            <w:proofErr w:type="spellStart"/>
            <w:r w:rsidRPr="00E7517C">
              <w:rPr>
                <w:rFonts w:ascii="Times New Roman" w:eastAsia="等线" w:hAnsi="Times New Roman" w:cs="Times New Roman"/>
                <w:color w:val="000000"/>
                <w:kern w:val="0"/>
                <w:szCs w:val="21"/>
              </w:rPr>
              <w:t>Venetoclax</w:t>
            </w:r>
            <w:proofErr w:type="spellEnd"/>
          </w:p>
        </w:tc>
        <w:tc>
          <w:tcPr>
            <w:tcW w:w="905" w:type="dxa"/>
            <w:tcBorders>
              <w:top w:val="nil"/>
              <w:left w:val="nil"/>
              <w:bottom w:val="single" w:sz="8" w:space="0" w:color="auto"/>
              <w:right w:val="nil"/>
            </w:tcBorders>
            <w:shd w:val="clear" w:color="auto" w:fill="auto"/>
            <w:noWrap/>
            <w:vAlign w:val="center"/>
            <w:hideMark/>
          </w:tcPr>
          <w:p w14:paraId="209B473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0006D0D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1599</w:t>
            </w:r>
          </w:p>
        </w:tc>
        <w:tc>
          <w:tcPr>
            <w:tcW w:w="1970" w:type="dxa"/>
            <w:tcBorders>
              <w:top w:val="nil"/>
              <w:left w:val="nil"/>
              <w:bottom w:val="single" w:sz="8" w:space="0" w:color="auto"/>
              <w:right w:val="nil"/>
            </w:tcBorders>
            <w:shd w:val="clear" w:color="auto" w:fill="auto"/>
            <w:noWrap/>
            <w:vAlign w:val="center"/>
            <w:hideMark/>
          </w:tcPr>
          <w:p w14:paraId="20855CE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2.64</w:t>
            </w:r>
          </w:p>
        </w:tc>
        <w:tc>
          <w:tcPr>
            <w:tcW w:w="2396" w:type="dxa"/>
            <w:tcBorders>
              <w:top w:val="nil"/>
              <w:left w:val="nil"/>
              <w:bottom w:val="single" w:sz="8" w:space="0" w:color="auto"/>
              <w:right w:val="nil"/>
            </w:tcBorders>
            <w:shd w:val="clear" w:color="auto" w:fill="auto"/>
            <w:noWrap/>
            <w:vAlign w:val="center"/>
            <w:hideMark/>
          </w:tcPr>
          <w:p w14:paraId="374A039B"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6.40(4.47, 9.17)</w:t>
            </w:r>
          </w:p>
        </w:tc>
      </w:tr>
      <w:tr w:rsidR="001A06AC" w:rsidRPr="003D0565" w14:paraId="410F6AC0"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18AD8E31"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Vilazodone</w:t>
            </w:r>
          </w:p>
        </w:tc>
        <w:tc>
          <w:tcPr>
            <w:tcW w:w="905" w:type="dxa"/>
            <w:tcBorders>
              <w:top w:val="nil"/>
              <w:left w:val="nil"/>
              <w:bottom w:val="single" w:sz="8" w:space="0" w:color="auto"/>
              <w:right w:val="nil"/>
            </w:tcBorders>
            <w:shd w:val="clear" w:color="auto" w:fill="auto"/>
            <w:noWrap/>
            <w:vAlign w:val="center"/>
            <w:hideMark/>
          </w:tcPr>
          <w:p w14:paraId="5534ACA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3.43</w:t>
            </w:r>
          </w:p>
        </w:tc>
        <w:tc>
          <w:tcPr>
            <w:tcW w:w="1632" w:type="dxa"/>
            <w:tcBorders>
              <w:top w:val="nil"/>
              <w:left w:val="nil"/>
              <w:bottom w:val="single" w:sz="8" w:space="0" w:color="auto"/>
              <w:right w:val="nil"/>
            </w:tcBorders>
            <w:shd w:val="clear" w:color="auto" w:fill="auto"/>
            <w:noWrap/>
            <w:vAlign w:val="center"/>
            <w:hideMark/>
          </w:tcPr>
          <w:p w14:paraId="60D0DECE"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346</w:t>
            </w:r>
          </w:p>
        </w:tc>
        <w:tc>
          <w:tcPr>
            <w:tcW w:w="1970" w:type="dxa"/>
            <w:tcBorders>
              <w:top w:val="nil"/>
              <w:left w:val="nil"/>
              <w:bottom w:val="single" w:sz="8" w:space="0" w:color="auto"/>
              <w:right w:val="nil"/>
            </w:tcBorders>
            <w:shd w:val="clear" w:color="auto" w:fill="auto"/>
            <w:noWrap/>
            <w:vAlign w:val="center"/>
            <w:hideMark/>
          </w:tcPr>
          <w:p w14:paraId="48007800"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4.333</w:t>
            </w:r>
          </w:p>
        </w:tc>
        <w:tc>
          <w:tcPr>
            <w:tcW w:w="2396" w:type="dxa"/>
            <w:tcBorders>
              <w:top w:val="nil"/>
              <w:left w:val="nil"/>
              <w:bottom w:val="single" w:sz="8" w:space="0" w:color="auto"/>
              <w:right w:val="nil"/>
            </w:tcBorders>
            <w:shd w:val="clear" w:color="auto" w:fill="auto"/>
            <w:noWrap/>
            <w:vAlign w:val="center"/>
            <w:hideMark/>
          </w:tcPr>
          <w:p w14:paraId="550878CE"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1.42(1.31, 1.55)</w:t>
            </w:r>
          </w:p>
        </w:tc>
      </w:tr>
      <w:tr w:rsidR="001A06AC" w:rsidRPr="003D0565" w14:paraId="0DF4AEE5" w14:textId="77777777" w:rsidTr="001A06AC">
        <w:trPr>
          <w:trHeight w:val="330"/>
        </w:trPr>
        <w:tc>
          <w:tcPr>
            <w:tcW w:w="1430" w:type="dxa"/>
            <w:tcBorders>
              <w:top w:val="nil"/>
              <w:left w:val="nil"/>
              <w:bottom w:val="single" w:sz="8" w:space="0" w:color="auto"/>
              <w:right w:val="nil"/>
            </w:tcBorders>
            <w:shd w:val="clear" w:color="auto" w:fill="auto"/>
            <w:noWrap/>
            <w:vAlign w:val="center"/>
            <w:hideMark/>
          </w:tcPr>
          <w:p w14:paraId="077F2185"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Vorapaxar</w:t>
            </w:r>
          </w:p>
        </w:tc>
        <w:tc>
          <w:tcPr>
            <w:tcW w:w="905" w:type="dxa"/>
            <w:tcBorders>
              <w:top w:val="nil"/>
              <w:left w:val="nil"/>
              <w:bottom w:val="single" w:sz="8" w:space="0" w:color="auto"/>
              <w:right w:val="nil"/>
            </w:tcBorders>
            <w:shd w:val="clear" w:color="auto" w:fill="auto"/>
            <w:noWrap/>
            <w:vAlign w:val="center"/>
            <w:hideMark/>
          </w:tcPr>
          <w:p w14:paraId="33358FA8"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8.15</w:t>
            </w:r>
          </w:p>
        </w:tc>
        <w:tc>
          <w:tcPr>
            <w:tcW w:w="1632" w:type="dxa"/>
            <w:tcBorders>
              <w:top w:val="nil"/>
              <w:left w:val="nil"/>
              <w:bottom w:val="single" w:sz="8" w:space="0" w:color="auto"/>
              <w:right w:val="nil"/>
            </w:tcBorders>
            <w:shd w:val="clear" w:color="auto" w:fill="auto"/>
            <w:noWrap/>
            <w:vAlign w:val="center"/>
            <w:hideMark/>
          </w:tcPr>
          <w:p w14:paraId="28D4FD8B"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1590</w:t>
            </w:r>
          </w:p>
        </w:tc>
        <w:tc>
          <w:tcPr>
            <w:tcW w:w="1970" w:type="dxa"/>
            <w:tcBorders>
              <w:top w:val="nil"/>
              <w:left w:val="nil"/>
              <w:bottom w:val="single" w:sz="8" w:space="0" w:color="auto"/>
              <w:right w:val="nil"/>
            </w:tcBorders>
            <w:shd w:val="clear" w:color="auto" w:fill="auto"/>
            <w:noWrap/>
            <w:vAlign w:val="center"/>
            <w:hideMark/>
          </w:tcPr>
          <w:p w14:paraId="0E0F8B5A" w14:textId="77777777" w:rsidR="001A06AC" w:rsidRPr="00E7517C" w:rsidRDefault="001A06AC" w:rsidP="001A06AC">
            <w:pPr>
              <w:widowControl/>
              <w:jc w:val="center"/>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1.082</w:t>
            </w:r>
          </w:p>
        </w:tc>
        <w:tc>
          <w:tcPr>
            <w:tcW w:w="2396" w:type="dxa"/>
            <w:tcBorders>
              <w:top w:val="nil"/>
              <w:left w:val="nil"/>
              <w:bottom w:val="single" w:sz="8" w:space="0" w:color="auto"/>
              <w:right w:val="nil"/>
            </w:tcBorders>
            <w:shd w:val="clear" w:color="auto" w:fill="auto"/>
            <w:noWrap/>
            <w:vAlign w:val="center"/>
            <w:hideMark/>
          </w:tcPr>
          <w:p w14:paraId="0561A49C" w14:textId="77777777" w:rsidR="001A06AC" w:rsidRPr="00E7517C" w:rsidRDefault="001A06AC" w:rsidP="001A06AC">
            <w:pPr>
              <w:widowControl/>
              <w:jc w:val="left"/>
              <w:rPr>
                <w:rFonts w:ascii="Times New Roman" w:eastAsia="等线" w:hAnsi="Times New Roman" w:cs="Times New Roman"/>
                <w:color w:val="000000"/>
                <w:kern w:val="0"/>
                <w:szCs w:val="21"/>
              </w:rPr>
            </w:pPr>
            <w:r w:rsidRPr="00E7517C">
              <w:rPr>
                <w:rFonts w:ascii="Times New Roman" w:eastAsia="等线" w:hAnsi="Times New Roman" w:cs="Times New Roman"/>
                <w:color w:val="000000"/>
                <w:kern w:val="0"/>
                <w:szCs w:val="21"/>
              </w:rPr>
              <w:t>1.23(1.05, 1.46)</w:t>
            </w:r>
          </w:p>
        </w:tc>
      </w:tr>
    </w:tbl>
    <w:p w14:paraId="667E620B" w14:textId="77777777" w:rsidR="001A06AC" w:rsidRDefault="001A06AC" w:rsidP="009B60DE">
      <w:pPr>
        <w:rPr>
          <w:rFonts w:ascii="Times New Roman" w:eastAsia="宋体" w:hAnsi="Times New Roman"/>
        </w:rPr>
      </w:pPr>
    </w:p>
    <w:p w14:paraId="71F7F590" w14:textId="7A8B7562" w:rsidR="00D50BC9" w:rsidRPr="000C6737" w:rsidRDefault="00D50BC9" w:rsidP="00D50BC9">
      <w:pPr>
        <w:rPr>
          <w:rFonts w:ascii="Times New Roman" w:eastAsia="宋体" w:hAnsi="Times New Roman"/>
          <w:b/>
          <w:bCs/>
        </w:rPr>
      </w:pPr>
      <w:r>
        <w:rPr>
          <w:rFonts w:ascii="Times New Roman" w:eastAsia="宋体" w:hAnsi="Times New Roman"/>
          <w:b/>
          <w:bCs/>
        </w:rPr>
        <w:t>5</w:t>
      </w:r>
      <w:r w:rsidRPr="000C6737">
        <w:rPr>
          <w:rFonts w:ascii="Times New Roman" w:eastAsia="宋体" w:hAnsi="Times New Roman"/>
          <w:b/>
          <w:bCs/>
        </w:rPr>
        <w:t xml:space="preserve">. </w:t>
      </w:r>
      <w:r w:rsidRPr="00D50BC9">
        <w:rPr>
          <w:rFonts w:ascii="Times New Roman" w:eastAsia="宋体" w:hAnsi="Times New Roman"/>
          <w:b/>
          <w:bCs/>
        </w:rPr>
        <w:t>Predictive performance of the PBPK-DDI model</w:t>
      </w:r>
      <w:r>
        <w:rPr>
          <w:rFonts w:ascii="Times New Roman" w:eastAsia="宋体" w:hAnsi="Times New Roman"/>
          <w:b/>
          <w:bCs/>
        </w:rPr>
        <w:t xml:space="preserve"> using </w:t>
      </w:r>
      <w:proofErr w:type="spellStart"/>
      <w:r>
        <w:rPr>
          <w:rFonts w:ascii="Times New Roman" w:eastAsia="宋体" w:hAnsi="Times New Roman"/>
          <w:b/>
          <w:bCs/>
        </w:rPr>
        <w:t>T</w:t>
      </w:r>
      <w:r w:rsidRPr="00D50BC9">
        <w:rPr>
          <w:rFonts w:ascii="Times New Roman" w:eastAsia="宋体" w:hAnsi="Times New Roman"/>
          <w:b/>
          <w:bCs/>
          <w:vertAlign w:val="subscript"/>
        </w:rPr>
        <w:t>max</w:t>
      </w:r>
      <w:proofErr w:type="spellEnd"/>
      <w:r>
        <w:rPr>
          <w:rFonts w:ascii="Times New Roman" w:eastAsia="宋体" w:hAnsi="Times New Roman"/>
          <w:b/>
          <w:bCs/>
        </w:rPr>
        <w:t xml:space="preserve"> and </w:t>
      </w:r>
      <w:proofErr w:type="spellStart"/>
      <w:r>
        <w:rPr>
          <w:rFonts w:ascii="Times New Roman" w:eastAsia="宋体" w:hAnsi="Times New Roman"/>
          <w:b/>
          <w:bCs/>
        </w:rPr>
        <w:t>C</w:t>
      </w:r>
      <w:r w:rsidRPr="00D50BC9">
        <w:rPr>
          <w:rFonts w:ascii="Times New Roman" w:eastAsia="宋体" w:hAnsi="Times New Roman"/>
          <w:b/>
          <w:bCs/>
          <w:vertAlign w:val="subscript"/>
        </w:rPr>
        <w:t>max</w:t>
      </w:r>
      <w:proofErr w:type="spellEnd"/>
    </w:p>
    <w:p w14:paraId="7621B019" w14:textId="74FE380F" w:rsidR="00A71630" w:rsidRDefault="00C97BC3" w:rsidP="007F401E">
      <w:pPr>
        <w:rPr>
          <w:rFonts w:ascii="Times New Roman" w:eastAsia="宋体" w:hAnsi="Times New Roman"/>
        </w:rPr>
      </w:pPr>
      <w:r>
        <w:rPr>
          <w:rFonts w:ascii="Times New Roman" w:hAnsi="Times New Roman" w:cs="Times New Roman"/>
          <w:iCs/>
          <w:sz w:val="24"/>
          <w:szCs w:val="24"/>
        </w:rPr>
        <w:t>The c</w:t>
      </w:r>
      <w:r w:rsidRPr="00C97BC3">
        <w:rPr>
          <w:rFonts w:ascii="Times New Roman" w:hAnsi="Times New Roman" w:cs="Times New Roman"/>
          <w:iCs/>
          <w:sz w:val="24"/>
          <w:szCs w:val="24"/>
        </w:rPr>
        <w:t xml:space="preserve">omparison of </w:t>
      </w:r>
      <w:proofErr w:type="spellStart"/>
      <w:r w:rsidRPr="00C97BC3">
        <w:rPr>
          <w:rFonts w:ascii="Times New Roman" w:hAnsi="Times New Roman" w:cs="Times New Roman"/>
          <w:iCs/>
          <w:sz w:val="24"/>
          <w:szCs w:val="24"/>
        </w:rPr>
        <w:t>T</w:t>
      </w:r>
      <w:r w:rsidRPr="00C97BC3">
        <w:rPr>
          <w:rFonts w:ascii="Times New Roman" w:hAnsi="Times New Roman" w:cs="Times New Roman"/>
          <w:iCs/>
          <w:sz w:val="24"/>
          <w:szCs w:val="24"/>
          <w:vertAlign w:val="subscript"/>
        </w:rPr>
        <w:t>max</w:t>
      </w:r>
      <w:r w:rsidRPr="00C97BC3">
        <w:rPr>
          <w:rFonts w:ascii="Times New Roman" w:hAnsi="Times New Roman" w:cs="Times New Roman"/>
          <w:iCs/>
          <w:sz w:val="24"/>
          <w:szCs w:val="24"/>
        </w:rPr>
        <w:t>R</w:t>
      </w:r>
      <w:proofErr w:type="spellEnd"/>
      <w:r w:rsidRPr="00C97BC3">
        <w:rPr>
          <w:rFonts w:ascii="Times New Roman" w:hAnsi="Times New Roman" w:cs="Times New Roman"/>
          <w:iCs/>
          <w:sz w:val="24"/>
          <w:szCs w:val="24"/>
        </w:rPr>
        <w:t xml:space="preserve"> </w:t>
      </w:r>
      <w:r>
        <w:rPr>
          <w:rFonts w:ascii="Times New Roman" w:hAnsi="Times New Roman" w:cs="Times New Roman"/>
          <w:iCs/>
          <w:sz w:val="24"/>
          <w:szCs w:val="24"/>
        </w:rPr>
        <w:t xml:space="preserve">and </w:t>
      </w:r>
      <w:proofErr w:type="spellStart"/>
      <w:r>
        <w:rPr>
          <w:rFonts w:ascii="Times New Roman" w:hAnsi="Times New Roman" w:cs="Times New Roman"/>
          <w:iCs/>
          <w:sz w:val="24"/>
          <w:szCs w:val="24"/>
        </w:rPr>
        <w:t>C</w:t>
      </w:r>
      <w:r w:rsidRPr="00C97BC3">
        <w:rPr>
          <w:rFonts w:ascii="Times New Roman" w:hAnsi="Times New Roman" w:cs="Times New Roman"/>
          <w:iCs/>
          <w:sz w:val="24"/>
          <w:szCs w:val="24"/>
          <w:vertAlign w:val="subscript"/>
        </w:rPr>
        <w:t>max</w:t>
      </w:r>
      <w:r>
        <w:rPr>
          <w:rFonts w:ascii="Times New Roman" w:hAnsi="Times New Roman" w:cs="Times New Roman"/>
          <w:iCs/>
          <w:sz w:val="24"/>
          <w:szCs w:val="24"/>
        </w:rPr>
        <w:t>R</w:t>
      </w:r>
      <w:proofErr w:type="spellEnd"/>
      <w:r>
        <w:rPr>
          <w:rFonts w:ascii="Times New Roman" w:hAnsi="Times New Roman" w:cs="Times New Roman"/>
          <w:iCs/>
          <w:sz w:val="24"/>
          <w:szCs w:val="24"/>
        </w:rPr>
        <w:t xml:space="preserve"> </w:t>
      </w:r>
      <w:r w:rsidRPr="00C97BC3">
        <w:rPr>
          <w:rFonts w:ascii="Times New Roman" w:hAnsi="Times New Roman" w:cs="Times New Roman"/>
          <w:iCs/>
          <w:sz w:val="24"/>
          <w:szCs w:val="24"/>
        </w:rPr>
        <w:t xml:space="preserve">predictions made using three different </w:t>
      </w:r>
      <w:proofErr w:type="spellStart"/>
      <w:r w:rsidRPr="00C97BC3">
        <w:rPr>
          <w:rFonts w:ascii="Times New Roman" w:hAnsi="Times New Roman" w:cs="Times New Roman"/>
          <w:i/>
          <w:sz w:val="24"/>
          <w:szCs w:val="24"/>
        </w:rPr>
        <w:t>f</w:t>
      </w:r>
      <w:r w:rsidRPr="00C97BC3">
        <w:rPr>
          <w:rFonts w:ascii="Times New Roman" w:hAnsi="Times New Roman" w:cs="Times New Roman"/>
          <w:i/>
          <w:sz w:val="24"/>
          <w:szCs w:val="24"/>
          <w:vertAlign w:val="subscript"/>
        </w:rPr>
        <w:t>m</w:t>
      </w:r>
      <w:r w:rsidRPr="00C97BC3">
        <w:rPr>
          <w:rFonts w:ascii="Times New Roman" w:hAnsi="Times New Roman" w:cs="Times New Roman"/>
          <w:iCs/>
          <w:sz w:val="24"/>
          <w:szCs w:val="24"/>
        </w:rPr>
        <w:t>s</w:t>
      </w:r>
      <w:proofErr w:type="spellEnd"/>
      <w:r w:rsidRPr="00C97BC3">
        <w:rPr>
          <w:rFonts w:ascii="Times New Roman" w:hAnsi="Times New Roman" w:cs="Times New Roman"/>
          <w:iCs/>
          <w:sz w:val="24"/>
          <w:szCs w:val="24"/>
        </w:rPr>
        <w:t xml:space="preserve"> with the measured </w:t>
      </w:r>
      <w:proofErr w:type="spellStart"/>
      <w:r w:rsidRPr="00C97BC3">
        <w:rPr>
          <w:rFonts w:ascii="Times New Roman" w:hAnsi="Times New Roman" w:cs="Times New Roman"/>
          <w:iCs/>
          <w:sz w:val="24"/>
          <w:szCs w:val="24"/>
        </w:rPr>
        <w:t>T</w:t>
      </w:r>
      <w:r w:rsidRPr="00C97BC3">
        <w:rPr>
          <w:rFonts w:ascii="Times New Roman" w:hAnsi="Times New Roman" w:cs="Times New Roman"/>
          <w:iCs/>
          <w:sz w:val="24"/>
          <w:szCs w:val="24"/>
          <w:vertAlign w:val="subscript"/>
        </w:rPr>
        <w:t>max</w:t>
      </w:r>
      <w:r w:rsidRPr="00C97BC3">
        <w:rPr>
          <w:rFonts w:ascii="Times New Roman" w:hAnsi="Times New Roman" w:cs="Times New Roman"/>
          <w:iCs/>
          <w:sz w:val="24"/>
          <w:szCs w:val="24"/>
        </w:rPr>
        <w:t>R</w:t>
      </w:r>
      <w:proofErr w:type="spellEnd"/>
      <w:r w:rsidRPr="00C97BC3">
        <w:rPr>
          <w:rFonts w:ascii="Times New Roman" w:hAnsi="Times New Roman" w:cs="Times New Roman"/>
          <w:iCs/>
          <w:sz w:val="24"/>
          <w:szCs w:val="24"/>
        </w:rPr>
        <w:t xml:space="preserve"> values</w:t>
      </w:r>
      <w:r>
        <w:rPr>
          <w:rFonts w:ascii="Times New Roman" w:hAnsi="Times New Roman" w:cs="Times New Roman"/>
          <w:iCs/>
          <w:sz w:val="24"/>
          <w:szCs w:val="24"/>
        </w:rPr>
        <w:t xml:space="preserve"> were showed in Figure S7 and Figure S8</w:t>
      </w:r>
      <w:r w:rsidRPr="00C97BC3">
        <w:rPr>
          <w:rFonts w:ascii="Times New Roman" w:hAnsi="Times New Roman" w:cs="Times New Roman"/>
          <w:iCs/>
          <w:sz w:val="24"/>
          <w:szCs w:val="24"/>
        </w:rPr>
        <w:t>.</w:t>
      </w:r>
      <w:r w:rsidR="003D0565">
        <w:rPr>
          <w:rFonts w:ascii="Times New Roman" w:hAnsi="Times New Roman" w:cs="Times New Roman"/>
          <w:iCs/>
          <w:sz w:val="24"/>
          <w:szCs w:val="24"/>
        </w:rPr>
        <w:t xml:space="preserve"> </w:t>
      </w:r>
      <w:r w:rsidR="00D50BC9" w:rsidRPr="00D50BC9">
        <w:rPr>
          <w:rFonts w:ascii="Times New Roman" w:eastAsia="宋体" w:hAnsi="Times New Roman"/>
        </w:rPr>
        <w:t xml:space="preserve">Notably, the predicted </w:t>
      </w:r>
      <w:proofErr w:type="spellStart"/>
      <w:r w:rsidR="00D50BC9" w:rsidRPr="00D50BC9">
        <w:rPr>
          <w:rFonts w:ascii="Times New Roman" w:eastAsia="宋体" w:hAnsi="Times New Roman"/>
        </w:rPr>
        <w:t>T</w:t>
      </w:r>
      <w:r w:rsidR="00D50BC9" w:rsidRPr="00D50BC9">
        <w:rPr>
          <w:rFonts w:ascii="Times New Roman" w:eastAsia="宋体" w:hAnsi="Times New Roman"/>
          <w:vertAlign w:val="subscript"/>
        </w:rPr>
        <w:t>max</w:t>
      </w:r>
      <w:r w:rsidR="00D50BC9" w:rsidRPr="00D50BC9">
        <w:rPr>
          <w:rFonts w:ascii="Times New Roman" w:eastAsia="宋体" w:hAnsi="Times New Roman"/>
        </w:rPr>
        <w:t>R</w:t>
      </w:r>
      <w:proofErr w:type="spellEnd"/>
      <w:r w:rsidR="00D50BC9" w:rsidRPr="00D50BC9">
        <w:rPr>
          <w:rFonts w:ascii="Times New Roman" w:eastAsia="宋体" w:hAnsi="Times New Roman"/>
        </w:rPr>
        <w:t xml:space="preserve"> was found to be accurate within 2 times the observed </w:t>
      </w:r>
      <w:proofErr w:type="spellStart"/>
      <w:r w:rsidR="00D50BC9" w:rsidRPr="00D50BC9">
        <w:rPr>
          <w:rFonts w:ascii="Times New Roman" w:eastAsia="宋体" w:hAnsi="Times New Roman"/>
        </w:rPr>
        <w:t>T</w:t>
      </w:r>
      <w:r w:rsidR="00D50BC9" w:rsidRPr="00D50BC9">
        <w:rPr>
          <w:rFonts w:ascii="Times New Roman" w:eastAsia="宋体" w:hAnsi="Times New Roman"/>
          <w:vertAlign w:val="subscript"/>
        </w:rPr>
        <w:t>max</w:t>
      </w:r>
      <w:r w:rsidR="00D50BC9" w:rsidRPr="00D50BC9">
        <w:rPr>
          <w:rFonts w:ascii="Times New Roman" w:eastAsia="宋体" w:hAnsi="Times New Roman"/>
        </w:rPr>
        <w:t>R</w:t>
      </w:r>
      <w:proofErr w:type="spellEnd"/>
      <w:r w:rsidR="00D50BC9" w:rsidRPr="00D50BC9">
        <w:rPr>
          <w:rFonts w:ascii="Times New Roman" w:eastAsia="宋体" w:hAnsi="Times New Roman"/>
        </w:rPr>
        <w:t xml:space="preserve"> when using in silico or </w:t>
      </w:r>
      <w:r w:rsidR="00D50BC9" w:rsidRPr="00D50BC9">
        <w:rPr>
          <w:rFonts w:ascii="Times New Roman" w:eastAsia="宋体" w:hAnsi="Times New Roman"/>
          <w:i/>
          <w:iCs/>
        </w:rPr>
        <w:t xml:space="preserve">in vitro </w:t>
      </w:r>
      <w:proofErr w:type="spellStart"/>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proofErr w:type="spellEnd"/>
      <w:r w:rsidR="00D50BC9" w:rsidRPr="00D50BC9">
        <w:rPr>
          <w:rFonts w:ascii="Times New Roman" w:eastAsia="宋体" w:hAnsi="Times New Roman"/>
        </w:rPr>
        <w:t xml:space="preserve"> methods, but not with 100% </w:t>
      </w:r>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r w:rsidR="00D50BC9" w:rsidRPr="00D50BC9">
        <w:rPr>
          <w:rFonts w:ascii="Times New Roman" w:eastAsia="宋体" w:hAnsi="Times New Roman"/>
        </w:rPr>
        <w:t xml:space="preserve">. </w:t>
      </w:r>
      <w:r w:rsidR="00D50BC9">
        <w:rPr>
          <w:rFonts w:ascii="Times New Roman" w:eastAsia="宋体" w:hAnsi="Times New Roman"/>
        </w:rPr>
        <w:t>The</w:t>
      </w:r>
      <w:r w:rsidR="00D50BC9" w:rsidRPr="00D50BC9">
        <w:rPr>
          <w:rFonts w:ascii="Times New Roman" w:eastAsia="宋体" w:hAnsi="Times New Roman"/>
          <w:i/>
          <w:iCs/>
        </w:rPr>
        <w:t xml:space="preserve"> in vitro </w:t>
      </w:r>
      <w:proofErr w:type="spellStart"/>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proofErr w:type="spellEnd"/>
      <w:r w:rsidR="00D50BC9" w:rsidRPr="00D50BC9">
        <w:rPr>
          <w:rFonts w:ascii="Times New Roman" w:eastAsia="宋体" w:hAnsi="Times New Roman"/>
          <w:i/>
          <w:iCs/>
        </w:rPr>
        <w:t xml:space="preserve"> </w:t>
      </w:r>
      <w:r w:rsidR="00D50BC9" w:rsidRPr="00D50BC9">
        <w:rPr>
          <w:rFonts w:ascii="Times New Roman" w:eastAsia="宋体" w:hAnsi="Times New Roman"/>
        </w:rPr>
        <w:t xml:space="preserve">was the most precise method, as it accurately predicted the </w:t>
      </w:r>
      <w:proofErr w:type="spellStart"/>
      <w:r w:rsidR="00D50BC9" w:rsidRPr="00D50BC9">
        <w:rPr>
          <w:rFonts w:ascii="Times New Roman" w:eastAsia="宋体" w:hAnsi="Times New Roman"/>
        </w:rPr>
        <w:t>C</w:t>
      </w:r>
      <w:r w:rsidR="00D50BC9" w:rsidRPr="00D50BC9">
        <w:rPr>
          <w:rFonts w:ascii="Times New Roman" w:eastAsia="宋体" w:hAnsi="Times New Roman"/>
          <w:vertAlign w:val="subscript"/>
        </w:rPr>
        <w:t>max</w:t>
      </w:r>
      <w:r w:rsidR="00D50BC9" w:rsidRPr="00D50BC9">
        <w:rPr>
          <w:rFonts w:ascii="Times New Roman" w:eastAsia="宋体" w:hAnsi="Times New Roman"/>
        </w:rPr>
        <w:t>R</w:t>
      </w:r>
      <w:proofErr w:type="spellEnd"/>
      <w:r w:rsidR="00D50BC9" w:rsidRPr="00D50BC9">
        <w:rPr>
          <w:rFonts w:ascii="Times New Roman" w:eastAsia="宋体" w:hAnsi="Times New Roman"/>
        </w:rPr>
        <w:t xml:space="preserve"> of 31 drugs within 2 times of the measured results. In contrast, the use of 100% </w:t>
      </w:r>
      <w:proofErr w:type="spellStart"/>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proofErr w:type="spellEnd"/>
      <w:r w:rsidR="00D50BC9" w:rsidRPr="00D50BC9">
        <w:rPr>
          <w:rFonts w:ascii="Times New Roman" w:eastAsia="宋体" w:hAnsi="Times New Roman"/>
        </w:rPr>
        <w:t xml:space="preserve"> and in silico </w:t>
      </w:r>
      <w:proofErr w:type="spellStart"/>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proofErr w:type="spellEnd"/>
      <w:r w:rsidR="00D50BC9" w:rsidRPr="00D50BC9">
        <w:rPr>
          <w:rFonts w:ascii="Times New Roman" w:eastAsia="宋体" w:hAnsi="Times New Roman"/>
        </w:rPr>
        <w:t xml:space="preserve"> led to lower prediction accuracy. Only 24 drugs had their </w:t>
      </w:r>
      <w:proofErr w:type="spellStart"/>
      <w:r w:rsidR="00D50BC9" w:rsidRPr="00D50BC9">
        <w:rPr>
          <w:rFonts w:ascii="Times New Roman" w:eastAsia="宋体" w:hAnsi="Times New Roman"/>
        </w:rPr>
        <w:t>C</w:t>
      </w:r>
      <w:r w:rsidR="00D50BC9" w:rsidRPr="00D50BC9">
        <w:rPr>
          <w:rFonts w:ascii="Times New Roman" w:eastAsia="宋体" w:hAnsi="Times New Roman"/>
          <w:vertAlign w:val="subscript"/>
        </w:rPr>
        <w:t>max</w:t>
      </w:r>
      <w:r w:rsidR="00D50BC9" w:rsidRPr="00D50BC9">
        <w:rPr>
          <w:rFonts w:ascii="Times New Roman" w:eastAsia="宋体" w:hAnsi="Times New Roman"/>
        </w:rPr>
        <w:t>R</w:t>
      </w:r>
      <w:proofErr w:type="spellEnd"/>
      <w:r w:rsidR="00D50BC9" w:rsidRPr="00D50BC9">
        <w:rPr>
          <w:rFonts w:ascii="Times New Roman" w:eastAsia="宋体" w:hAnsi="Times New Roman"/>
        </w:rPr>
        <w:t xml:space="preserve"> predicted within 2 times of the measured results when using 100% </w:t>
      </w:r>
      <w:proofErr w:type="spellStart"/>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proofErr w:type="spellEnd"/>
      <w:r w:rsidR="00D50BC9" w:rsidRPr="00D50BC9">
        <w:rPr>
          <w:rFonts w:ascii="Times New Roman" w:eastAsia="宋体" w:hAnsi="Times New Roman"/>
        </w:rPr>
        <w:t xml:space="preserve"> or in silico </w:t>
      </w:r>
      <w:proofErr w:type="spellStart"/>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proofErr w:type="spellEnd"/>
      <w:r w:rsidR="00D50BC9" w:rsidRPr="00D50BC9">
        <w:rPr>
          <w:rFonts w:ascii="Times New Roman" w:eastAsia="宋体" w:hAnsi="Times New Roman"/>
        </w:rPr>
        <w:t xml:space="preserve">, and 26 drugs for </w:t>
      </w:r>
      <w:proofErr w:type="spellStart"/>
      <w:r w:rsidR="00D50BC9" w:rsidRPr="00D50BC9">
        <w:rPr>
          <w:rFonts w:ascii="Times New Roman" w:eastAsia="宋体" w:hAnsi="Times New Roman"/>
        </w:rPr>
        <w:t>C</w:t>
      </w:r>
      <w:r w:rsidR="00D50BC9" w:rsidRPr="00D50BC9">
        <w:rPr>
          <w:rFonts w:ascii="Times New Roman" w:eastAsia="宋体" w:hAnsi="Times New Roman"/>
          <w:vertAlign w:val="subscript"/>
        </w:rPr>
        <w:t>max</w:t>
      </w:r>
      <w:r w:rsidR="00D50BC9" w:rsidRPr="00D50BC9">
        <w:rPr>
          <w:rFonts w:ascii="Times New Roman" w:eastAsia="宋体" w:hAnsi="Times New Roman"/>
        </w:rPr>
        <w:t>R</w:t>
      </w:r>
      <w:proofErr w:type="spellEnd"/>
      <w:r w:rsidR="00D50BC9" w:rsidRPr="00D50BC9">
        <w:rPr>
          <w:rFonts w:ascii="Times New Roman" w:eastAsia="宋体" w:hAnsi="Times New Roman"/>
        </w:rPr>
        <w:t xml:space="preserve"> when using in silico </w:t>
      </w:r>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r w:rsidR="00D50BC9" w:rsidRPr="00D50BC9">
        <w:rPr>
          <w:rFonts w:ascii="Times New Roman" w:eastAsia="宋体" w:hAnsi="Times New Roman"/>
        </w:rPr>
        <w:t xml:space="preserve">. The findings demonstrate that incorporating </w:t>
      </w:r>
      <w:r w:rsidR="00D50BC9" w:rsidRPr="00D50BC9">
        <w:rPr>
          <w:rFonts w:ascii="Times New Roman" w:eastAsia="宋体" w:hAnsi="Times New Roman"/>
          <w:i/>
          <w:iCs/>
        </w:rPr>
        <w:t xml:space="preserve">in vitro </w:t>
      </w:r>
      <w:proofErr w:type="spellStart"/>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proofErr w:type="spellEnd"/>
      <w:r w:rsidR="00D50BC9" w:rsidRPr="00D50BC9">
        <w:rPr>
          <w:rFonts w:ascii="Times New Roman" w:eastAsia="宋体" w:hAnsi="Times New Roman"/>
        </w:rPr>
        <w:t xml:space="preserve"> data into PBPK models significantly enhances the accuracy of predicting the extent of DDIs for the parameters studied. While in silico </w:t>
      </w:r>
      <w:proofErr w:type="spellStart"/>
      <w:r w:rsidR="00D50BC9" w:rsidRPr="00D50BC9">
        <w:rPr>
          <w:rFonts w:ascii="Times New Roman" w:eastAsia="宋体" w:hAnsi="Times New Roman"/>
          <w:i/>
          <w:iCs/>
        </w:rPr>
        <w:t>f</w:t>
      </w:r>
      <w:r w:rsidR="00D50BC9" w:rsidRPr="00E7517C">
        <w:rPr>
          <w:rFonts w:ascii="Times New Roman" w:eastAsia="宋体" w:hAnsi="Times New Roman"/>
          <w:i/>
          <w:iCs/>
          <w:vertAlign w:val="subscript"/>
        </w:rPr>
        <w:t>m</w:t>
      </w:r>
      <w:proofErr w:type="spellEnd"/>
      <w:r w:rsidR="00D50BC9" w:rsidRPr="00D50BC9">
        <w:rPr>
          <w:rFonts w:ascii="Times New Roman" w:eastAsia="宋体" w:hAnsi="Times New Roman"/>
        </w:rPr>
        <w:t xml:space="preserve"> shows some promise, its impact on prediction is limited.</w:t>
      </w:r>
    </w:p>
    <w:p w14:paraId="04C2B910" w14:textId="22930549" w:rsidR="00C97BC3" w:rsidRDefault="00C97BC3" w:rsidP="007F401E">
      <w:pPr>
        <w:rPr>
          <w:rFonts w:ascii="Times New Roman" w:eastAsia="宋体" w:hAnsi="Times New Roman"/>
        </w:rPr>
      </w:pPr>
      <w:r>
        <w:rPr>
          <w:rFonts w:ascii="Times New Roman" w:eastAsia="宋体" w:hAnsi="Times New Roman"/>
          <w:noProof/>
        </w:rPr>
        <w:lastRenderedPageBreak/>
        <w:drawing>
          <wp:inline distT="0" distB="0" distL="0" distR="0" wp14:anchorId="7D3E742B" wp14:editId="5F333AD1">
            <wp:extent cx="5274310" cy="2260600"/>
            <wp:effectExtent l="0" t="0" r="2540" b="6350"/>
            <wp:docPr id="1101030408" name="图片 7"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030408" name="图片 7" descr="图示, 工程绘图&#10;&#10;描述已自动生成"/>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74310" cy="2260600"/>
                    </a:xfrm>
                    <a:prstGeom prst="rect">
                      <a:avLst/>
                    </a:prstGeom>
                  </pic:spPr>
                </pic:pic>
              </a:graphicData>
            </a:graphic>
          </wp:inline>
        </w:drawing>
      </w:r>
    </w:p>
    <w:p w14:paraId="5319B86A" w14:textId="1CFBBF18" w:rsidR="00C97BC3" w:rsidRPr="003D0565" w:rsidRDefault="00C97BC3" w:rsidP="007F401E">
      <w:pPr>
        <w:rPr>
          <w:rFonts w:ascii="Times New Roman" w:eastAsia="宋体" w:hAnsi="Times New Roman" w:cs="Times New Roman"/>
          <w:szCs w:val="21"/>
        </w:rPr>
      </w:pPr>
      <w:r w:rsidRPr="00E7517C">
        <w:rPr>
          <w:rFonts w:ascii="Times New Roman" w:hAnsi="Times New Roman" w:cs="Times New Roman"/>
          <w:iCs/>
          <w:szCs w:val="21"/>
        </w:rPr>
        <w:t xml:space="preserve">Figure S7. Comparison of </w:t>
      </w:r>
      <w:proofErr w:type="spellStart"/>
      <w:r w:rsidRPr="00E7517C">
        <w:rPr>
          <w:rFonts w:ascii="Times New Roman" w:hAnsi="Times New Roman" w:cs="Times New Roman"/>
          <w:iCs/>
          <w:szCs w:val="21"/>
        </w:rPr>
        <w:t>T</w:t>
      </w:r>
      <w:r w:rsidRPr="00E7517C">
        <w:rPr>
          <w:rFonts w:ascii="Times New Roman" w:hAnsi="Times New Roman" w:cs="Times New Roman"/>
          <w:iCs/>
          <w:szCs w:val="21"/>
          <w:vertAlign w:val="subscript"/>
        </w:rPr>
        <w:t>max</w:t>
      </w:r>
      <w:r w:rsidRPr="00E7517C">
        <w:rPr>
          <w:rFonts w:ascii="Times New Roman" w:hAnsi="Times New Roman" w:cs="Times New Roman"/>
          <w:iCs/>
          <w:szCs w:val="21"/>
        </w:rPr>
        <w:t>R</w:t>
      </w:r>
      <w:proofErr w:type="spellEnd"/>
      <w:r w:rsidRPr="00E7517C">
        <w:rPr>
          <w:rFonts w:ascii="Times New Roman" w:hAnsi="Times New Roman" w:cs="Times New Roman"/>
          <w:iCs/>
          <w:szCs w:val="21"/>
        </w:rPr>
        <w:t xml:space="preserve"> predictions made using three different </w:t>
      </w:r>
      <w:proofErr w:type="spellStart"/>
      <w:r w:rsidRPr="00E7517C">
        <w:rPr>
          <w:rFonts w:ascii="Times New Roman" w:hAnsi="Times New Roman" w:cs="Times New Roman"/>
          <w:i/>
          <w:szCs w:val="21"/>
        </w:rPr>
        <w:t>f</w:t>
      </w:r>
      <w:r w:rsidRPr="00E7517C">
        <w:rPr>
          <w:rFonts w:ascii="Times New Roman" w:hAnsi="Times New Roman" w:cs="Times New Roman"/>
          <w:i/>
          <w:szCs w:val="21"/>
          <w:vertAlign w:val="subscript"/>
        </w:rPr>
        <w:t>m</w:t>
      </w:r>
      <w:r w:rsidRPr="00E7517C">
        <w:rPr>
          <w:rFonts w:ascii="Times New Roman" w:hAnsi="Times New Roman" w:cs="Times New Roman"/>
          <w:iCs/>
          <w:szCs w:val="21"/>
        </w:rPr>
        <w:t>s</w:t>
      </w:r>
      <w:proofErr w:type="spellEnd"/>
      <w:r w:rsidRPr="00E7517C">
        <w:rPr>
          <w:rFonts w:ascii="Times New Roman" w:hAnsi="Times New Roman" w:cs="Times New Roman"/>
          <w:iCs/>
          <w:szCs w:val="21"/>
        </w:rPr>
        <w:t xml:space="preserve"> with the measured </w:t>
      </w:r>
      <w:proofErr w:type="spellStart"/>
      <w:r w:rsidRPr="00E7517C">
        <w:rPr>
          <w:rFonts w:ascii="Times New Roman" w:hAnsi="Times New Roman" w:cs="Times New Roman"/>
          <w:iCs/>
          <w:szCs w:val="21"/>
        </w:rPr>
        <w:t>T</w:t>
      </w:r>
      <w:r w:rsidRPr="00E7517C">
        <w:rPr>
          <w:rFonts w:ascii="Times New Roman" w:hAnsi="Times New Roman" w:cs="Times New Roman"/>
          <w:iCs/>
          <w:szCs w:val="21"/>
          <w:vertAlign w:val="subscript"/>
        </w:rPr>
        <w:t>max</w:t>
      </w:r>
      <w:r w:rsidRPr="00E7517C">
        <w:rPr>
          <w:rFonts w:ascii="Times New Roman" w:hAnsi="Times New Roman" w:cs="Times New Roman"/>
          <w:iCs/>
          <w:szCs w:val="21"/>
        </w:rPr>
        <w:t>R</w:t>
      </w:r>
      <w:proofErr w:type="spellEnd"/>
      <w:r w:rsidRPr="00E7517C">
        <w:rPr>
          <w:rFonts w:ascii="Times New Roman" w:hAnsi="Times New Roman" w:cs="Times New Roman"/>
          <w:iCs/>
          <w:szCs w:val="21"/>
        </w:rPr>
        <w:t xml:space="preserve"> values. The left panel assumes a fixed </w:t>
      </w:r>
      <w:proofErr w:type="spellStart"/>
      <w:r w:rsidRPr="00E7517C">
        <w:rPr>
          <w:rFonts w:ascii="Times New Roman" w:hAnsi="Times New Roman" w:cs="Times New Roman"/>
          <w:i/>
          <w:szCs w:val="21"/>
        </w:rPr>
        <w:t>f</w:t>
      </w:r>
      <w:r w:rsidRPr="00E7517C">
        <w:rPr>
          <w:rFonts w:ascii="Times New Roman" w:hAnsi="Times New Roman" w:cs="Times New Roman"/>
          <w:i/>
          <w:szCs w:val="21"/>
          <w:vertAlign w:val="subscript"/>
        </w:rPr>
        <w:t>m</w:t>
      </w:r>
      <w:proofErr w:type="spellEnd"/>
      <w:r w:rsidRPr="00E7517C">
        <w:rPr>
          <w:rFonts w:ascii="Times New Roman" w:hAnsi="Times New Roman" w:cs="Times New Roman"/>
          <w:iCs/>
          <w:szCs w:val="21"/>
        </w:rPr>
        <w:t xml:space="preserve"> value of 100%, the middle panel uses an </w:t>
      </w:r>
      <w:r w:rsidRPr="00E7517C">
        <w:rPr>
          <w:rFonts w:ascii="Times New Roman" w:hAnsi="Times New Roman" w:cs="Times New Roman"/>
          <w:i/>
          <w:iCs/>
          <w:szCs w:val="21"/>
        </w:rPr>
        <w:t>in silico</w:t>
      </w:r>
      <w:r w:rsidRPr="00E7517C">
        <w:rPr>
          <w:rFonts w:ascii="Times New Roman" w:hAnsi="Times New Roman" w:cs="Times New Roman"/>
          <w:iCs/>
          <w:szCs w:val="21"/>
        </w:rPr>
        <w:t xml:space="preserve"> </w:t>
      </w:r>
      <w:proofErr w:type="spellStart"/>
      <w:r w:rsidRPr="00E7517C">
        <w:rPr>
          <w:rFonts w:ascii="Times New Roman" w:hAnsi="Times New Roman" w:cs="Times New Roman"/>
          <w:i/>
          <w:szCs w:val="21"/>
        </w:rPr>
        <w:t>f</w:t>
      </w:r>
      <w:r w:rsidRPr="00E7517C">
        <w:rPr>
          <w:rFonts w:ascii="Times New Roman" w:hAnsi="Times New Roman" w:cs="Times New Roman"/>
          <w:i/>
          <w:szCs w:val="21"/>
          <w:vertAlign w:val="subscript"/>
        </w:rPr>
        <w:t>m</w:t>
      </w:r>
      <w:proofErr w:type="spellEnd"/>
      <w:r w:rsidRPr="00E7517C">
        <w:rPr>
          <w:rFonts w:ascii="Times New Roman" w:hAnsi="Times New Roman" w:cs="Times New Roman"/>
          <w:iCs/>
          <w:szCs w:val="21"/>
        </w:rPr>
        <w:t xml:space="preserve">, and the right panel uses an </w:t>
      </w:r>
      <w:r w:rsidRPr="00E7517C">
        <w:rPr>
          <w:rFonts w:ascii="Times New Roman" w:hAnsi="Times New Roman" w:cs="Times New Roman"/>
          <w:i/>
          <w:szCs w:val="21"/>
        </w:rPr>
        <w:t xml:space="preserve">in vitro </w:t>
      </w:r>
      <w:proofErr w:type="spellStart"/>
      <w:proofErr w:type="gramStart"/>
      <w:r w:rsidRPr="00E7517C">
        <w:rPr>
          <w:rFonts w:ascii="Times New Roman" w:hAnsi="Times New Roman" w:cs="Times New Roman"/>
          <w:i/>
          <w:szCs w:val="21"/>
        </w:rPr>
        <w:t>f</w:t>
      </w:r>
      <w:r w:rsidRPr="00E7517C">
        <w:rPr>
          <w:rFonts w:ascii="Times New Roman" w:hAnsi="Times New Roman" w:cs="Times New Roman"/>
          <w:i/>
          <w:szCs w:val="21"/>
          <w:vertAlign w:val="subscript"/>
        </w:rPr>
        <w:t>m</w:t>
      </w:r>
      <w:proofErr w:type="spellEnd"/>
      <w:proofErr w:type="gramEnd"/>
    </w:p>
    <w:p w14:paraId="61C7612C" w14:textId="77777777" w:rsidR="00C97BC3" w:rsidRDefault="00C97BC3" w:rsidP="007F401E">
      <w:pPr>
        <w:rPr>
          <w:rFonts w:ascii="Times New Roman" w:eastAsia="宋体" w:hAnsi="Times New Roman"/>
        </w:rPr>
      </w:pPr>
    </w:p>
    <w:p w14:paraId="3938C0E7" w14:textId="0905ED92" w:rsidR="00C97BC3" w:rsidRPr="00C97BC3" w:rsidRDefault="00D50BC9" w:rsidP="00C97BC3">
      <w:pPr>
        <w:rPr>
          <w:rFonts w:ascii="Times New Roman" w:hAnsi="Times New Roman" w:cs="Times New Roman"/>
          <w:iCs/>
          <w:sz w:val="24"/>
          <w:szCs w:val="24"/>
        </w:rPr>
      </w:pPr>
      <w:r>
        <w:rPr>
          <w:rFonts w:ascii="Times New Roman" w:eastAsia="宋体" w:hAnsi="Times New Roman"/>
          <w:noProof/>
        </w:rPr>
        <w:drawing>
          <wp:inline distT="0" distB="0" distL="0" distR="0" wp14:anchorId="3EE4F5C6" wp14:editId="50790560">
            <wp:extent cx="5274310" cy="2260600"/>
            <wp:effectExtent l="0" t="0" r="2540" b="6350"/>
            <wp:docPr id="414540172" name="图片 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540172" name="图片 5" descr="图示&#10;&#10;描述已自动生成"/>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2260600"/>
                    </a:xfrm>
                    <a:prstGeom prst="rect">
                      <a:avLst/>
                    </a:prstGeom>
                  </pic:spPr>
                </pic:pic>
              </a:graphicData>
            </a:graphic>
          </wp:inline>
        </w:drawing>
      </w:r>
      <w:r w:rsidR="00C97BC3" w:rsidRPr="00E7517C">
        <w:rPr>
          <w:rFonts w:ascii="Times New Roman" w:hAnsi="Times New Roman" w:cs="Times New Roman"/>
          <w:iCs/>
          <w:szCs w:val="21"/>
        </w:rPr>
        <w:t xml:space="preserve">Figure S8. Comparison of </w:t>
      </w:r>
      <w:proofErr w:type="spellStart"/>
      <w:r w:rsidR="00C97BC3" w:rsidRPr="00E7517C">
        <w:rPr>
          <w:rFonts w:ascii="Times New Roman" w:hAnsi="Times New Roman" w:cs="Times New Roman"/>
          <w:iCs/>
          <w:szCs w:val="21"/>
        </w:rPr>
        <w:t>C</w:t>
      </w:r>
      <w:r w:rsidR="00C97BC3" w:rsidRPr="00E7517C">
        <w:rPr>
          <w:rFonts w:ascii="Times New Roman" w:hAnsi="Times New Roman" w:cs="Times New Roman"/>
          <w:iCs/>
          <w:szCs w:val="21"/>
          <w:vertAlign w:val="subscript"/>
        </w:rPr>
        <w:t>max</w:t>
      </w:r>
      <w:r w:rsidR="00C97BC3" w:rsidRPr="00E7517C">
        <w:rPr>
          <w:rFonts w:ascii="Times New Roman" w:hAnsi="Times New Roman" w:cs="Times New Roman"/>
          <w:iCs/>
          <w:szCs w:val="21"/>
        </w:rPr>
        <w:t>R</w:t>
      </w:r>
      <w:proofErr w:type="spellEnd"/>
      <w:r w:rsidR="00C97BC3" w:rsidRPr="00E7517C">
        <w:rPr>
          <w:rFonts w:ascii="Times New Roman" w:hAnsi="Times New Roman" w:cs="Times New Roman"/>
          <w:iCs/>
          <w:szCs w:val="21"/>
        </w:rPr>
        <w:t xml:space="preserve"> predictions made using three different </w:t>
      </w:r>
      <w:proofErr w:type="spellStart"/>
      <w:r w:rsidR="00C97BC3" w:rsidRPr="00E7517C">
        <w:rPr>
          <w:rFonts w:ascii="Times New Roman" w:hAnsi="Times New Roman" w:cs="Times New Roman"/>
          <w:i/>
          <w:szCs w:val="21"/>
        </w:rPr>
        <w:t>f</w:t>
      </w:r>
      <w:r w:rsidR="00C97BC3" w:rsidRPr="00E7517C">
        <w:rPr>
          <w:rFonts w:ascii="Times New Roman" w:hAnsi="Times New Roman" w:cs="Times New Roman"/>
          <w:i/>
          <w:szCs w:val="21"/>
          <w:vertAlign w:val="subscript"/>
        </w:rPr>
        <w:t>m</w:t>
      </w:r>
      <w:r w:rsidR="00C97BC3" w:rsidRPr="00E7517C">
        <w:rPr>
          <w:rFonts w:ascii="Times New Roman" w:hAnsi="Times New Roman" w:cs="Times New Roman"/>
          <w:iCs/>
          <w:szCs w:val="21"/>
        </w:rPr>
        <w:t>s</w:t>
      </w:r>
      <w:proofErr w:type="spellEnd"/>
      <w:r w:rsidR="00C97BC3" w:rsidRPr="00E7517C">
        <w:rPr>
          <w:rFonts w:ascii="Times New Roman" w:hAnsi="Times New Roman" w:cs="Times New Roman"/>
          <w:iCs/>
          <w:szCs w:val="21"/>
        </w:rPr>
        <w:t xml:space="preserve"> with the measured </w:t>
      </w:r>
      <w:proofErr w:type="spellStart"/>
      <w:r w:rsidR="00C97BC3" w:rsidRPr="00E7517C">
        <w:rPr>
          <w:rFonts w:ascii="Times New Roman" w:hAnsi="Times New Roman" w:cs="Times New Roman"/>
          <w:iCs/>
          <w:szCs w:val="21"/>
        </w:rPr>
        <w:t>C</w:t>
      </w:r>
      <w:r w:rsidR="00C97BC3" w:rsidRPr="00E7517C">
        <w:rPr>
          <w:rFonts w:ascii="Times New Roman" w:hAnsi="Times New Roman" w:cs="Times New Roman"/>
          <w:iCs/>
          <w:szCs w:val="21"/>
          <w:vertAlign w:val="subscript"/>
        </w:rPr>
        <w:t>max</w:t>
      </w:r>
      <w:r w:rsidR="00C97BC3" w:rsidRPr="00E7517C">
        <w:rPr>
          <w:rFonts w:ascii="Times New Roman" w:hAnsi="Times New Roman" w:cs="Times New Roman"/>
          <w:iCs/>
          <w:szCs w:val="21"/>
        </w:rPr>
        <w:t>R</w:t>
      </w:r>
      <w:proofErr w:type="spellEnd"/>
      <w:r w:rsidR="00C97BC3" w:rsidRPr="00E7517C">
        <w:rPr>
          <w:rFonts w:ascii="Times New Roman" w:hAnsi="Times New Roman" w:cs="Times New Roman"/>
          <w:iCs/>
          <w:szCs w:val="21"/>
        </w:rPr>
        <w:t xml:space="preserve"> values. The left panel assumes a fixed </w:t>
      </w:r>
      <w:proofErr w:type="spellStart"/>
      <w:r w:rsidR="00C97BC3" w:rsidRPr="00E7517C">
        <w:rPr>
          <w:rFonts w:ascii="Times New Roman" w:hAnsi="Times New Roman" w:cs="Times New Roman"/>
          <w:i/>
          <w:szCs w:val="21"/>
        </w:rPr>
        <w:t>f</w:t>
      </w:r>
      <w:r w:rsidR="00C97BC3" w:rsidRPr="00E7517C">
        <w:rPr>
          <w:rFonts w:ascii="Times New Roman" w:hAnsi="Times New Roman" w:cs="Times New Roman"/>
          <w:i/>
          <w:szCs w:val="21"/>
          <w:vertAlign w:val="subscript"/>
        </w:rPr>
        <w:t>m</w:t>
      </w:r>
      <w:proofErr w:type="spellEnd"/>
      <w:r w:rsidR="00C97BC3" w:rsidRPr="00E7517C">
        <w:rPr>
          <w:rFonts w:ascii="Times New Roman" w:hAnsi="Times New Roman" w:cs="Times New Roman"/>
          <w:iCs/>
          <w:szCs w:val="21"/>
        </w:rPr>
        <w:t xml:space="preserve"> value of 100%, the middle panel uses an </w:t>
      </w:r>
      <w:r w:rsidR="00C97BC3" w:rsidRPr="00E7517C">
        <w:rPr>
          <w:rFonts w:ascii="Times New Roman" w:hAnsi="Times New Roman" w:cs="Times New Roman"/>
          <w:i/>
          <w:iCs/>
          <w:szCs w:val="21"/>
        </w:rPr>
        <w:t>in silico</w:t>
      </w:r>
      <w:r w:rsidR="00C97BC3" w:rsidRPr="00E7517C">
        <w:rPr>
          <w:rFonts w:ascii="Times New Roman" w:hAnsi="Times New Roman" w:cs="Times New Roman"/>
          <w:iCs/>
          <w:szCs w:val="21"/>
        </w:rPr>
        <w:t xml:space="preserve"> </w:t>
      </w:r>
      <w:proofErr w:type="spellStart"/>
      <w:r w:rsidR="00C97BC3" w:rsidRPr="00E7517C">
        <w:rPr>
          <w:rFonts w:ascii="Times New Roman" w:hAnsi="Times New Roman" w:cs="Times New Roman"/>
          <w:i/>
          <w:szCs w:val="21"/>
        </w:rPr>
        <w:t>f</w:t>
      </w:r>
      <w:r w:rsidR="00C97BC3" w:rsidRPr="00E7517C">
        <w:rPr>
          <w:rFonts w:ascii="Times New Roman" w:hAnsi="Times New Roman" w:cs="Times New Roman"/>
          <w:i/>
          <w:szCs w:val="21"/>
          <w:vertAlign w:val="subscript"/>
        </w:rPr>
        <w:t>m</w:t>
      </w:r>
      <w:proofErr w:type="spellEnd"/>
      <w:r w:rsidR="00C97BC3" w:rsidRPr="00E7517C">
        <w:rPr>
          <w:rFonts w:ascii="Times New Roman" w:hAnsi="Times New Roman" w:cs="Times New Roman"/>
          <w:iCs/>
          <w:szCs w:val="21"/>
        </w:rPr>
        <w:t xml:space="preserve">, and the right panel uses an </w:t>
      </w:r>
      <w:r w:rsidR="00C97BC3" w:rsidRPr="00E7517C">
        <w:rPr>
          <w:rFonts w:ascii="Times New Roman" w:hAnsi="Times New Roman" w:cs="Times New Roman"/>
          <w:i/>
          <w:szCs w:val="21"/>
        </w:rPr>
        <w:t xml:space="preserve">in vitro </w:t>
      </w:r>
      <w:proofErr w:type="spellStart"/>
      <w:proofErr w:type="gramStart"/>
      <w:r w:rsidR="00C97BC3" w:rsidRPr="00E7517C">
        <w:rPr>
          <w:rFonts w:ascii="Times New Roman" w:hAnsi="Times New Roman" w:cs="Times New Roman"/>
          <w:i/>
          <w:szCs w:val="21"/>
        </w:rPr>
        <w:t>f</w:t>
      </w:r>
      <w:r w:rsidR="00C97BC3" w:rsidRPr="00E7517C">
        <w:rPr>
          <w:rFonts w:ascii="Times New Roman" w:hAnsi="Times New Roman" w:cs="Times New Roman"/>
          <w:i/>
          <w:szCs w:val="21"/>
          <w:vertAlign w:val="subscript"/>
        </w:rPr>
        <w:t>m</w:t>
      </w:r>
      <w:proofErr w:type="spellEnd"/>
      <w:proofErr w:type="gramEnd"/>
    </w:p>
    <w:p w14:paraId="7A26BECF" w14:textId="514D2F5D" w:rsidR="00D50BC9" w:rsidRPr="00C97BC3" w:rsidRDefault="00D50BC9">
      <w:pPr>
        <w:widowControl/>
        <w:jc w:val="left"/>
        <w:rPr>
          <w:rFonts w:ascii="Times New Roman" w:eastAsia="宋体" w:hAnsi="Times New Roman"/>
        </w:rPr>
      </w:pPr>
    </w:p>
    <w:p w14:paraId="61BE4D52" w14:textId="77777777" w:rsidR="00C97BC3" w:rsidRDefault="00C97BC3">
      <w:pPr>
        <w:widowControl/>
        <w:jc w:val="left"/>
        <w:rPr>
          <w:rFonts w:ascii="Times New Roman" w:eastAsia="宋体" w:hAnsi="Times New Roman"/>
        </w:rPr>
      </w:pPr>
      <w:r>
        <w:rPr>
          <w:rFonts w:ascii="Times New Roman" w:eastAsia="宋体" w:hAnsi="Times New Roman"/>
        </w:rPr>
        <w:br w:type="page"/>
      </w:r>
    </w:p>
    <w:p w14:paraId="01E99B04" w14:textId="4377B096" w:rsidR="00BC2C09" w:rsidRDefault="00BC2C09" w:rsidP="007F401E">
      <w:pPr>
        <w:rPr>
          <w:rFonts w:ascii="Times New Roman" w:eastAsia="宋体" w:hAnsi="Times New Roman"/>
        </w:rPr>
      </w:pPr>
      <w:r>
        <w:rPr>
          <w:rFonts w:ascii="Times New Roman" w:eastAsia="宋体" w:hAnsi="Times New Roman" w:hint="eastAsia"/>
        </w:rPr>
        <w:lastRenderedPageBreak/>
        <w:t>R</w:t>
      </w:r>
      <w:r>
        <w:rPr>
          <w:rFonts w:ascii="Times New Roman" w:eastAsia="宋体" w:hAnsi="Times New Roman"/>
        </w:rPr>
        <w:t>eference</w:t>
      </w:r>
    </w:p>
    <w:p w14:paraId="677FA29A" w14:textId="3F17B91B"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 xml:space="preserve">S1. Apixaban (Eliquis)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 https://www.accessdata.fda.gov/drugsatfda_docs/nda/2012/202155Orig1s000ClinPharmR.pdf&gt; (2012).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268DE514" w14:textId="0670A47F"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 xml:space="preserve">S2. Apremilast (Otezla)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&lt;https://www.accessdata.fda.gov/drugsatfda_docs/nda/2014/205437Orig1s000ClinPharmR.pdf&gt; (2014).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2C99FB1F" w14:textId="41593008"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 xml:space="preserve">S3. </w:t>
      </w:r>
      <w:proofErr w:type="spellStart"/>
      <w:r w:rsidRPr="000746D6">
        <w:rPr>
          <w:rFonts w:ascii="Times New Roman" w:eastAsia="宋体" w:hAnsi="Times New Roman"/>
          <w:sz w:val="18"/>
          <w:szCs w:val="18"/>
        </w:rPr>
        <w:t>Axitinib</w:t>
      </w:r>
      <w:proofErr w:type="spellEnd"/>
      <w:r w:rsidRPr="000746D6">
        <w:rPr>
          <w:rFonts w:ascii="Times New Roman" w:eastAsia="宋体" w:hAnsi="Times New Roman"/>
          <w:sz w:val="18"/>
          <w:szCs w:val="18"/>
        </w:rPr>
        <w:t xml:space="preserve"> (Inlyta)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&lt;https://www.accessdata.fda.gov/drugsatfda_docs/nda/2012/202324Orig1s000ClinPharmR.pdf&gt; (2012).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2A439959" w14:textId="7C827D0E"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 xml:space="preserve">S4. Baricitinib (Olumiant)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&lt;https://www.accessdata.fda.gov/drugsatfda_docs/nda/2018/207924Orig1s000ClinPharmR.pdf&gt; (2018).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7E5EB0F0" w14:textId="08F5E369"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S5. Bosutinib (</w:t>
      </w:r>
      <w:proofErr w:type="spellStart"/>
      <w:r w:rsidRPr="000746D6">
        <w:rPr>
          <w:rFonts w:ascii="Times New Roman" w:eastAsia="宋体" w:hAnsi="Times New Roman"/>
          <w:sz w:val="18"/>
          <w:szCs w:val="18"/>
        </w:rPr>
        <w:t>Bosulif</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&lt;https://www.accessdata.fda.gov/drugsatfda_docs/nda/2012/203341Orig1s000ClinPharmR.pdf&gt; (2012).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11B6DD94" w14:textId="1A881FB9"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 xml:space="preserve">S6. </w:t>
      </w:r>
      <w:proofErr w:type="spellStart"/>
      <w:r w:rsidRPr="000746D6">
        <w:rPr>
          <w:rFonts w:ascii="Times New Roman" w:eastAsia="宋体" w:hAnsi="Times New Roman"/>
          <w:sz w:val="18"/>
          <w:szCs w:val="18"/>
        </w:rPr>
        <w:t>Crizotinib</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Xalkori</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&lt;https://www.accessdata.fda.gov/drugsatfda_docs/nda/2011/202570Orig1s000ClinPharmR.pdf&gt; (2011).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2F5F29F1" w14:textId="6EBE3171"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 xml:space="preserve">S7. </w:t>
      </w:r>
      <w:proofErr w:type="spellStart"/>
      <w:r w:rsidRPr="000746D6">
        <w:rPr>
          <w:rFonts w:ascii="Times New Roman" w:eastAsia="宋体" w:hAnsi="Times New Roman"/>
          <w:sz w:val="18"/>
          <w:szCs w:val="18"/>
        </w:rPr>
        <w:t>Edoxaban</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Savaysa</w:t>
      </w:r>
      <w:proofErr w:type="spellEnd"/>
      <w:proofErr w:type="gramStart"/>
      <w:r w:rsidRPr="000746D6">
        <w:rPr>
          <w:rFonts w:ascii="Times New Roman" w:eastAsia="宋体" w:hAnsi="Times New Roman"/>
          <w:sz w:val="18"/>
          <w:szCs w:val="18"/>
        </w:rPr>
        <w:t>)[</w:t>
      </w:r>
      <w:proofErr w:type="gramEnd"/>
      <w:r w:rsidRPr="000746D6">
        <w:rPr>
          <w:rFonts w:ascii="Times New Roman" w:eastAsia="宋体" w:hAnsi="Times New Roman"/>
          <w:sz w:val="18"/>
          <w:szCs w:val="18"/>
        </w:rPr>
        <w:t xml:space="preserve">U.S. new drug application, clinical pharmacology and biopharmaceutics reviews]. &lt;https://www.accessdata.fda.gov/drugsatfda_docs/nda/2015/206316Orig1Orig2s000ClinPharmR.pdf.&gt; (2015).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70D8DEB6" w14:textId="4F3D4609"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8</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Elagolix</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Orilissa</w:t>
      </w:r>
      <w:proofErr w:type="spellEnd"/>
      <w:proofErr w:type="gramStart"/>
      <w:r w:rsidRPr="000746D6">
        <w:rPr>
          <w:rFonts w:ascii="Times New Roman" w:eastAsia="宋体" w:hAnsi="Times New Roman"/>
          <w:sz w:val="18"/>
          <w:szCs w:val="18"/>
        </w:rPr>
        <w:t>)[</w:t>
      </w:r>
      <w:proofErr w:type="gramEnd"/>
      <w:r w:rsidRPr="000746D6">
        <w:rPr>
          <w:rFonts w:ascii="Times New Roman" w:eastAsia="宋体" w:hAnsi="Times New Roman"/>
          <w:sz w:val="18"/>
          <w:szCs w:val="18"/>
        </w:rPr>
        <w:t xml:space="preserve">U.S. new drug application, Multi-Discipline Review/Summary, Clinical, Non-Clinical]. &lt;https://www.accessdata.fda.gov/drugsatfda_docs/nda/2018/210450Orig1s000MultiD.pdf&gt; (2018).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4AE4D5FE" w14:textId="3C24B7D9"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9</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Fedratinib</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Inrebic</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&lt;https://www.accessdata.fda.gov/drugsatfda_docs/nda/2019/212327Orig1s000MultidisciplineR.pdf&gt; (2019).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47F23E13" w14:textId="77777777" w:rsidR="000746D6" w:rsidRPr="000746D6" w:rsidRDefault="000746D6" w:rsidP="000746D6">
      <w:pPr>
        <w:rPr>
          <w:rFonts w:ascii="Times New Roman" w:eastAsia="宋体" w:hAnsi="Times New Roman"/>
          <w:sz w:val="18"/>
          <w:szCs w:val="18"/>
        </w:rPr>
      </w:pPr>
    </w:p>
    <w:p w14:paraId="33443FB6" w14:textId="1328714C"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S1</w:t>
      </w:r>
      <w:r>
        <w:rPr>
          <w:rFonts w:ascii="Times New Roman" w:eastAsia="宋体" w:hAnsi="Times New Roman"/>
          <w:sz w:val="18"/>
          <w:szCs w:val="18"/>
        </w:rPr>
        <w:t>0</w:t>
      </w:r>
      <w:r w:rsidRPr="000746D6">
        <w:rPr>
          <w:rFonts w:ascii="Times New Roman" w:eastAsia="宋体" w:hAnsi="Times New Roman"/>
          <w:sz w:val="18"/>
          <w:szCs w:val="18"/>
        </w:rPr>
        <w:t xml:space="preserve">. </w:t>
      </w:r>
      <w:proofErr w:type="spellStart"/>
      <w:proofErr w:type="gramStart"/>
      <w:r w:rsidRPr="000746D6">
        <w:rPr>
          <w:rFonts w:ascii="Times New Roman" w:eastAsia="宋体" w:hAnsi="Times New Roman"/>
          <w:sz w:val="18"/>
          <w:szCs w:val="18"/>
        </w:rPr>
        <w:t>Flibanserin</w:t>
      </w:r>
      <w:proofErr w:type="spellEnd"/>
      <w:r w:rsidRPr="000746D6">
        <w:rPr>
          <w:rFonts w:ascii="Times New Roman" w:eastAsia="宋体" w:hAnsi="Times New Roman"/>
          <w:sz w:val="18"/>
          <w:szCs w:val="18"/>
        </w:rPr>
        <w:t>(</w:t>
      </w:r>
      <w:proofErr w:type="spellStart"/>
      <w:proofErr w:type="gramEnd"/>
      <w:r w:rsidRPr="000746D6">
        <w:rPr>
          <w:rFonts w:ascii="Times New Roman" w:eastAsia="宋体" w:hAnsi="Times New Roman"/>
          <w:sz w:val="18"/>
          <w:szCs w:val="18"/>
        </w:rPr>
        <w:t>Addyi</w:t>
      </w:r>
      <w:proofErr w:type="spellEnd"/>
      <w:r w:rsidRPr="000746D6">
        <w:rPr>
          <w:rFonts w:ascii="Times New Roman" w:eastAsia="宋体" w:hAnsi="Times New Roman"/>
          <w:sz w:val="18"/>
          <w:szCs w:val="18"/>
        </w:rPr>
        <w:t xml:space="preserve">) [U.S. new drug application, clinical pharmacology and biopharmaceutics reviews]. &lt;https://www.accessdata.fda.gov/drugsatfda_docs/nda/2015/022526Orig1s000ClinPharmR.pdf&gt; (2015).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5C4CF6AB" w14:textId="3DDAD579"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S1</w:t>
      </w:r>
      <w:r>
        <w:rPr>
          <w:rFonts w:ascii="Times New Roman" w:eastAsia="宋体" w:hAnsi="Times New Roman"/>
          <w:sz w:val="18"/>
          <w:szCs w:val="18"/>
        </w:rPr>
        <w:t>1</w:t>
      </w:r>
      <w:r w:rsidRPr="000746D6">
        <w:rPr>
          <w:rFonts w:ascii="Times New Roman" w:eastAsia="宋体" w:hAnsi="Times New Roman"/>
          <w:sz w:val="18"/>
          <w:szCs w:val="18"/>
        </w:rPr>
        <w:t>. Fostamatinib (</w:t>
      </w:r>
      <w:proofErr w:type="spellStart"/>
      <w:r w:rsidRPr="000746D6">
        <w:rPr>
          <w:rFonts w:ascii="Times New Roman" w:eastAsia="宋体" w:hAnsi="Times New Roman"/>
          <w:sz w:val="18"/>
          <w:szCs w:val="18"/>
        </w:rPr>
        <w:t>Tavalisse</w:t>
      </w:r>
      <w:proofErr w:type="spellEnd"/>
      <w:proofErr w:type="gramStart"/>
      <w:r w:rsidRPr="000746D6">
        <w:rPr>
          <w:rFonts w:ascii="Times New Roman" w:eastAsia="宋体" w:hAnsi="Times New Roman"/>
          <w:sz w:val="18"/>
          <w:szCs w:val="18"/>
        </w:rPr>
        <w:t>)[</w:t>
      </w:r>
      <w:proofErr w:type="gramEnd"/>
      <w:r w:rsidRPr="000746D6">
        <w:rPr>
          <w:rFonts w:ascii="Times New Roman" w:eastAsia="宋体" w:hAnsi="Times New Roman"/>
          <w:sz w:val="18"/>
          <w:szCs w:val="18"/>
        </w:rPr>
        <w:t xml:space="preserve">U.S. new drug application, Multi-Discipline Review/Summary, Clinical, Non-Clinical]. &lt;https://www.accessdata.fda.gov/drugsatfda_docs/nda/2018/209299Orig1s000MultidisciplineR.pdf&gt; (2018).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0F9FD7E3" w14:textId="17486C3C"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S1</w:t>
      </w:r>
      <w:r>
        <w:rPr>
          <w:rFonts w:ascii="Times New Roman" w:eastAsia="宋体" w:hAnsi="Times New Roman"/>
          <w:sz w:val="18"/>
          <w:szCs w:val="18"/>
        </w:rPr>
        <w:t>2</w:t>
      </w:r>
      <w:r w:rsidRPr="000746D6">
        <w:rPr>
          <w:rFonts w:ascii="Times New Roman" w:eastAsia="宋体" w:hAnsi="Times New Roman"/>
          <w:sz w:val="18"/>
          <w:szCs w:val="18"/>
        </w:rPr>
        <w:t xml:space="preserve">. Ibrutinib (Imbruvica)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&lt;https://www.accessdata.fda.gov/drugsatfda_docs/nda/2014/205552Orig2s000ClinPharmR.pdf&gt; (2014).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1D095122" w14:textId="01697EFB"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13</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Istradefylline</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Nourianz</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&lt;https://www.accessdata.fda.gov/drugsatfda_docs/nda/2019/022075Orig1s000ClinPharmR.pdf&gt; (2019).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097A5335" w14:textId="732A2E72"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14</w:t>
      </w:r>
      <w:r w:rsidRPr="000746D6">
        <w:rPr>
          <w:rFonts w:ascii="Times New Roman" w:eastAsia="宋体" w:hAnsi="Times New Roman"/>
          <w:sz w:val="18"/>
          <w:szCs w:val="18"/>
        </w:rPr>
        <w:t>. Lenvatinib (</w:t>
      </w:r>
      <w:proofErr w:type="spellStart"/>
      <w:r w:rsidRPr="000746D6">
        <w:rPr>
          <w:rFonts w:ascii="Times New Roman" w:eastAsia="宋体" w:hAnsi="Times New Roman"/>
          <w:sz w:val="18"/>
          <w:szCs w:val="18"/>
        </w:rPr>
        <w:t>Lenvima</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&lt;https://www.accessdata.fda.gov/drugsatfda_docs/nda/2015/206947Orig1s000ClinPharmR.pdf&gt; (2015).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34D6D82B" w14:textId="4CC5EF6C"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lastRenderedPageBreak/>
        <w:t>S</w:t>
      </w:r>
      <w:r>
        <w:rPr>
          <w:rFonts w:ascii="Times New Roman" w:eastAsia="宋体" w:hAnsi="Times New Roman"/>
          <w:sz w:val="18"/>
          <w:szCs w:val="18"/>
        </w:rPr>
        <w:t>15</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Macitentan</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Opsumit</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&lt;https://www.accessdata.fda.gov/drugsatfda_docs/nda/2013/204410Orig1s000ClinPharmR.pdf&gt; (2013).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10113B8D" w14:textId="7BB9CE7F"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16</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Nintedanib</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Ofev</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&lt;https://www.accessdata.fda.gov/drugsatfda_docs/nda/2014/205832Orig1s000ClinPharmR.pdf&gt; (2014).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00264FEA" w14:textId="3A196A76"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17</w:t>
      </w:r>
      <w:r w:rsidRPr="000746D6">
        <w:rPr>
          <w:rFonts w:ascii="Times New Roman" w:eastAsia="宋体" w:hAnsi="Times New Roman"/>
          <w:sz w:val="18"/>
          <w:szCs w:val="18"/>
        </w:rPr>
        <w:t>. Ospemifene (</w:t>
      </w:r>
      <w:proofErr w:type="spellStart"/>
      <w:r w:rsidRPr="000746D6">
        <w:rPr>
          <w:rFonts w:ascii="Times New Roman" w:eastAsia="宋体" w:hAnsi="Times New Roman"/>
          <w:sz w:val="18"/>
          <w:szCs w:val="18"/>
        </w:rPr>
        <w:t>Osphena</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&lt;https://www.accessdata.fda.gov/drugsatfda_docs/nda/2013/203505Orig1s000ClinPharmR.pdf&gt; (2013).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58D4869E" w14:textId="726F4CE6"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18</w:t>
      </w:r>
      <w:r w:rsidRPr="000746D6">
        <w:rPr>
          <w:rFonts w:ascii="Times New Roman" w:eastAsia="宋体" w:hAnsi="Times New Roman"/>
          <w:sz w:val="18"/>
          <w:szCs w:val="18"/>
        </w:rPr>
        <w:t>. Panobinostat (</w:t>
      </w:r>
      <w:proofErr w:type="spellStart"/>
      <w:r w:rsidRPr="000746D6">
        <w:rPr>
          <w:rFonts w:ascii="Times New Roman" w:eastAsia="宋体" w:hAnsi="Times New Roman"/>
          <w:sz w:val="18"/>
          <w:szCs w:val="18"/>
        </w:rPr>
        <w:t>Farydak</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&lt;https://www.accessdata.fda.gov/drugsatfda_docs/nda/2015/205353Orig1s000ClinPharmR.pdf&gt; (2015).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6C3D4798" w14:textId="40710123"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19</w:t>
      </w:r>
      <w:r w:rsidRPr="000746D6">
        <w:rPr>
          <w:rFonts w:ascii="Times New Roman" w:eastAsia="宋体" w:hAnsi="Times New Roman"/>
          <w:sz w:val="18"/>
          <w:szCs w:val="18"/>
        </w:rPr>
        <w:t>. Pomalidomide (</w:t>
      </w:r>
      <w:proofErr w:type="spellStart"/>
      <w:r w:rsidRPr="000746D6">
        <w:rPr>
          <w:rFonts w:ascii="Times New Roman" w:eastAsia="宋体" w:hAnsi="Times New Roman"/>
          <w:sz w:val="18"/>
          <w:szCs w:val="18"/>
        </w:rPr>
        <w:t>Pomalyst</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&lt;https://www.accessdata.fda.gov/drugsatfda_docs/nda/2013/204026Orig1s000ClinPharmR.pdf&gt; (2012).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05F0858A" w14:textId="64880818"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S2</w:t>
      </w:r>
      <w:r>
        <w:rPr>
          <w:rFonts w:ascii="Times New Roman" w:eastAsia="宋体" w:hAnsi="Times New Roman"/>
          <w:sz w:val="18"/>
          <w:szCs w:val="18"/>
        </w:rPr>
        <w:t>0</w:t>
      </w:r>
      <w:r w:rsidRPr="000746D6">
        <w:rPr>
          <w:rFonts w:ascii="Times New Roman" w:eastAsia="宋体" w:hAnsi="Times New Roman"/>
          <w:sz w:val="18"/>
          <w:szCs w:val="18"/>
        </w:rPr>
        <w:t>. Ponatinib (</w:t>
      </w:r>
      <w:proofErr w:type="spellStart"/>
      <w:r w:rsidRPr="000746D6">
        <w:rPr>
          <w:rFonts w:ascii="Times New Roman" w:eastAsia="宋体" w:hAnsi="Times New Roman"/>
          <w:sz w:val="18"/>
          <w:szCs w:val="18"/>
        </w:rPr>
        <w:t>Iclusig</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&lt;https://www.accessdata.fda.gov/drugsatfda_docs/nda/2012/203469Orig1s000ClinPharmR.pdf&gt; (2012).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773FA139" w14:textId="3883F1AE"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S2</w:t>
      </w:r>
      <w:r>
        <w:rPr>
          <w:rFonts w:ascii="Times New Roman" w:eastAsia="宋体" w:hAnsi="Times New Roman"/>
          <w:sz w:val="18"/>
          <w:szCs w:val="18"/>
        </w:rPr>
        <w:t>1</w:t>
      </w:r>
      <w:r w:rsidRPr="000746D6">
        <w:rPr>
          <w:rFonts w:ascii="Times New Roman" w:eastAsia="宋体" w:hAnsi="Times New Roman"/>
          <w:sz w:val="18"/>
          <w:szCs w:val="18"/>
        </w:rPr>
        <w:t xml:space="preserve">. Rivaroxaban (Xarelto)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&lt;https://www.accessdata.fda.gov/drugsatfda_docs/nda/2011/022406Orig1s000ClinPharmR.pdf</w:t>
      </w:r>
      <w:proofErr w:type="gramStart"/>
      <w:r w:rsidRPr="000746D6">
        <w:rPr>
          <w:rFonts w:ascii="Times New Roman" w:eastAsia="宋体" w:hAnsi="Times New Roman"/>
          <w:sz w:val="18"/>
          <w:szCs w:val="18"/>
        </w:rPr>
        <w:t>&gt;  (</w:t>
      </w:r>
      <w:proofErr w:type="gramEnd"/>
      <w:r w:rsidRPr="000746D6">
        <w:rPr>
          <w:rFonts w:ascii="Times New Roman" w:eastAsia="宋体" w:hAnsi="Times New Roman"/>
          <w:sz w:val="18"/>
          <w:szCs w:val="18"/>
        </w:rPr>
        <w:t xml:space="preserve">2011).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5F18FA59" w14:textId="53C41A7A"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22</w:t>
      </w:r>
      <w:r w:rsidRPr="000746D6">
        <w:rPr>
          <w:rFonts w:ascii="Times New Roman" w:eastAsia="宋体" w:hAnsi="Times New Roman"/>
          <w:sz w:val="18"/>
          <w:szCs w:val="18"/>
        </w:rPr>
        <w:t>. Roflumilast (</w:t>
      </w:r>
      <w:proofErr w:type="spellStart"/>
      <w:r w:rsidRPr="000746D6">
        <w:rPr>
          <w:rFonts w:ascii="Times New Roman" w:eastAsia="宋体" w:hAnsi="Times New Roman"/>
          <w:sz w:val="18"/>
          <w:szCs w:val="18"/>
        </w:rPr>
        <w:t>Daliresp</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&lt;https://www.accessdata.fda.gov/drugsatfda_docs/nda/2011/022522Orig1s000ClinPharmR.pdf&gt; (2011). Accessed </w:t>
      </w:r>
      <w:r w:rsidR="00306750">
        <w:rPr>
          <w:rFonts w:ascii="Times New Roman" w:eastAsia="宋体" w:hAnsi="Times New Roman"/>
          <w:sz w:val="18"/>
          <w:szCs w:val="18"/>
        </w:rPr>
        <w:t>July 2023</w:t>
      </w:r>
      <w:r w:rsidRPr="000746D6">
        <w:rPr>
          <w:rFonts w:ascii="Times New Roman" w:eastAsia="宋体" w:hAnsi="Times New Roman"/>
          <w:sz w:val="18"/>
          <w:szCs w:val="18"/>
        </w:rPr>
        <w:t xml:space="preserve">.  </w:t>
      </w:r>
    </w:p>
    <w:p w14:paraId="5C48FEDF" w14:textId="065C5D49"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23</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Rolapitant</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Varubi</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&lt;https://www.accessdata.fda.gov/drugsatfda_docs/nda/2015/206500Orig1s000ClinPharmR.pdf &gt; (2015). Accessed </w:t>
      </w:r>
      <w:r w:rsidR="00306750">
        <w:rPr>
          <w:rFonts w:ascii="Times New Roman" w:eastAsia="宋体" w:hAnsi="Times New Roman"/>
          <w:sz w:val="18"/>
          <w:szCs w:val="18"/>
        </w:rPr>
        <w:t>July 2023</w:t>
      </w:r>
      <w:r w:rsidRPr="000746D6">
        <w:rPr>
          <w:rFonts w:ascii="Times New Roman" w:eastAsia="宋体" w:hAnsi="Times New Roman"/>
          <w:sz w:val="18"/>
          <w:szCs w:val="18"/>
        </w:rPr>
        <w:t xml:space="preserve">. </w:t>
      </w:r>
    </w:p>
    <w:p w14:paraId="7766A958" w14:textId="08909426"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24</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Ruxolitinib</w:t>
      </w:r>
      <w:proofErr w:type="spellEnd"/>
      <w:r w:rsidRPr="000746D6">
        <w:rPr>
          <w:rFonts w:ascii="Times New Roman" w:eastAsia="宋体" w:hAnsi="Times New Roman"/>
          <w:sz w:val="18"/>
          <w:szCs w:val="18"/>
        </w:rPr>
        <w:t xml:space="preserve"> (Jakafi)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&lt;https://www.accessdata.fda.gov/drugsatfda_docs/nda/2011/202192Orig1s000ClinPharmR.pdf</w:t>
      </w:r>
      <w:proofErr w:type="gramStart"/>
      <w:r w:rsidRPr="000746D6">
        <w:rPr>
          <w:rFonts w:ascii="Times New Roman" w:eastAsia="宋体" w:hAnsi="Times New Roman"/>
          <w:sz w:val="18"/>
          <w:szCs w:val="18"/>
        </w:rPr>
        <w:t>&gt;  (</w:t>
      </w:r>
      <w:proofErr w:type="gramEnd"/>
      <w:r w:rsidRPr="000746D6">
        <w:rPr>
          <w:rFonts w:ascii="Times New Roman" w:eastAsia="宋体" w:hAnsi="Times New Roman"/>
          <w:sz w:val="18"/>
          <w:szCs w:val="18"/>
        </w:rPr>
        <w:t xml:space="preserve">2011).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387B8A3B" w14:textId="0C05BDEE"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25</w:t>
      </w:r>
      <w:r w:rsidRPr="000746D6">
        <w:rPr>
          <w:rFonts w:ascii="Times New Roman" w:eastAsia="宋体" w:hAnsi="Times New Roman"/>
          <w:sz w:val="18"/>
          <w:szCs w:val="18"/>
        </w:rPr>
        <w:t>. Safinamide (</w:t>
      </w:r>
      <w:proofErr w:type="spellStart"/>
      <w:r w:rsidRPr="000746D6">
        <w:rPr>
          <w:rFonts w:ascii="Times New Roman" w:eastAsia="宋体" w:hAnsi="Times New Roman"/>
          <w:sz w:val="18"/>
          <w:szCs w:val="18"/>
        </w:rPr>
        <w:t>Xadago</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&lt;https://www.accessdata.fda.gov/drugsatfda_docs/nda/2017/207145Orig1s000ClinPharmR.pdf</w:t>
      </w:r>
      <w:proofErr w:type="gramStart"/>
      <w:r w:rsidRPr="000746D6">
        <w:rPr>
          <w:rFonts w:ascii="Times New Roman" w:eastAsia="宋体" w:hAnsi="Times New Roman"/>
          <w:sz w:val="18"/>
          <w:szCs w:val="18"/>
        </w:rPr>
        <w:t>&gt;  (</w:t>
      </w:r>
      <w:proofErr w:type="gramEnd"/>
      <w:r w:rsidRPr="000746D6">
        <w:rPr>
          <w:rFonts w:ascii="Times New Roman" w:eastAsia="宋体" w:hAnsi="Times New Roman"/>
          <w:sz w:val="18"/>
          <w:szCs w:val="18"/>
        </w:rPr>
        <w:t xml:space="preserve">2017).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7672DD9C" w14:textId="5A83CC62"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26</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Sonidegib</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Odomzo</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&lt;https://www.accessdata.fda.gov/drugsatfda_docs/nda/2015/205266Orig1s000ClinPharmR.pdf&gt; (2015). Accessed </w:t>
      </w:r>
      <w:r w:rsidR="00306750">
        <w:rPr>
          <w:rFonts w:ascii="Times New Roman" w:eastAsia="宋体" w:hAnsi="Times New Roman"/>
          <w:sz w:val="18"/>
          <w:szCs w:val="18"/>
        </w:rPr>
        <w:t>July 2023</w:t>
      </w:r>
      <w:r w:rsidRPr="000746D6">
        <w:rPr>
          <w:rFonts w:ascii="Times New Roman" w:eastAsia="宋体" w:hAnsi="Times New Roman"/>
          <w:sz w:val="18"/>
          <w:szCs w:val="18"/>
        </w:rPr>
        <w:t xml:space="preserve">.  </w:t>
      </w:r>
    </w:p>
    <w:p w14:paraId="2FACA442" w14:textId="1F323EB7"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27</w:t>
      </w:r>
      <w:r w:rsidRPr="000746D6">
        <w:rPr>
          <w:rFonts w:ascii="Times New Roman" w:eastAsia="宋体" w:hAnsi="Times New Roman"/>
          <w:sz w:val="18"/>
          <w:szCs w:val="18"/>
        </w:rPr>
        <w:t>. Suvorexant (</w:t>
      </w:r>
      <w:proofErr w:type="spellStart"/>
      <w:r w:rsidRPr="000746D6">
        <w:rPr>
          <w:rFonts w:ascii="Times New Roman" w:eastAsia="宋体" w:hAnsi="Times New Roman"/>
          <w:sz w:val="18"/>
          <w:szCs w:val="18"/>
        </w:rPr>
        <w:t>Belsomra</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 https://www.accessdata.fda.gov/drugsatfda_docs/nda/2014/204569Orig1s000ClinPharmR.pdf&gt; (2014).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0D2631C0" w14:textId="46B9CC9D"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Pr>
          <w:rFonts w:ascii="Times New Roman" w:eastAsia="宋体" w:hAnsi="Times New Roman"/>
          <w:sz w:val="18"/>
          <w:szCs w:val="18"/>
        </w:rPr>
        <w:t>28</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Tasimelteon</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Hetlioz</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&lt;https://www.accessdata.fda.gov/drugsatfda_docs/nda/2014/205677Orig1s000ClinPharmR.pdf &gt; (2014). Accessed </w:t>
      </w:r>
      <w:r w:rsidR="00306750">
        <w:rPr>
          <w:rFonts w:ascii="Times New Roman" w:eastAsia="宋体" w:hAnsi="Times New Roman"/>
          <w:sz w:val="18"/>
          <w:szCs w:val="18"/>
        </w:rPr>
        <w:t>July 2023</w:t>
      </w:r>
      <w:r w:rsidRPr="000746D6">
        <w:rPr>
          <w:rFonts w:ascii="Times New Roman" w:eastAsia="宋体" w:hAnsi="Times New Roman"/>
          <w:sz w:val="18"/>
          <w:szCs w:val="18"/>
        </w:rPr>
        <w:t xml:space="preserve">. </w:t>
      </w:r>
    </w:p>
    <w:p w14:paraId="0D4F47F4" w14:textId="45EE85DD"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sidR="00306750">
        <w:rPr>
          <w:rFonts w:ascii="Times New Roman" w:eastAsia="宋体" w:hAnsi="Times New Roman"/>
          <w:sz w:val="18"/>
          <w:szCs w:val="18"/>
        </w:rPr>
        <w:t>29</w:t>
      </w:r>
      <w:r w:rsidRPr="000746D6">
        <w:rPr>
          <w:rFonts w:ascii="Times New Roman" w:eastAsia="宋体" w:hAnsi="Times New Roman"/>
          <w:sz w:val="18"/>
          <w:szCs w:val="18"/>
        </w:rPr>
        <w:t>. Telaprevir (</w:t>
      </w:r>
      <w:proofErr w:type="spellStart"/>
      <w:r w:rsidRPr="000746D6">
        <w:rPr>
          <w:rFonts w:ascii="Times New Roman" w:eastAsia="宋体" w:hAnsi="Times New Roman"/>
          <w:sz w:val="18"/>
          <w:szCs w:val="18"/>
        </w:rPr>
        <w:t>Incivek</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 https://www.accessdata.fda.gov/drugsatfda_docs/nda/2011/201917Orig1s000ClinPharmR.pdf&gt; (2011). Accessed </w:t>
      </w:r>
      <w:r w:rsidR="00306750">
        <w:rPr>
          <w:rFonts w:ascii="Times New Roman" w:eastAsia="宋体" w:hAnsi="Times New Roman"/>
          <w:sz w:val="18"/>
          <w:szCs w:val="18"/>
        </w:rPr>
        <w:lastRenderedPageBreak/>
        <w:t>July 2023</w:t>
      </w:r>
      <w:r w:rsidRPr="000746D6">
        <w:rPr>
          <w:rFonts w:ascii="Times New Roman" w:eastAsia="宋体" w:hAnsi="Times New Roman"/>
          <w:sz w:val="18"/>
          <w:szCs w:val="18"/>
        </w:rPr>
        <w:t>.</w:t>
      </w:r>
    </w:p>
    <w:p w14:paraId="35880DC5" w14:textId="0B1FEA60"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S3</w:t>
      </w:r>
      <w:r w:rsidR="00306750">
        <w:rPr>
          <w:rFonts w:ascii="Times New Roman" w:eastAsia="宋体" w:hAnsi="Times New Roman"/>
          <w:sz w:val="18"/>
          <w:szCs w:val="18"/>
        </w:rPr>
        <w:t>0</w:t>
      </w:r>
      <w:r w:rsidRPr="000746D6">
        <w:rPr>
          <w:rFonts w:ascii="Times New Roman" w:eastAsia="宋体" w:hAnsi="Times New Roman"/>
          <w:sz w:val="18"/>
          <w:szCs w:val="18"/>
        </w:rPr>
        <w:t xml:space="preserve">. Tofacitinib (Xeljanz)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&lt;https://www.accessdata.fda.gov/drugsatfda_docs/nda/2012/203214Orig1s000ClinPharmR.pdf</w:t>
      </w:r>
      <w:proofErr w:type="gramStart"/>
      <w:r w:rsidRPr="000746D6">
        <w:rPr>
          <w:rFonts w:ascii="Times New Roman" w:eastAsia="宋体" w:hAnsi="Times New Roman"/>
          <w:sz w:val="18"/>
          <w:szCs w:val="18"/>
        </w:rPr>
        <w:t>&gt;  (</w:t>
      </w:r>
      <w:proofErr w:type="gramEnd"/>
      <w:r w:rsidRPr="000746D6">
        <w:rPr>
          <w:rFonts w:ascii="Times New Roman" w:eastAsia="宋体" w:hAnsi="Times New Roman"/>
          <w:sz w:val="18"/>
          <w:szCs w:val="18"/>
        </w:rPr>
        <w:t xml:space="preserve">2012).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3F8505E6" w14:textId="5BAF9EBC"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S3</w:t>
      </w:r>
      <w:r w:rsidR="00306750">
        <w:rPr>
          <w:rFonts w:ascii="Times New Roman" w:eastAsia="宋体" w:hAnsi="Times New Roman"/>
          <w:sz w:val="18"/>
          <w:szCs w:val="18"/>
        </w:rPr>
        <w:t>1</w:t>
      </w:r>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Venetoclax</w:t>
      </w:r>
      <w:proofErr w:type="spellEnd"/>
      <w:r w:rsidRPr="000746D6">
        <w:rPr>
          <w:rFonts w:ascii="Times New Roman" w:eastAsia="宋体" w:hAnsi="Times New Roman"/>
          <w:sz w:val="18"/>
          <w:szCs w:val="18"/>
        </w:rPr>
        <w:t xml:space="preserve"> (</w:t>
      </w:r>
      <w:proofErr w:type="spellStart"/>
      <w:r w:rsidRPr="000746D6">
        <w:rPr>
          <w:rFonts w:ascii="Times New Roman" w:eastAsia="宋体" w:hAnsi="Times New Roman"/>
          <w:sz w:val="18"/>
          <w:szCs w:val="18"/>
        </w:rPr>
        <w:t>Venclexta</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 https://www.accessdata.fda.gov/drugsatfda_docs/nda/2016/208573Orig1s000ClinPharmR.pdf&gt; (2016).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6D401F65" w14:textId="1A238153" w:rsidR="000746D6"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sidR="00306750">
        <w:rPr>
          <w:rFonts w:ascii="Times New Roman" w:eastAsia="宋体" w:hAnsi="Times New Roman"/>
          <w:sz w:val="18"/>
          <w:szCs w:val="18"/>
        </w:rPr>
        <w:t>32</w:t>
      </w:r>
      <w:r w:rsidRPr="000746D6">
        <w:rPr>
          <w:rFonts w:ascii="Times New Roman" w:eastAsia="宋体" w:hAnsi="Times New Roman"/>
          <w:sz w:val="18"/>
          <w:szCs w:val="18"/>
        </w:rPr>
        <w:t>. Vilazodone (</w:t>
      </w:r>
      <w:proofErr w:type="spellStart"/>
      <w:r w:rsidRPr="000746D6">
        <w:rPr>
          <w:rFonts w:ascii="Times New Roman" w:eastAsia="宋体" w:hAnsi="Times New Roman"/>
          <w:sz w:val="18"/>
          <w:szCs w:val="18"/>
        </w:rPr>
        <w:t>Viibryd</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&lt;https://www.accessdata.fda.gov/drugsatfda_docs/nda/2011/022567Orig1s000ClinPharmR.pdf</w:t>
      </w:r>
      <w:proofErr w:type="gramStart"/>
      <w:r w:rsidRPr="000746D6">
        <w:rPr>
          <w:rFonts w:ascii="Times New Roman" w:eastAsia="宋体" w:hAnsi="Times New Roman"/>
          <w:sz w:val="18"/>
          <w:szCs w:val="18"/>
        </w:rPr>
        <w:t>&gt;  (</w:t>
      </w:r>
      <w:proofErr w:type="gramEnd"/>
      <w:r w:rsidRPr="000746D6">
        <w:rPr>
          <w:rFonts w:ascii="Times New Roman" w:eastAsia="宋体" w:hAnsi="Times New Roman"/>
          <w:sz w:val="18"/>
          <w:szCs w:val="18"/>
        </w:rPr>
        <w:t xml:space="preserve">2011). Accessed </w:t>
      </w:r>
      <w:r w:rsidR="00306750">
        <w:rPr>
          <w:rFonts w:ascii="Times New Roman" w:eastAsia="宋体" w:hAnsi="Times New Roman"/>
          <w:sz w:val="18"/>
          <w:szCs w:val="18"/>
        </w:rPr>
        <w:t>July 2023</w:t>
      </w:r>
      <w:r w:rsidRPr="000746D6">
        <w:rPr>
          <w:rFonts w:ascii="Times New Roman" w:eastAsia="宋体" w:hAnsi="Times New Roman"/>
          <w:sz w:val="18"/>
          <w:szCs w:val="18"/>
        </w:rPr>
        <w:t>.</w:t>
      </w:r>
    </w:p>
    <w:p w14:paraId="14571C21" w14:textId="73647BEE" w:rsidR="00BC2C09" w:rsidRPr="000746D6" w:rsidRDefault="000746D6" w:rsidP="000746D6">
      <w:pPr>
        <w:rPr>
          <w:rFonts w:ascii="Times New Roman" w:eastAsia="宋体" w:hAnsi="Times New Roman"/>
          <w:sz w:val="18"/>
          <w:szCs w:val="18"/>
        </w:rPr>
      </w:pPr>
      <w:r w:rsidRPr="000746D6">
        <w:rPr>
          <w:rFonts w:ascii="Times New Roman" w:eastAsia="宋体" w:hAnsi="Times New Roman"/>
          <w:sz w:val="18"/>
          <w:szCs w:val="18"/>
        </w:rPr>
        <w:t>S</w:t>
      </w:r>
      <w:r w:rsidR="00306750">
        <w:rPr>
          <w:rFonts w:ascii="Times New Roman" w:eastAsia="宋体" w:hAnsi="Times New Roman"/>
          <w:sz w:val="18"/>
          <w:szCs w:val="18"/>
        </w:rPr>
        <w:t>33</w:t>
      </w:r>
      <w:r w:rsidRPr="000746D6">
        <w:rPr>
          <w:rFonts w:ascii="Times New Roman" w:eastAsia="宋体" w:hAnsi="Times New Roman"/>
          <w:sz w:val="18"/>
          <w:szCs w:val="18"/>
        </w:rPr>
        <w:t>. Vorapaxar (</w:t>
      </w:r>
      <w:proofErr w:type="spellStart"/>
      <w:r w:rsidRPr="000746D6">
        <w:rPr>
          <w:rFonts w:ascii="Times New Roman" w:eastAsia="宋体" w:hAnsi="Times New Roman"/>
          <w:sz w:val="18"/>
          <w:szCs w:val="18"/>
        </w:rPr>
        <w:t>Zontivity</w:t>
      </w:r>
      <w:proofErr w:type="spellEnd"/>
      <w:r w:rsidRPr="000746D6">
        <w:rPr>
          <w:rFonts w:ascii="Times New Roman" w:eastAsia="宋体" w:hAnsi="Times New Roman"/>
          <w:sz w:val="18"/>
          <w:szCs w:val="18"/>
        </w:rPr>
        <w:t xml:space="preserve">) [U.S. new drug application, clinical </w:t>
      </w:r>
      <w:proofErr w:type="gramStart"/>
      <w:r w:rsidRPr="000746D6">
        <w:rPr>
          <w:rFonts w:ascii="Times New Roman" w:eastAsia="宋体" w:hAnsi="Times New Roman"/>
          <w:sz w:val="18"/>
          <w:szCs w:val="18"/>
        </w:rPr>
        <w:t>pharmacology</w:t>
      </w:r>
      <w:proofErr w:type="gramEnd"/>
      <w:r w:rsidRPr="000746D6">
        <w:rPr>
          <w:rFonts w:ascii="Times New Roman" w:eastAsia="宋体" w:hAnsi="Times New Roman"/>
          <w:sz w:val="18"/>
          <w:szCs w:val="18"/>
        </w:rPr>
        <w:t xml:space="preserve"> and biopharmaceutics reviews]. &lt;https://www.accessdata.fda.gov/drugsatfda_docs/nda/2014/204886Orig1s000ClinPharmR.pdf</w:t>
      </w:r>
      <w:proofErr w:type="gramStart"/>
      <w:r w:rsidRPr="000746D6">
        <w:rPr>
          <w:rFonts w:ascii="Times New Roman" w:eastAsia="宋体" w:hAnsi="Times New Roman"/>
          <w:sz w:val="18"/>
          <w:szCs w:val="18"/>
        </w:rPr>
        <w:t>&gt;  (</w:t>
      </w:r>
      <w:proofErr w:type="gramEnd"/>
      <w:r w:rsidRPr="000746D6">
        <w:rPr>
          <w:rFonts w:ascii="Times New Roman" w:eastAsia="宋体" w:hAnsi="Times New Roman"/>
          <w:sz w:val="18"/>
          <w:szCs w:val="18"/>
        </w:rPr>
        <w:t xml:space="preserve">2014). Accessed </w:t>
      </w:r>
      <w:r w:rsidR="00306750">
        <w:rPr>
          <w:rFonts w:ascii="Times New Roman" w:eastAsia="宋体" w:hAnsi="Times New Roman"/>
          <w:sz w:val="18"/>
          <w:szCs w:val="18"/>
        </w:rPr>
        <w:t xml:space="preserve">July </w:t>
      </w:r>
      <w:r w:rsidRPr="000746D6">
        <w:rPr>
          <w:rFonts w:ascii="Times New Roman" w:eastAsia="宋体" w:hAnsi="Times New Roman"/>
          <w:sz w:val="18"/>
          <w:szCs w:val="18"/>
        </w:rPr>
        <w:t>202</w:t>
      </w:r>
      <w:r w:rsidR="00306750">
        <w:rPr>
          <w:rFonts w:ascii="Times New Roman" w:eastAsia="宋体" w:hAnsi="Times New Roman"/>
          <w:sz w:val="18"/>
          <w:szCs w:val="18"/>
        </w:rPr>
        <w:t>3</w:t>
      </w:r>
      <w:r w:rsidRPr="000746D6">
        <w:rPr>
          <w:rFonts w:ascii="Times New Roman" w:eastAsia="宋体" w:hAnsi="Times New Roman"/>
          <w:sz w:val="18"/>
          <w:szCs w:val="18"/>
        </w:rPr>
        <w:t>.</w:t>
      </w:r>
    </w:p>
    <w:sectPr w:rsidR="00BC2C09" w:rsidRPr="000746D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1062AB" w14:textId="77777777" w:rsidR="00226A1E" w:rsidRDefault="00226A1E" w:rsidP="007C49C4">
      <w:r>
        <w:separator/>
      </w:r>
    </w:p>
  </w:endnote>
  <w:endnote w:type="continuationSeparator" w:id="0">
    <w:p w14:paraId="5913C4A7" w14:textId="77777777" w:rsidR="00226A1E" w:rsidRDefault="00226A1E" w:rsidP="007C49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5DC1E2" w14:textId="77777777" w:rsidR="00226A1E" w:rsidRDefault="00226A1E" w:rsidP="007C49C4">
      <w:r>
        <w:separator/>
      </w:r>
    </w:p>
  </w:footnote>
  <w:footnote w:type="continuationSeparator" w:id="0">
    <w:p w14:paraId="3C526659" w14:textId="77777777" w:rsidR="00226A1E" w:rsidRDefault="00226A1E" w:rsidP="007C49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257A86"/>
    <w:multiLevelType w:val="hybridMultilevel"/>
    <w:tmpl w:val="384C10C6"/>
    <w:lvl w:ilvl="0" w:tplc="74545CD2">
      <w:start w:val="2"/>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3A702390"/>
    <w:multiLevelType w:val="hybridMultilevel"/>
    <w:tmpl w:val="F80A2F1C"/>
    <w:lvl w:ilvl="0" w:tplc="58B48E34">
      <w:start w:val="1"/>
      <w:numFmt w:val="japaneseCounting"/>
      <w:lvlText w:val="第%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4BE670E5"/>
    <w:multiLevelType w:val="multilevel"/>
    <w:tmpl w:val="955E9ED8"/>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Zero"/>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519B60D2"/>
    <w:multiLevelType w:val="multilevel"/>
    <w:tmpl w:val="E58A81F4"/>
    <w:lvl w:ilvl="0">
      <w:start w:val="1"/>
      <w:numFmt w:val="decimal"/>
      <w:lvlText w:val="%1."/>
      <w:lvlJc w:val="left"/>
      <w:pPr>
        <w:ind w:left="36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440" w:hanging="720"/>
      </w:pPr>
      <w:rPr>
        <w:rFonts w:hint="default"/>
      </w:rPr>
    </w:lvl>
    <w:lvl w:ilvl="3">
      <w:start w:val="1"/>
      <w:numFmt w:val="decimalZero"/>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4" w15:restartNumberingAfterBreak="0">
    <w:nsid w:val="66522B0D"/>
    <w:multiLevelType w:val="hybridMultilevel"/>
    <w:tmpl w:val="D3A4B78C"/>
    <w:lvl w:ilvl="0" w:tplc="02585776">
      <w:start w:val="1"/>
      <w:numFmt w:val="japaneseCounting"/>
      <w:lvlText w:val="第%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449156791">
    <w:abstractNumId w:val="3"/>
  </w:num>
  <w:num w:numId="2" w16cid:durableId="1721199410">
    <w:abstractNumId w:val="1"/>
  </w:num>
  <w:num w:numId="3" w16cid:durableId="1600210899">
    <w:abstractNumId w:val="4"/>
  </w:num>
  <w:num w:numId="4" w16cid:durableId="1921527191">
    <w:abstractNumId w:val="2"/>
  </w:num>
  <w:num w:numId="5" w16cid:durableId="7995395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104F"/>
    <w:rsid w:val="00002D28"/>
    <w:rsid w:val="00025E95"/>
    <w:rsid w:val="00053AF5"/>
    <w:rsid w:val="00057905"/>
    <w:rsid w:val="00060D0F"/>
    <w:rsid w:val="0006191C"/>
    <w:rsid w:val="000746D6"/>
    <w:rsid w:val="00084AFF"/>
    <w:rsid w:val="000954BA"/>
    <w:rsid w:val="000B18DD"/>
    <w:rsid w:val="000C0CBF"/>
    <w:rsid w:val="000C6737"/>
    <w:rsid w:val="000E7182"/>
    <w:rsid w:val="000F799B"/>
    <w:rsid w:val="00115E30"/>
    <w:rsid w:val="001211FD"/>
    <w:rsid w:val="0012123B"/>
    <w:rsid w:val="001942C8"/>
    <w:rsid w:val="001A06AC"/>
    <w:rsid w:val="00200C91"/>
    <w:rsid w:val="0021362D"/>
    <w:rsid w:val="00223CD6"/>
    <w:rsid w:val="00223E02"/>
    <w:rsid w:val="00226A1E"/>
    <w:rsid w:val="00247914"/>
    <w:rsid w:val="00264278"/>
    <w:rsid w:val="002851DF"/>
    <w:rsid w:val="002A6E38"/>
    <w:rsid w:val="002A7BD1"/>
    <w:rsid w:val="002B04AF"/>
    <w:rsid w:val="002C58D0"/>
    <w:rsid w:val="00306750"/>
    <w:rsid w:val="00341F95"/>
    <w:rsid w:val="003A7429"/>
    <w:rsid w:val="003B78EE"/>
    <w:rsid w:val="003D0565"/>
    <w:rsid w:val="00410B3F"/>
    <w:rsid w:val="00430A73"/>
    <w:rsid w:val="00474F3B"/>
    <w:rsid w:val="0047673B"/>
    <w:rsid w:val="00482F12"/>
    <w:rsid w:val="00491CC6"/>
    <w:rsid w:val="004A7293"/>
    <w:rsid w:val="004B6BA1"/>
    <w:rsid w:val="004D48A4"/>
    <w:rsid w:val="004E2E1C"/>
    <w:rsid w:val="00516E77"/>
    <w:rsid w:val="0054195A"/>
    <w:rsid w:val="00560FC6"/>
    <w:rsid w:val="005717D0"/>
    <w:rsid w:val="00583CA3"/>
    <w:rsid w:val="00586B75"/>
    <w:rsid w:val="00595278"/>
    <w:rsid w:val="005C050F"/>
    <w:rsid w:val="005C5F4F"/>
    <w:rsid w:val="005F204D"/>
    <w:rsid w:val="006009EA"/>
    <w:rsid w:val="00603789"/>
    <w:rsid w:val="00604236"/>
    <w:rsid w:val="006215B4"/>
    <w:rsid w:val="0066745C"/>
    <w:rsid w:val="00677999"/>
    <w:rsid w:val="006A23EF"/>
    <w:rsid w:val="006B5FE9"/>
    <w:rsid w:val="006C0E95"/>
    <w:rsid w:val="006D6BCC"/>
    <w:rsid w:val="006D74C2"/>
    <w:rsid w:val="00724888"/>
    <w:rsid w:val="00724C6E"/>
    <w:rsid w:val="00725E8F"/>
    <w:rsid w:val="00726837"/>
    <w:rsid w:val="00733D15"/>
    <w:rsid w:val="00744923"/>
    <w:rsid w:val="00790689"/>
    <w:rsid w:val="00791307"/>
    <w:rsid w:val="007A1FCB"/>
    <w:rsid w:val="007B44ED"/>
    <w:rsid w:val="007C49C4"/>
    <w:rsid w:val="007E0D52"/>
    <w:rsid w:val="007F401E"/>
    <w:rsid w:val="008278E6"/>
    <w:rsid w:val="00832791"/>
    <w:rsid w:val="00835596"/>
    <w:rsid w:val="00857459"/>
    <w:rsid w:val="008B46AF"/>
    <w:rsid w:val="0090007C"/>
    <w:rsid w:val="00904FE9"/>
    <w:rsid w:val="009060C8"/>
    <w:rsid w:val="00911E28"/>
    <w:rsid w:val="00924F11"/>
    <w:rsid w:val="00940F5D"/>
    <w:rsid w:val="00966D6A"/>
    <w:rsid w:val="00970B51"/>
    <w:rsid w:val="00977060"/>
    <w:rsid w:val="009A0F16"/>
    <w:rsid w:val="009A2C13"/>
    <w:rsid w:val="009B60DE"/>
    <w:rsid w:val="009B6953"/>
    <w:rsid w:val="009E185A"/>
    <w:rsid w:val="00A04865"/>
    <w:rsid w:val="00A2049F"/>
    <w:rsid w:val="00A271FC"/>
    <w:rsid w:val="00A43132"/>
    <w:rsid w:val="00A71630"/>
    <w:rsid w:val="00A7331B"/>
    <w:rsid w:val="00AF7886"/>
    <w:rsid w:val="00B21E7B"/>
    <w:rsid w:val="00B37514"/>
    <w:rsid w:val="00B548D8"/>
    <w:rsid w:val="00B569FE"/>
    <w:rsid w:val="00B62CA2"/>
    <w:rsid w:val="00B8113A"/>
    <w:rsid w:val="00BC2C09"/>
    <w:rsid w:val="00BE293A"/>
    <w:rsid w:val="00C058F1"/>
    <w:rsid w:val="00C128EF"/>
    <w:rsid w:val="00C224D4"/>
    <w:rsid w:val="00C954A3"/>
    <w:rsid w:val="00C97BC3"/>
    <w:rsid w:val="00CA0714"/>
    <w:rsid w:val="00D03071"/>
    <w:rsid w:val="00D0533C"/>
    <w:rsid w:val="00D05E2B"/>
    <w:rsid w:val="00D14A8A"/>
    <w:rsid w:val="00D20A29"/>
    <w:rsid w:val="00D23E57"/>
    <w:rsid w:val="00D41577"/>
    <w:rsid w:val="00D50BC9"/>
    <w:rsid w:val="00D63CEA"/>
    <w:rsid w:val="00D77CA9"/>
    <w:rsid w:val="00D8104F"/>
    <w:rsid w:val="00D82DB7"/>
    <w:rsid w:val="00D83A4B"/>
    <w:rsid w:val="00E40575"/>
    <w:rsid w:val="00E544F2"/>
    <w:rsid w:val="00E54A29"/>
    <w:rsid w:val="00E7517C"/>
    <w:rsid w:val="00E82E71"/>
    <w:rsid w:val="00EB2273"/>
    <w:rsid w:val="00F00819"/>
    <w:rsid w:val="00F16F6F"/>
    <w:rsid w:val="00F22B2E"/>
    <w:rsid w:val="00FA0B13"/>
    <w:rsid w:val="00FA1189"/>
    <w:rsid w:val="00FF0D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C1C259"/>
  <w15:docId w15:val="{F25A457A-B340-43ED-9FD4-30865A8ED1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C49C4"/>
    <w:pPr>
      <w:tabs>
        <w:tab w:val="center" w:pos="4153"/>
        <w:tab w:val="right" w:pos="8306"/>
      </w:tabs>
      <w:snapToGrid w:val="0"/>
      <w:jc w:val="center"/>
    </w:pPr>
    <w:rPr>
      <w:sz w:val="18"/>
      <w:szCs w:val="18"/>
    </w:rPr>
  </w:style>
  <w:style w:type="character" w:customStyle="1" w:styleId="a4">
    <w:name w:val="页眉 字符"/>
    <w:basedOn w:val="a0"/>
    <w:link w:val="a3"/>
    <w:uiPriority w:val="99"/>
    <w:rsid w:val="007C49C4"/>
    <w:rPr>
      <w:sz w:val="18"/>
      <w:szCs w:val="18"/>
    </w:rPr>
  </w:style>
  <w:style w:type="paragraph" w:styleId="a5">
    <w:name w:val="footer"/>
    <w:basedOn w:val="a"/>
    <w:link w:val="a6"/>
    <w:uiPriority w:val="99"/>
    <w:unhideWhenUsed/>
    <w:rsid w:val="007C49C4"/>
    <w:pPr>
      <w:tabs>
        <w:tab w:val="center" w:pos="4153"/>
        <w:tab w:val="right" w:pos="8306"/>
      </w:tabs>
      <w:snapToGrid w:val="0"/>
      <w:jc w:val="left"/>
    </w:pPr>
    <w:rPr>
      <w:sz w:val="18"/>
      <w:szCs w:val="18"/>
    </w:rPr>
  </w:style>
  <w:style w:type="character" w:customStyle="1" w:styleId="a6">
    <w:name w:val="页脚 字符"/>
    <w:basedOn w:val="a0"/>
    <w:link w:val="a5"/>
    <w:uiPriority w:val="99"/>
    <w:rsid w:val="007C49C4"/>
    <w:rPr>
      <w:sz w:val="18"/>
      <w:szCs w:val="18"/>
    </w:rPr>
  </w:style>
  <w:style w:type="paragraph" w:styleId="a7">
    <w:name w:val="List Paragraph"/>
    <w:basedOn w:val="a"/>
    <w:uiPriority w:val="34"/>
    <w:qFormat/>
    <w:rsid w:val="007C49C4"/>
    <w:pPr>
      <w:ind w:firstLineChars="200" w:firstLine="420"/>
    </w:pPr>
  </w:style>
  <w:style w:type="paragraph" w:styleId="a8">
    <w:name w:val="Balloon Text"/>
    <w:basedOn w:val="a"/>
    <w:link w:val="a9"/>
    <w:uiPriority w:val="99"/>
    <w:semiHidden/>
    <w:unhideWhenUsed/>
    <w:rsid w:val="00430A73"/>
    <w:rPr>
      <w:sz w:val="18"/>
      <w:szCs w:val="18"/>
    </w:rPr>
  </w:style>
  <w:style w:type="character" w:customStyle="1" w:styleId="a9">
    <w:name w:val="批注框文本 字符"/>
    <w:basedOn w:val="a0"/>
    <w:link w:val="a8"/>
    <w:uiPriority w:val="99"/>
    <w:semiHidden/>
    <w:rsid w:val="00430A73"/>
    <w:rPr>
      <w:sz w:val="18"/>
      <w:szCs w:val="18"/>
    </w:rPr>
  </w:style>
  <w:style w:type="paragraph" w:styleId="aa">
    <w:name w:val="Revision"/>
    <w:hidden/>
    <w:uiPriority w:val="99"/>
    <w:semiHidden/>
    <w:rsid w:val="00E751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015449">
      <w:bodyDiv w:val="1"/>
      <w:marLeft w:val="0"/>
      <w:marRight w:val="0"/>
      <w:marTop w:val="0"/>
      <w:marBottom w:val="0"/>
      <w:divBdr>
        <w:top w:val="none" w:sz="0" w:space="0" w:color="auto"/>
        <w:left w:val="none" w:sz="0" w:space="0" w:color="auto"/>
        <w:bottom w:val="none" w:sz="0" w:space="0" w:color="auto"/>
        <w:right w:val="none" w:sz="0" w:space="0" w:color="auto"/>
      </w:divBdr>
    </w:div>
    <w:div w:id="791560762">
      <w:bodyDiv w:val="1"/>
      <w:marLeft w:val="0"/>
      <w:marRight w:val="0"/>
      <w:marTop w:val="0"/>
      <w:marBottom w:val="0"/>
      <w:divBdr>
        <w:top w:val="none" w:sz="0" w:space="0" w:color="auto"/>
        <w:left w:val="none" w:sz="0" w:space="0" w:color="auto"/>
        <w:bottom w:val="none" w:sz="0" w:space="0" w:color="auto"/>
        <w:right w:val="none" w:sz="0" w:space="0" w:color="auto"/>
      </w:divBdr>
    </w:div>
    <w:div w:id="1486816574">
      <w:bodyDiv w:val="1"/>
      <w:marLeft w:val="0"/>
      <w:marRight w:val="0"/>
      <w:marTop w:val="0"/>
      <w:marBottom w:val="0"/>
      <w:divBdr>
        <w:top w:val="none" w:sz="0" w:space="0" w:color="auto"/>
        <w:left w:val="none" w:sz="0" w:space="0" w:color="auto"/>
        <w:bottom w:val="none" w:sz="0" w:space="0" w:color="auto"/>
        <w:right w:val="none" w:sz="0" w:space="0" w:color="auto"/>
      </w:divBdr>
    </w:div>
    <w:div w:id="1728912629">
      <w:bodyDiv w:val="1"/>
      <w:marLeft w:val="0"/>
      <w:marRight w:val="0"/>
      <w:marTop w:val="0"/>
      <w:marBottom w:val="0"/>
      <w:divBdr>
        <w:top w:val="none" w:sz="0" w:space="0" w:color="auto"/>
        <w:left w:val="none" w:sz="0" w:space="0" w:color="auto"/>
        <w:bottom w:val="none" w:sz="0" w:space="0" w:color="auto"/>
        <w:right w:val="none" w:sz="0" w:space="0" w:color="auto"/>
      </w:divBdr>
    </w:div>
    <w:div w:id="1823741780">
      <w:bodyDiv w:val="1"/>
      <w:marLeft w:val="0"/>
      <w:marRight w:val="0"/>
      <w:marTop w:val="0"/>
      <w:marBottom w:val="0"/>
      <w:divBdr>
        <w:top w:val="none" w:sz="0" w:space="0" w:color="auto"/>
        <w:left w:val="none" w:sz="0" w:space="0" w:color="auto"/>
        <w:bottom w:val="none" w:sz="0" w:space="0" w:color="auto"/>
        <w:right w:val="none" w:sz="0" w:space="0" w:color="auto"/>
      </w:divBdr>
    </w:div>
    <w:div w:id="20780159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ti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tif"/><Relationship Id="rId17" Type="http://schemas.openxmlformats.org/officeDocument/2006/relationships/image" Target="media/image11.tif"/><Relationship Id="rId2" Type="http://schemas.openxmlformats.org/officeDocument/2006/relationships/styles" Target="styles.xml"/><Relationship Id="rId16" Type="http://schemas.openxmlformats.org/officeDocument/2006/relationships/image" Target="media/image10.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tif"/><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t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Pages>
  <Words>3469</Words>
  <Characters>19776</Characters>
  <Application>Microsoft Office Word</Application>
  <DocSecurity>0</DocSecurity>
  <Lines>164</Lines>
  <Paragraphs>46</Paragraphs>
  <ScaleCrop>false</ScaleCrop>
  <Company/>
  <LinksUpToDate>false</LinksUpToDate>
  <CharactersWithSpaces>23199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任洪灿</dc:creator>
  <cp:keywords/>
  <dc:description/>
  <cp:lastModifiedBy>任洪灿</cp:lastModifiedBy>
  <cp:revision>2</cp:revision>
  <dcterms:created xsi:type="dcterms:W3CDTF">2023-08-21T07:56:00Z</dcterms:created>
  <dcterms:modified xsi:type="dcterms:W3CDTF">2023-08-21T07:56:00Z</dcterms:modified>
</cp:coreProperties>
</file>