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76C34" w14:textId="172B2566" w:rsidR="004B7082" w:rsidRPr="00F33776" w:rsidRDefault="00D97396" w:rsidP="00F33776">
      <w:pPr>
        <w:rPr>
          <w:b/>
          <w:bCs/>
          <w:sz w:val="20"/>
          <w:szCs w:val="20"/>
        </w:rPr>
      </w:pPr>
      <w:r w:rsidRPr="00F33776">
        <w:rPr>
          <w:b/>
          <w:bCs/>
          <w:sz w:val="20"/>
          <w:szCs w:val="20"/>
        </w:rPr>
        <w:t>S</w:t>
      </w:r>
      <w:r w:rsidR="00F33776" w:rsidRPr="00F33776">
        <w:rPr>
          <w:b/>
          <w:bCs/>
          <w:sz w:val="20"/>
          <w:szCs w:val="20"/>
        </w:rPr>
        <w:t>upplementary table 3</w:t>
      </w:r>
      <w:r w:rsidRPr="00F33776">
        <w:rPr>
          <w:b/>
          <w:bCs/>
          <w:sz w:val="20"/>
          <w:szCs w:val="20"/>
        </w:rPr>
        <w:t xml:space="preserve">: </w:t>
      </w:r>
      <w:bookmarkStart w:id="0" w:name="_Hlk121147136"/>
      <w:r w:rsidRPr="00F33776">
        <w:rPr>
          <w:b/>
          <w:bCs/>
          <w:sz w:val="20"/>
          <w:szCs w:val="20"/>
        </w:rPr>
        <w:t>Data extraction</w:t>
      </w:r>
      <w:r w:rsidR="00F33776" w:rsidRPr="00F33776">
        <w:rPr>
          <w:b/>
          <w:bCs/>
          <w:sz w:val="20"/>
          <w:szCs w:val="20"/>
        </w:rPr>
        <w:t xml:space="preserve"> for 16 included studies. </w:t>
      </w:r>
    </w:p>
    <w:p w14:paraId="1543CF69" w14:textId="58B5F4C4" w:rsidR="00A231E4" w:rsidRPr="004B7082" w:rsidRDefault="004B7082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="00D97396" w:rsidRPr="004B7082">
        <w:rPr>
          <w:sz w:val="20"/>
          <w:szCs w:val="20"/>
        </w:rPr>
        <w:t>on-randomised studies (JBI data extraction)</w:t>
      </w:r>
      <w:bookmarkEnd w:id="0"/>
      <w:r w:rsidR="00D97396">
        <w:fldChar w:fldCharType="begin"/>
      </w:r>
      <w:r w:rsidR="00D97396">
        <w:instrText xml:space="preserve"> LINK </w:instrText>
      </w:r>
      <w:r w:rsidR="00FD7C4E">
        <w:instrText xml:space="preserve">Excel.Sheet.12 "E:\\PHD\\UPDATED SYSTEMATIC REVIEW\\QUANTS SYSTEMATIC REVIEW\\DATA EXTRACTION\\FINALDATA EXTRACTIONTABLES20.10.2022.xlsx" "JBI data extraction 4paper!R1C1:R14C7" </w:instrText>
      </w:r>
      <w:r w:rsidR="00D97396">
        <w:instrText xml:space="preserve">\a \f 4 \h  \* MERGEFORMAT </w:instrText>
      </w:r>
      <w:r w:rsidR="00D97396">
        <w:fldChar w:fldCharType="separate"/>
      </w:r>
    </w:p>
    <w:tbl>
      <w:tblPr>
        <w:tblW w:w="15309" w:type="dxa"/>
        <w:tblInd w:w="-572" w:type="dxa"/>
        <w:tblLook w:val="04A0" w:firstRow="1" w:lastRow="0" w:firstColumn="1" w:lastColumn="0" w:noHBand="0" w:noVBand="1"/>
      </w:tblPr>
      <w:tblGrid>
        <w:gridCol w:w="2128"/>
        <w:gridCol w:w="1417"/>
        <w:gridCol w:w="2163"/>
        <w:gridCol w:w="2372"/>
        <w:gridCol w:w="1674"/>
        <w:gridCol w:w="2167"/>
        <w:gridCol w:w="3388"/>
      </w:tblGrid>
      <w:tr w:rsidR="00A231E4" w:rsidRPr="00A231E4" w14:paraId="05B35169" w14:textId="77777777" w:rsidTr="001C5C91">
        <w:trPr>
          <w:divId w:val="1638798093"/>
          <w:trHeight w:val="62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E699"/>
            <w:hideMark/>
          </w:tcPr>
          <w:p w14:paraId="5A954D8D" w14:textId="293FF26C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  <w:t>Study Author, Date, Country.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699"/>
            <w:noWrap/>
            <w:hideMark/>
          </w:tcPr>
          <w:p w14:paraId="2CCD0380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  <w:t>Study type.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699"/>
            <w:hideMark/>
          </w:tcPr>
          <w:p w14:paraId="500C00D8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  <w:t>Setting (context) [Profession].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699"/>
            <w:noWrap/>
            <w:hideMark/>
          </w:tcPr>
          <w:p w14:paraId="778932E9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  <w:t>Neurological Condition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699"/>
            <w:hideMark/>
          </w:tcPr>
          <w:p w14:paraId="657309AE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  <w:t xml:space="preserve">Participant Characteristics 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699"/>
            <w:hideMark/>
          </w:tcPr>
          <w:p w14:paraId="09474DED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  <w:t>Patient Reported Experience Measure.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hideMark/>
          </w:tcPr>
          <w:p w14:paraId="0F853E4A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GB"/>
              </w:rPr>
              <w:t>Prevalence results. Mean PREM scores (SD)</w:t>
            </w:r>
          </w:p>
        </w:tc>
      </w:tr>
      <w:tr w:rsidR="00A231E4" w:rsidRPr="00A231E4" w14:paraId="45F02E31" w14:textId="77777777" w:rsidTr="001C5C91">
        <w:trPr>
          <w:divId w:val="1638798093"/>
          <w:trHeight w:val="225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DEDED"/>
            <w:vAlign w:val="center"/>
            <w:hideMark/>
          </w:tcPr>
          <w:p w14:paraId="4B46E948" w14:textId="3A13D9A9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proofErr w:type="spellStart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Rosti-Otajärvi</w:t>
            </w:r>
            <w:proofErr w:type="spellEnd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et al 2014, Finland</w:t>
            </w:r>
            <w:r w:rsidR="00BE3673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vAlign w:val="center"/>
            <w:hideMark/>
          </w:tcPr>
          <w:p w14:paraId="7A705B93" w14:textId="19405F22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Observational cohort (prospective). [Single 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vAlign w:val="center"/>
            <w:hideMark/>
          </w:tcPr>
          <w:p w14:paraId="4376103C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Hospital Outpatient (neuropsychological intervention) [Neuropsychologists] 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vAlign w:val="center"/>
            <w:hideMark/>
          </w:tcPr>
          <w:p w14:paraId="2359B520" w14:textId="2691FC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</w:t>
            </w: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: N=56.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Type: Relapsing remitting. Mean years since diagnosis 9.3 (SD 6.7)</w:t>
            </w:r>
            <w:r w:rsidR="00BE36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vAlign w:val="center"/>
            <w:hideMark/>
          </w:tcPr>
          <w:p w14:paraId="4386529C" w14:textId="28AB8651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N=56 (M=1</w:t>
            </w:r>
            <w:r w:rsidR="00D71F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; F=43); Mean age: 43.7 (SD 8.8);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Ethnicity not reported.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vAlign w:val="center"/>
            <w:hideMark/>
          </w:tcPr>
          <w:p w14:paraId="131BF72D" w14:textId="12622AC5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Working Alliance inventory (WAI)- short form (client)</w:t>
            </w:r>
            <w:r w:rsidR="004739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461542" w14:textId="77777777" w:rsid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Mean total score (for client) 77.2/100 (SD 4.6) (before the end of last session); WAI task factor -utility and efficacy of things done in rehabilitation (Mean 25.5 (SD 1.9); WAI bond factor- personal bond between patient and therapist (Mean 25.2 (SD 2.0); WAI Goal Factor - patient therapist agreement on goals (mean WAI goal 26.4 (SD 1.6) </w:t>
            </w:r>
          </w:p>
          <w:p w14:paraId="32E63E48" w14:textId="43080F77" w:rsidR="00BE3673" w:rsidRPr="00A231E4" w:rsidRDefault="00BE3673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A231E4" w:rsidRPr="00A231E4" w14:paraId="390A6E42" w14:textId="77777777" w:rsidTr="001C5C91">
        <w:trPr>
          <w:divId w:val="1638798093"/>
          <w:trHeight w:val="207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8E611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proofErr w:type="spellStart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Buecken</w:t>
            </w:r>
            <w:proofErr w:type="spellEnd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et al 2012, Germany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EF2F6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Descriptive Survey [Single 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BD0F0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Care Facility (End of Life) [Physician]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B4D8B" w14:textId="22C0FDA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S:</w:t>
            </w: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N=541.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Type: Relapsing remitting n=132; Primary Progressive n=117; secondary progressive n=228 Mean time since diagnosis: 15 (SD9.1)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ABCD8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N=541 (M=190; F=383) Mean Age: 51.6 (SD10.8) [32 did not answer CARE]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Ethnicity not reported.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5AF3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Consultation and Relational empathy Questionnaire (CARE). sent to respondents after consultation.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E3C2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Mean score of 39.3 /50 (SD 9.1). Individual scores ranged from 10/50 (no empathy perceived) (0.6%) to 50 (maximal empathy perceived) (12.4%). </w:t>
            </w:r>
          </w:p>
        </w:tc>
      </w:tr>
      <w:tr w:rsidR="00A231E4" w:rsidRPr="00A231E4" w14:paraId="17934DC6" w14:textId="77777777" w:rsidTr="001C5C91">
        <w:trPr>
          <w:divId w:val="1638798093"/>
          <w:trHeight w:val="255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034994A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proofErr w:type="spellStart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Marrie</w:t>
            </w:r>
            <w:proofErr w:type="spellEnd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et al 2013, US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5CE99861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Descriptive Survey [multicentre]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8879BAE" w14:textId="309E15FC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NARCOM's registry (Information provision) [multiple sources -professional, non</w:t>
            </w:r>
            <w:r w:rsidR="00CC60A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professional, online] 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556C1EE7" w14:textId="135D885F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S:</w:t>
            </w: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N=8573.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Mean age of diagnosis: 38.5 (SD 9.7)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2FEA62B4" w14:textId="6A904493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N=8573</w:t>
            </w:r>
            <w:r w:rsidR="007F1C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(</w:t>
            </w:r>
            <w:r w:rsidR="007F1CFA"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M=1924</w:t>
            </w:r>
            <w:r w:rsidR="007F1C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F=6649) Mean age:  56.6 (SD 10.5) Ethnicity: </w:t>
            </w:r>
            <w:r w:rsidR="003D23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W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hite 7610/7972 (95.56%)</w:t>
            </w:r>
            <w:r w:rsidR="003D23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;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Non white 3.62/7972 (4.54%)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4DD9649D" w14:textId="6E81F0AC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Health Information National Trends Survey (section 2</w:t>
            </w:r>
            <w:r w:rsidR="00D62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-</w:t>
            </w: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info seeking about MS). Completed 2011 - on paper or online.    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F5B0FB" w14:textId="65F29DF9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28.20% 2131/7556 felt that it took a lot of effort to get the information they required, while 28.15 (2120/7531) felt frustrated during their search. 39.86% (2998/7521) were concerned about the quality of the information they gathered. Most trusted information source was physician, with 97.94% (8318/8493</w:t>
            </w:r>
            <w:r w:rsidR="001C5C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)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reporting they trusted a physician some or a lot. </w:t>
            </w:r>
          </w:p>
        </w:tc>
      </w:tr>
      <w:tr w:rsidR="00A231E4" w:rsidRPr="00A231E4" w14:paraId="2017F4B3" w14:textId="77777777" w:rsidTr="001C5C91">
        <w:trPr>
          <w:divId w:val="1638798093"/>
          <w:trHeight w:val="483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B6E70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lastRenderedPageBreak/>
              <w:t>Minden et al 2013, US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8796E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Descriptive Survey [multicentre]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75A62" w14:textId="41228822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MS centr</w:t>
            </w:r>
            <w:r w:rsidR="003D23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(Mental Health support) [neurologist, primary care physician, nurse) or mental health professional (psychiatrist, psychologist, social worker, psychiatric nurse, mental </w:t>
            </w:r>
            <w:proofErr w:type="gram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health</w:t>
            </w:r>
            <w:proofErr w:type="gram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or substance abuse counsellor) or self</w:t>
            </w:r>
            <w:r w:rsidR="003A22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help/support groups, clergy, online groups, chats, message boards] 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35151" w14:textId="558E5E56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S: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N=3384; Type of MS: Relapsing Remitting n=1597; Secondary Progressive n=981; Primary Progressive n= 453; Other n=142 Years since diagnosis:  ≤ 5 years n= 1205; 6-10 years n= 843; 11-15 years n=532; 16-20 years n=351; &gt; 20 years n=324.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389F6" w14:textId="39D71DEB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N=3384 (</w:t>
            </w:r>
            <w:r w:rsidR="007F1CFA"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M=788</w:t>
            </w:r>
            <w:r w:rsidR="007F1CF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F=2596) Age 18-34 n=428; 35-44 n= 9111; 45-54 n =1133; 55-64 n=689; 65+ n=196)</w:t>
            </w:r>
            <w:r w:rsidR="003A222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.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Ethnicity</w:t>
            </w:r>
            <w:r w:rsidR="003A222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: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 White 3064/3384 (90.5%)</w:t>
            </w:r>
            <w:r w:rsidR="003A222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;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African American 5.9/3384 (4.8%)</w:t>
            </w:r>
            <w:r w:rsidR="003A222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;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Hispanic 54/3384 (1.6%)</w:t>
            </w:r>
            <w:r w:rsidR="003A222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;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</w:t>
            </w:r>
            <w:proofErr w:type="gramStart"/>
            <w:r w:rsidR="003D232F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O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ther</w:t>
            </w:r>
            <w:proofErr w:type="gramEnd"/>
            <w:r w:rsidR="001C5C91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race 67/3384 (2%)</w:t>
            </w:r>
            <w:r w:rsidR="003A222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06DAB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Experience of Care and Health Outcome Survey (ECHO survey).  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E0B02" w14:textId="77777777" w:rsidR="00BE3673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Mean score 7.5/10 (SD2.3) for quality of mental health treatment for those who re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ved it.  Positive experiences of feeling safe (97.0%) maintained confidentiality (96.4%), showed respect (93.9%), listened carefully (93.5%), explained things well (92.7%), knowledgeable about MS in general (90.3%), gave them enough time (89.3%), up</w:t>
            </w:r>
            <w:r w:rsidR="003D23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to</w:t>
            </w:r>
            <w:r w:rsidR="003D23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date with their MS and</w:t>
            </w:r>
            <w:r w:rsidR="00D62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MS care (89.2%), Felt as involved as they wanted to be in their treatment (81.4%). Fewer positive experiences for providers being prompt (79.5%), informed about medication side effects (74.7%), responsive to cultural needs (74.0%), time taken before seen (66.4%), rece</w:t>
            </w:r>
            <w:r w:rsidR="00D62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ving information about self help and support groups (57.3), rec</w:t>
            </w:r>
            <w:r w:rsidR="00D62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ei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ving information about other treatment options (44.1%). Only 25.4 % reported usually or always getting the mental health care they needed.</w:t>
            </w:r>
          </w:p>
          <w:p w14:paraId="727C2803" w14:textId="79B900BB" w:rsidR="00BE3673" w:rsidRPr="00A231E4" w:rsidRDefault="00BE3673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A231E4" w:rsidRPr="00A231E4" w14:paraId="365AC54F" w14:textId="77777777" w:rsidTr="001C5C91">
        <w:trPr>
          <w:divId w:val="1638798093"/>
          <w:trHeight w:val="208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hideMark/>
          </w:tcPr>
          <w:p w14:paraId="5213495F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Normann</w:t>
            </w:r>
            <w:proofErr w:type="spell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et al 2012, Norway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48F2B341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Descriptive survey [Single 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21D3941D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Physiotherapy assessment, treatment, </w:t>
            </w:r>
            <w:proofErr w:type="gram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information</w:t>
            </w:r>
            <w:proofErr w:type="gram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and instruction in self assisted exercises [Physiotherapist]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4CE5EBA9" w14:textId="0C48CA0F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: N= 64 Type or years since diagnosis not reported.             Ambulatory Independence: Independent n = 8; Uses walking aids n=7 and uses wheelchair n=8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2B8E850B" w14:textId="04F7758F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N=64 (</w:t>
            </w:r>
            <w:r w:rsidR="007F1CFA"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M=18</w:t>
            </w:r>
            <w:r w:rsidR="007F1C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F=54). Mean age: 45 (range 26-80).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Ethnicity not reported.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1592B7E3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Outpatient Experience Questionnaire (OPEQ):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 1 - 2 weeks after consultation 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38A53E7B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Patients experiences of interpersonal elements, professional skills, information provision and guidance were positive (9.1/10 (SD0.5) Information about potential development of the condition less positive (6.4/10 (SD1.5)</w:t>
            </w:r>
          </w:p>
        </w:tc>
      </w:tr>
      <w:tr w:rsidR="00A231E4" w:rsidRPr="00A231E4" w14:paraId="7BA49753" w14:textId="77777777" w:rsidTr="00BE3673">
        <w:trPr>
          <w:divId w:val="1638798093"/>
          <w:trHeight w:val="1701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02C42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Swaine et al 2017, Canada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EC188" w14:textId="345721BB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Descriptive Cross sectional validity study [multicentre] 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36B47" w14:textId="426EEBC1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TBI rehabilitation (acute, inpatient and outpatient provision</w:t>
            </w:r>
            <w:r w:rsidR="001C5C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(data extracted for outpatients. [MDT - professions not specified] 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759B5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ABI: N=330 for outpatient phase. Years since injury for outpatients not reported.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096990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N=330 for outpatient phase. Characteristics of outpatients not reported.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Ethnicity not reported. 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3C069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The Perception of Quality of Rehabilitation Services (PQRS-Montreal)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administered by trained interviewer  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942CC" w14:textId="480A1BA6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Mean scores for outpatients</w:t>
            </w:r>
            <w:r w:rsidR="001C5C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'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phase: Ecological approach 3.61/5; Client centred approach; 3.89/5, Overall team quality 4.31; Service Continuity 4.16); Service Availability 2.85. SD not reported</w:t>
            </w:r>
          </w:p>
        </w:tc>
      </w:tr>
      <w:tr w:rsidR="00A231E4" w:rsidRPr="00A231E4" w14:paraId="5F9FBB3C" w14:textId="77777777" w:rsidTr="001C5C91">
        <w:trPr>
          <w:divId w:val="1638798093"/>
          <w:trHeight w:val="316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hideMark/>
          </w:tcPr>
          <w:p w14:paraId="744E37DF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proofErr w:type="spellStart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Stepleman</w:t>
            </w:r>
            <w:proofErr w:type="spellEnd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et al 2016, US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77C2556D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Descriptive survey [Single Centre]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5543AB1" w14:textId="07CC4490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MS Centre (sexual satisfaction)</w:t>
            </w:r>
            <w:r w:rsidR="001C5C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[Physician]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B5CA17F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MS: N=73 no details reported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6BAC4F17" w14:textId="2465A5F3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N=73 (M=9 F=64) Mean age 43.53+10.4 Ethnicity: Caucasian N=44 (60.3 %) African American N=27 (37%); Latino/Hispanic 1 (1.40%); Other 1 (1.40%)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4C6309E9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Patient Satisfaction Questionnaire (PSQ-18) -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administered at appointment 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E80007F" w14:textId="0A37715F" w:rsidR="00BE3673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Total average score:  mean 3.92+0.65; range 1.61-5 [Co-efficient Alpha 0.9]; General satisfaction 4.03+0.90; range 1-5 [Co-efficient Alpha 0.76]; Technical quality 4.11+0.77; range 1.25-5 [Co-efficient Alpha 0.8]; Interpersonal 4.40+0.67; range 1.5-5 [Co-efficient Alpha 0.64]; Communication 4.05+0.83; range 1-5 [Co-efficient Alpha 0.58]; Financial aspects 3.36+1.12; range 1-5 [Co-efficient Alpha 0.6]; Time 3.96+0.94; range 1-5 [Co-efficient Alpha 0.79]; Access/convenience 3.53+0.87; range 1-5 [Co-efficient Alpha 0.71]</w:t>
            </w:r>
          </w:p>
        </w:tc>
      </w:tr>
      <w:tr w:rsidR="00A231E4" w:rsidRPr="00A231E4" w14:paraId="21295DA8" w14:textId="77777777" w:rsidTr="001C5C91">
        <w:trPr>
          <w:divId w:val="1638798093"/>
          <w:trHeight w:val="557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EE85B" w14:textId="2A23CE6C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Van de </w:t>
            </w:r>
            <w:proofErr w:type="spell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Eijke</w:t>
            </w:r>
            <w:proofErr w:type="spell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2012, Netherlands</w:t>
            </w:r>
            <w:r w:rsidR="00D62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84B2B1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Descriptive: Validation of patient experience measure [multicentre]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7FCA6" w14:textId="039F53E5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Parkinson</w:t>
            </w:r>
            <w:r w:rsidR="0047398D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'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s Disease Care Provision from PD Clinics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47007" w14:textId="09E84943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PD: N=875 Self</w:t>
            </w:r>
            <w:r w:rsidR="007F1CF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-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reported Hoehn and </w:t>
            </w:r>
            <w:proofErr w:type="spellStart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Yahr</w:t>
            </w:r>
            <w:proofErr w:type="spellEnd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stage between 1 and 3.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AA2F9" w14:textId="6A9C1B30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N= 875 (M=60.9% F=39.1%) Mean Age 69 (SD 10);</w:t>
            </w:r>
            <w:r w:rsidRPr="00A231E4"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Ethnicity</w:t>
            </w:r>
            <w:r w:rsidRPr="00A231E4"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not reported           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AE98B" w14:textId="56DD51FE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Patient Centred Questionnaire for Parkinson</w:t>
            </w:r>
            <w:r w:rsidR="004739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'</w:t>
            </w: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s Disease (PCQ PD).  Posted to participants. 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E7773" w14:textId="2513ADD2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The overall patient-centeredness score (OPS)was moderate 1.69/3 (SD 0.45). ‘Emotional support’ 1.05/3 (SD 0.90) and ‘provision of tailored information’ 1.18/3, (SD 0.57) subscales received lowest experience ratings. Involvement in decision making rece</w:t>
            </w:r>
            <w:r w:rsidR="00C10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ved next lowest negative experience rating 1.78 (0.61. Continuity and collaboration of professionals 2.24 (SD 0.68); Empathy and PD expertise 2.55 (0.48); Accessibility of health care Mean 2.63 (SD0.53) rece</w:t>
            </w:r>
            <w:r w:rsidR="00D62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ved positive ratings.</w:t>
            </w:r>
          </w:p>
        </w:tc>
      </w:tr>
      <w:tr w:rsidR="00A231E4" w:rsidRPr="00A231E4" w14:paraId="5D1DF8C3" w14:textId="77777777" w:rsidTr="001C5C91">
        <w:trPr>
          <w:divId w:val="1638798093"/>
          <w:trHeight w:val="257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AFAB891" w14:textId="6B3DD2A1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Van de Eijke</w:t>
            </w:r>
            <w:r w:rsidR="00C10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2015, US and Canada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F8777E8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Descriptive Survey [multicentre]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B0FC1F7" w14:textId="46AA5453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Parkinson</w:t>
            </w:r>
            <w:r w:rsidR="00BE36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'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 Disease Centres (n=40) (Specialist consultation) [neurologist]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69113E6" w14:textId="177CFA41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PD: N=955 Type:  PD n= 928; Parkinsonism (MSA and PSP) n= 27.                                          Self</w:t>
            </w:r>
            <w:r w:rsidR="003A22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reported Hoehn and </w:t>
            </w:r>
            <w:proofErr w:type="spell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Yahr</w:t>
            </w:r>
            <w:proofErr w:type="spell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stage HY1 n= 306; HY2 n=190, HY3 n=374, HY4 n= 49, HY5 n=22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6B51901" w14:textId="48C39653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N= 955 (M=578 F=377)</w:t>
            </w:r>
            <w:r w:rsidR="00D62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.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Median Age 69 (range 32-93)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. Ethnicity:</w:t>
            </w:r>
            <w:r w:rsidRPr="00A231E4"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Caucasian 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n=671 (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93.6%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)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African </w:t>
            </w:r>
            <w:r w:rsidR="00D62535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A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merican 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n=17 (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2.4%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)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; Asian 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n=14 (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2%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); American I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ndian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or Alaskan native n=2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, 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(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0.3%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);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O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ther</w:t>
            </w:r>
            <w:r w:rsidR="00264E3E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n=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</w:t>
            </w:r>
            <w:r w:rsidR="00804300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13 (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1.8%</w:t>
            </w:r>
            <w:r w:rsidR="00804300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)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.      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C8CE28C" w14:textId="0653C5F1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Patient Centred Questionnaire for Parkinson</w:t>
            </w:r>
            <w:r w:rsidR="004739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'</w:t>
            </w: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s Disease (PCQ PD).                                    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C14FC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Overall Patient centredness Score ranged from 1.87/3 (1.74–2.00) for worst performing centre to 2.23/3 (2.11–2.36) for the best performing centre. Information subscale [mean 1.62/3 (SD 0.62)] and collaboration subscale [mean 2.03/3 (SD 0.58)] received the lowest experience ratings. Accessibility of care [mean 2.49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br/>
              <w:t>(SD 0.55)] and empathy [mean 2.63 (SD 0.52)] received the highest experience ratings.</w:t>
            </w:r>
          </w:p>
        </w:tc>
      </w:tr>
      <w:tr w:rsidR="00A231E4" w:rsidRPr="00A231E4" w14:paraId="0F54A0E7" w14:textId="77777777" w:rsidTr="001C5C91">
        <w:trPr>
          <w:divId w:val="1638798093"/>
          <w:trHeight w:val="234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D3C5C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Kessler et al 2019, Canada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61885C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Observational Mixed methods [single 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923B0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PD clinic. (Collaborative care) [tertiary Nurse, Speech Pathologist, Physiotherapists, Neurologist, Family physician, Support group </w:t>
            </w:r>
            <w:proofErr w:type="spell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facililitator</w:t>
            </w:r>
            <w:proofErr w:type="spell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]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AF0ED" w14:textId="372043C9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D: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total N=57; Mean years since diagnosis 7.2 (SD4.6).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Hoehn and </w:t>
            </w:r>
            <w:proofErr w:type="spellStart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Yahr</w:t>
            </w:r>
            <w:proofErr w:type="spellEnd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not specified.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993B5" w14:textId="2F4F4F08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N=57. (M=37 F=20) Mean age: 66.3 (SD8.3);</w:t>
            </w:r>
            <w:r w:rsidRPr="00A231E4"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Ethnicity not reported. Caregivers n= 31 (M=6 and F=24; Mean age 66.0 </w:t>
            </w:r>
            <w:proofErr w:type="gramStart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SD(</w:t>
            </w:r>
            <w:proofErr w:type="gramEnd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10.5)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457E7" w14:textId="778373BA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The Patient Assessment of Chronic Illness Care plus (PACIC+) survey)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administered over a 3</w:t>
            </w:r>
            <w:r w:rsidR="00D62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month period when patients attended clinic. 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D07E5" w14:textId="7AC59D7B" w:rsidR="00BE3673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Mean (SD) for each dimension of the PACIC: Activation = 3.5/5 (1.17); Decision support 3.1/5 (o.99); Goal setting =2.5/5 (0.97; Problem solving/contextual counselling =3.1/5 (1.16); follow up/coordination =2.1/5 (1.01) and 5A's =2.9/5 (1.06). Over 50% patients ranked goal setting and follow up/coordination as 'generally not occur</w:t>
            </w:r>
            <w:r w:rsidR="004739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ing' or 'never occu</w:t>
            </w:r>
            <w:r w:rsidR="004739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ring'.</w:t>
            </w:r>
          </w:p>
        </w:tc>
      </w:tr>
      <w:tr w:rsidR="00A231E4" w:rsidRPr="00A231E4" w14:paraId="765ADC77" w14:textId="77777777" w:rsidTr="001C5C91">
        <w:trPr>
          <w:divId w:val="1638798093"/>
          <w:trHeight w:val="442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D870C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 xml:space="preserve">Schonberger et al 2006, </w:t>
            </w:r>
            <w:proofErr w:type="spell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Demnark</w:t>
            </w:r>
            <w:proofErr w:type="spell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2BBFC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Observational Cohort (prospective) [Single 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2B094" w14:textId="56F7B263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Rehabilitation Centre (Holistic neuropsychological rehab: cognitive, </w:t>
            </w:r>
            <w:proofErr w:type="gram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physical</w:t>
            </w:r>
            <w:proofErr w:type="gram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and social training for 14 weeks, 4 days/week. [Neuropsychologist, physiotherapist, speech therapists, occupational therapist, special education teacher. Therapist case manager allocated/client]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CE52B" w14:textId="12C2301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BI: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N=86. Type: TBI (n=27), CVA (n=49), Other (n=10). Mean years since injury 1.22 (SD 1.08).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0A6CB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N=86 (M=55 F=31) Mean age 44.9 (SD11.5) Ethnicity not reported.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BA378" w14:textId="4B4952BB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Working Alliance Inventory (WAI) -short form - client.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used at 2, 6, 10 and 14 weeks. Assistance from research/administrative staff or trainees when needed. Rated 1 - 7 (1 = not at all) and (7='a lot')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B17BF" w14:textId="15586273" w:rsidR="00BE3673" w:rsidRPr="00BE3673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Mean total score (for client) across four timings was 5.65 (SD0.70); at 2 weeks 5.59 (SD0.78), at 6 weeks 5.71 (SD0.76) at 10 weeks 5.62 (SD0.83) </w:t>
            </w:r>
            <w:proofErr w:type="spell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nd</w:t>
            </w:r>
            <w:proofErr w:type="spell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at 14 weeks 5.73 (SD0.83); Mean task score across the four timings was 5.73 (SD0.75).  At 2 weeks 5.65 (SD0.91); at 6 weeks 5.68 (SD0.91), at 10 weeks 5.70 (SD0.92) and at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14 weeks 5.86 (SD0.81). Mean Bond score across four timings was 5.84 (0.88); at 2 weeks 5.95 (SD0.93); at 6 weeks 5.89 (SD 0.93)</w:t>
            </w:r>
            <w:r w:rsidR="00D62535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and 10 weeks 5.75 (SD0.98) and at 14 weeks 5.90 SD0.98). Mean goal score across the four timings was 5.38 (SD0.95); at 2 weeks 5.19 (SD0.10); 6 weeks 5.58 (SD1.00) at 10 weeks 5.46 (SD1.02) and 14 weeks 5.46 (SD1.14).</w:t>
            </w:r>
          </w:p>
        </w:tc>
      </w:tr>
      <w:tr w:rsidR="00A231E4" w:rsidRPr="00A231E4" w14:paraId="464FEAA9" w14:textId="77777777" w:rsidTr="001C5C91">
        <w:trPr>
          <w:divId w:val="1638798093"/>
          <w:trHeight w:val="443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6C8B885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Poncett</w:t>
            </w:r>
            <w:proofErr w:type="spell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et al 2017, France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5B8063" w14:textId="073B6933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Observational Mixed Methods (prospective) [single 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A59270A" w14:textId="0D3F8B78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Rehabilitation department (multidisciplinary rehabilitation:  training in activities of everyday life 5 days/week for 7 weeks)</w:t>
            </w:r>
            <w:r w:rsidR="001C5C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[Physiotherapist, Occupational Therapist, Clinical Psychologist, Speech and Language Therapist, Psychiatrist, neuropsychologist, social worker]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93B72A4" w14:textId="6472E2D6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BI: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Brain Injury total N=33. Type of injury: TBI 15.1%, Stroke 63%, other 21.9%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Mean years since injury not reported.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8A9C669" w14:textId="289AD879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N= 33 (M=17 F= 16) Mean age 43.6 (SD15.6).</w:t>
            </w:r>
            <w:r w:rsidRPr="00A231E4"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Ethnicity not reported.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42D72E6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Perception of Quality of Rehabilitation Services (PQRS Montreal) Questionnaire: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Administered by independent evaluator (30- to 45-min interview) week after end of program. 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9DC9B5" w14:textId="59D62813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Highest Mean (SD) scores equal or more than 3.5/5) for following dimensions: ecological approach (3.63 (SD1.41), client-cent</w:t>
            </w:r>
            <w:r w:rsidR="00D62535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re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d approach (3.85 (SD1.25), overall team quality (4.31 SC (0.94) and service continuity (4.04 (1.01). Lowest mean (SD) scores equal or less to 2.5/5 for service accessibility (2.51 (SD 1.20) support re impact of injury on sexuality 2.03 (SD 0.81) and processes involving family and frien</w:t>
            </w:r>
            <w:r w:rsidR="00D62535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d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s (1.61 (0.81), or communica</w:t>
            </w:r>
            <w:r w:rsidR="00D62535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tion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with employer or 2.00 (0.89) or work colleagues (2.86 (1.46). </w:t>
            </w:r>
          </w:p>
        </w:tc>
      </w:tr>
      <w:tr w:rsidR="00A231E4" w:rsidRPr="00A231E4" w14:paraId="38FE7972" w14:textId="77777777" w:rsidTr="001C5C91">
        <w:trPr>
          <w:divId w:val="1638798093"/>
          <w:trHeight w:val="3640"/>
        </w:trPr>
        <w:tc>
          <w:tcPr>
            <w:tcW w:w="2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A414C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lastRenderedPageBreak/>
              <w:t xml:space="preserve">Prescott et al 2019, Australia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7A34C" w14:textId="77777777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Observational Cohort (prospective) [multicentre]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09EA3" w14:textId="77777777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Outpatients and private community services. (Rehabilitation goal setting within individual disciplines) [occupational therapists, speech pathologists, physiotherapists, neuropsychologist, social worker]. 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29FB8" w14:textId="4649A966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BI: 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Brain Injury total N=44. Type: TBI (n=25), Stroke (n=6), SAH or SDH (n=5), Hypoxia or tumour (n=5) Other (n=3). Mean years since injury 395 days (SD 746.3)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61AC8" w14:textId="35C5FB03" w:rsidR="00A231E4" w:rsidRPr="00A231E4" w:rsidRDefault="00A231E4" w:rsidP="00A231E4">
            <w:pPr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N=44 (M=28 F=16) Mean age 37.5 (SD 12.6); Years of Education 13 (SD2.4); Ethnicity:</w:t>
            </w:r>
            <w:r w:rsidRPr="00A231E4"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en-GB"/>
              </w:rPr>
              <w:t xml:space="preserve"> 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Oceanian n=37; </w:t>
            </w:r>
            <w:proofErr w:type="gramStart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North West</w:t>
            </w:r>
            <w:proofErr w:type="gramEnd"/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European n=2; Southern and East European (n=2; Sub </w:t>
            </w:r>
            <w:r w:rsidR="001C5C91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S</w:t>
            </w:r>
            <w:r w:rsidRPr="00A231E4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aharan African n=2).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E2254" w14:textId="77777777" w:rsidR="00A231E4" w:rsidRPr="00A231E4" w:rsidRDefault="00A231E4" w:rsidP="00A231E4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Client-centredness of Goal Setting Scale (C-COGS) (after the goals were set). 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C8C7" w14:textId="02DF2EE1" w:rsidR="00A231E4" w:rsidRPr="00A231E4" w:rsidRDefault="00A231E4" w:rsidP="00A231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Mean total scores on C-COCS of 44.95/50 (SD4.64). Goals subscale: Mean perce</w:t>
            </w:r>
            <w:r w:rsidR="001C5C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ved ownership/importance or </w:t>
            </w:r>
            <w:proofErr w:type="gramStart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relevance  of</w:t>
            </w:r>
            <w:proofErr w:type="gramEnd"/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goals 17.98/20 (SD2.02). Participation sub scale: mean perce</w:t>
            </w:r>
            <w:r w:rsidR="001C5C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</w:t>
            </w:r>
            <w:r w:rsidRPr="00A231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ved participation in setting goals 26.97/30 (SD2.81). </w:t>
            </w:r>
          </w:p>
        </w:tc>
      </w:tr>
      <w:tr w:rsidR="001C5C91" w:rsidRPr="00A231E4" w14:paraId="4A146745" w14:textId="77777777" w:rsidTr="00BE3673">
        <w:trPr>
          <w:divId w:val="1638798093"/>
          <w:trHeight w:val="476"/>
        </w:trPr>
        <w:tc>
          <w:tcPr>
            <w:tcW w:w="153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02D048D" w14:textId="5D11FB95" w:rsidR="001C5C91" w:rsidRPr="00A231E4" w:rsidRDefault="001C5C91" w:rsidP="001C5C9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E367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Key: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Parkinson's Disease = PD; Multiple Sclerosis = MS; Acquired Brain Injury = ABI (TBI= Traumatic Brain Injury; SAH = Sub Arachnoid Haemorrhage)</w:t>
            </w:r>
            <w:r w:rsidR="007F31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. SD= Standard Deviation</w:t>
            </w:r>
          </w:p>
        </w:tc>
      </w:tr>
    </w:tbl>
    <w:p w14:paraId="6DE2CDB0" w14:textId="19BD5FA6" w:rsidR="00CC60AF" w:rsidRDefault="00D97396">
      <w:r>
        <w:fldChar w:fldCharType="end"/>
      </w:r>
    </w:p>
    <w:p w14:paraId="110B1A15" w14:textId="77777777" w:rsidR="00CC60AF" w:rsidRDefault="00CC60AF">
      <w:pPr>
        <w:spacing w:after="160" w:line="259" w:lineRule="auto"/>
      </w:pPr>
      <w:r>
        <w:br w:type="page"/>
      </w:r>
    </w:p>
    <w:p w14:paraId="3B608EBD" w14:textId="4E7CC7EE" w:rsidR="004D5C75" w:rsidRPr="004B7082" w:rsidRDefault="00CC60AF">
      <w:pPr>
        <w:rPr>
          <w:sz w:val="20"/>
          <w:szCs w:val="20"/>
        </w:rPr>
      </w:pPr>
      <w:r w:rsidRPr="004B7082">
        <w:rPr>
          <w:sz w:val="20"/>
          <w:szCs w:val="20"/>
        </w:rPr>
        <w:lastRenderedPageBreak/>
        <w:t>S1 Randomised Controlled Trials (JBI data extraction)</w:t>
      </w:r>
      <w:r w:rsidR="004D5C75">
        <w:rPr>
          <w:sz w:val="20"/>
          <w:szCs w:val="20"/>
        </w:rPr>
        <w:fldChar w:fldCharType="begin"/>
      </w:r>
      <w:r w:rsidR="004D5C75" w:rsidRPr="004B7082">
        <w:rPr>
          <w:sz w:val="20"/>
          <w:szCs w:val="20"/>
        </w:rPr>
        <w:instrText xml:space="preserve"> LINK </w:instrText>
      </w:r>
      <w:r w:rsidR="004B7082">
        <w:rPr>
          <w:sz w:val="20"/>
          <w:szCs w:val="20"/>
        </w:rPr>
        <w:instrText xml:space="preserve">Excel.Sheet.12 "E:\\PHD\\CHAPTERS\\MANUSCRIPT FOR SUBMISSION\\Supplementary tables\\S3 Data extraction - non randomised studies\\FINALDATA EXTRACTIONTABLES20.10.2022.xlsx" RCTdataextraction!R1C1:R4C9 </w:instrText>
      </w:r>
      <w:r w:rsidR="004D5C75" w:rsidRPr="004B7082">
        <w:rPr>
          <w:sz w:val="20"/>
          <w:szCs w:val="20"/>
        </w:rPr>
        <w:instrText xml:space="preserve">\a \f 4 \h  \* MERGEFORMAT </w:instrText>
      </w:r>
      <w:r w:rsidR="004D5C75">
        <w:rPr>
          <w:sz w:val="20"/>
          <w:szCs w:val="20"/>
        </w:rPr>
        <w:fldChar w:fldCharType="separate"/>
      </w:r>
    </w:p>
    <w:tbl>
      <w:tblPr>
        <w:tblW w:w="14312" w:type="dxa"/>
        <w:tblLayout w:type="fixed"/>
        <w:tblLook w:val="04A0" w:firstRow="1" w:lastRow="0" w:firstColumn="1" w:lastColumn="0" w:noHBand="0" w:noVBand="1"/>
      </w:tblPr>
      <w:tblGrid>
        <w:gridCol w:w="1175"/>
        <w:gridCol w:w="1881"/>
        <w:gridCol w:w="1212"/>
        <w:gridCol w:w="2230"/>
        <w:gridCol w:w="1333"/>
        <w:gridCol w:w="953"/>
        <w:gridCol w:w="1534"/>
        <w:gridCol w:w="2010"/>
        <w:gridCol w:w="1984"/>
      </w:tblGrid>
      <w:tr w:rsidR="004D5C75" w:rsidRPr="004D5C75" w14:paraId="224E0775" w14:textId="77777777" w:rsidTr="004D5C75">
        <w:trPr>
          <w:trHeight w:val="96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1A4A937" w14:textId="7A4B71FA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Author, date, country, [design]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4FC7746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Interventions (n randomised)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4789F88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Condition.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28CFBD9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Participant Characteristics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35A68CB3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Patient Experience Measure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17072D6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Follow Up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1F26457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Follow up Rates Intervention -control)</w:t>
            </w:r>
          </w:p>
        </w:tc>
        <w:tc>
          <w:tcPr>
            <w:tcW w:w="2010" w:type="dxa"/>
            <w:tcBorders>
              <w:top w:val="single" w:sz="4" w:space="0" w:color="70AD47"/>
              <w:left w:val="single" w:sz="4" w:space="0" w:color="70AD47"/>
              <w:bottom w:val="single" w:sz="8" w:space="0" w:color="70AD47"/>
              <w:right w:val="single" w:sz="4" w:space="0" w:color="70AD47"/>
            </w:tcBorders>
            <w:shd w:val="clear" w:color="000000" w:fill="C6E0B4"/>
            <w:hideMark/>
          </w:tcPr>
          <w:p w14:paraId="2B004D53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Prevalence (Mean score and SD)</w:t>
            </w:r>
          </w:p>
        </w:tc>
        <w:tc>
          <w:tcPr>
            <w:tcW w:w="1984" w:type="dxa"/>
            <w:tcBorders>
              <w:top w:val="single" w:sz="4" w:space="0" w:color="70AD47"/>
              <w:left w:val="single" w:sz="4" w:space="0" w:color="70AD47"/>
              <w:bottom w:val="single" w:sz="8" w:space="0" w:color="70AD47"/>
              <w:right w:val="single" w:sz="4" w:space="0" w:color="70AD47"/>
            </w:tcBorders>
            <w:shd w:val="clear" w:color="000000" w:fill="C6E0B4"/>
            <w:noWrap/>
            <w:hideMark/>
          </w:tcPr>
          <w:p w14:paraId="45A33C53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Results</w:t>
            </w:r>
          </w:p>
        </w:tc>
      </w:tr>
      <w:tr w:rsidR="004D5C75" w:rsidRPr="004D5C75" w14:paraId="7970F6D2" w14:textId="77777777" w:rsidTr="00CF3879">
        <w:trPr>
          <w:trHeight w:val="4780"/>
        </w:trPr>
        <w:tc>
          <w:tcPr>
            <w:tcW w:w="1175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7E6E6" w:themeFill="background2"/>
            <w:hideMark/>
          </w:tcPr>
          <w:p w14:paraId="2680DC09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Connor et al 2019, US. [Single centre, two group RCT].</w:t>
            </w:r>
          </w:p>
        </w:tc>
        <w:tc>
          <w:tcPr>
            <w:tcW w:w="1881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7E6E6" w:themeFill="background2"/>
            <w:hideMark/>
          </w:tcPr>
          <w:p w14:paraId="38861884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Intervention. Nurse led Guided Care management for veterans with PD n= 162. Usual Care for PD n=166 </w:t>
            </w: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Multi modal [Multidisciplinary]</w:t>
            </w:r>
          </w:p>
        </w:tc>
        <w:tc>
          <w:tcPr>
            <w:tcW w:w="1212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7E6E6" w:themeFill="background2"/>
            <w:hideMark/>
          </w:tcPr>
          <w:p w14:paraId="0B67523A" w14:textId="0F72BAC5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Parkinson</w:t>
            </w:r>
            <w:r w:rsidR="00CF38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'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 Disease. At least two ICD - 9 codes for diagnosis of PD over the last 12 months.</w:t>
            </w:r>
          </w:p>
        </w:tc>
        <w:tc>
          <w:tcPr>
            <w:tcW w:w="223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7E6E6" w:themeFill="background2"/>
            <w:hideMark/>
          </w:tcPr>
          <w:p w14:paraId="15CA3F7C" w14:textId="7BA0A9AD" w:rsidR="004D5C75" w:rsidRPr="004D5C75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N= 328 Veterans with PD. </w:t>
            </w:r>
            <w:r w:rsidR="00CF387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Guided care Management 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Intervention n= 162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(M =164 F=2)Mean age 69.6 (SD 10.1) 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Ethnicity: African American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n=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9 (5.6%); Asian American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3 (1,9%); First Nation/Alaskan Native 2 (1.2%);  Caucasian or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uro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merican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125 (77.2%);  Hispanic or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L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atino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21 (13.0%);  Native Hawa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ian or other Pacific Islander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0; Other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0 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  Usual Care n = 166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(M=155 F= 11)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Mean age 71.3 (9.2) 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Ethnicity: African American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11 (6.6%); Asian American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0; First Nation/Alaskan Native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3 (1.8%); Caucasian or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uro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merican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131( 78.9); Hispanic or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L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atino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16 (9.6) Native Hawai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ia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n or other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acific 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slander </w:t>
            </w:r>
            <w:r w:rsidR="00124585" w:rsidRP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3 (1.8%) Other</w:t>
            </w:r>
            <w:r w:rsid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r w:rsidR="00124585" w:rsidRPr="0012458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n=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(0.6%) No significant difference in demographics between groups.  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Overall mean age 71. </w:t>
            </w:r>
          </w:p>
        </w:tc>
        <w:tc>
          <w:tcPr>
            <w:tcW w:w="1333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7E6E6" w:themeFill="background2"/>
            <w:hideMark/>
          </w:tcPr>
          <w:p w14:paraId="0AF2254F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Patient assessment of chronic illness care (PACIC). </w:t>
            </w:r>
          </w:p>
        </w:tc>
        <w:tc>
          <w:tcPr>
            <w:tcW w:w="953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7E6E6" w:themeFill="background2"/>
            <w:hideMark/>
          </w:tcPr>
          <w:p w14:paraId="068DF017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6, 12, 18 months </w:t>
            </w:r>
          </w:p>
        </w:tc>
        <w:tc>
          <w:tcPr>
            <w:tcW w:w="1534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7E6E6" w:themeFill="background2"/>
            <w:hideMark/>
          </w:tcPr>
          <w:p w14:paraId="0E40522A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At 18 months 71% (intervention) 67% (Usual Care)</w:t>
            </w:r>
          </w:p>
        </w:tc>
        <w:tc>
          <w:tcPr>
            <w:tcW w:w="201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7E6E6" w:themeFill="background2"/>
            <w:hideMark/>
          </w:tcPr>
          <w:p w14:paraId="549CC463" w14:textId="4EF96EEB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Intervention PACIC score at 18 months 2.34/5 (0.84).  Usual Care PACIC score at 18 months 2.41/5 (0.83).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     </w:t>
            </w:r>
          </w:p>
        </w:tc>
        <w:tc>
          <w:tcPr>
            <w:tcW w:w="1984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7E6E6" w:themeFill="background2"/>
            <w:hideMark/>
          </w:tcPr>
          <w:p w14:paraId="1D26ED79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 significant difference between groups.</w:t>
            </w:r>
          </w:p>
        </w:tc>
      </w:tr>
      <w:tr w:rsidR="004D5C75" w:rsidRPr="004D5C75" w14:paraId="6B70DC91" w14:textId="77777777" w:rsidTr="004D5C75">
        <w:trPr>
          <w:trHeight w:val="4385"/>
        </w:trPr>
        <w:tc>
          <w:tcPr>
            <w:tcW w:w="1175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7DB9DB82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lastRenderedPageBreak/>
              <w:t>Eyssen</w:t>
            </w:r>
            <w:proofErr w:type="spellEnd"/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et al 2013, Netherlands. [Cluster randomised control trial. Multiple sites].</w:t>
            </w:r>
          </w:p>
        </w:tc>
        <w:tc>
          <w:tcPr>
            <w:tcW w:w="1881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5E2708EE" w14:textId="4810960F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Client centred occupational therapy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based on Canadian Client centred Process framework delivered across 7 centres (n= 156). </w:t>
            </w:r>
            <w:proofErr w:type="gramStart"/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OT's</w:t>
            </w:r>
            <w:proofErr w:type="gramEnd"/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undertook 2 day training in client centred practice followed by five booster sessions commencing 4 weeks after the initial course during data collection period                                                                           </w:t>
            </w: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Usual care occupational therapy 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delivered across 7 centres (n= 113).</w:t>
            </w: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 training rec</w:t>
            </w:r>
            <w:r w:rsidR="001245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ei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ved by OT's.</w:t>
            </w: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 Multimodal (Single discipline)</w:t>
            </w:r>
          </w:p>
        </w:tc>
        <w:tc>
          <w:tcPr>
            <w:tcW w:w="1212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1A8E724C" w14:textId="77777777" w:rsidR="004D5C75" w:rsidRPr="004D5C75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Multiple Sclerosis:  any type of MS. </w:t>
            </w:r>
          </w:p>
        </w:tc>
        <w:tc>
          <w:tcPr>
            <w:tcW w:w="223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056A018A" w14:textId="77777777" w:rsidR="00CF3879" w:rsidRDefault="004D5C75" w:rsidP="004D5C75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Adults with MS N=255. </w:t>
            </w:r>
          </w:p>
          <w:p w14:paraId="65C38D4C" w14:textId="2F3FB752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Client Centred Occupational Therapy </w:t>
            </w:r>
            <w:r w:rsidR="00CF3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Intervention</w:t>
            </w: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: 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(M=45 F= 110) Mean age 44.4 (SD 11.4); Mean years since diagnosis 8 (7.8)       </w:t>
            </w: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                                        Usual Care Occupational Therapy Group: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(M= 39; F=74) Mean age 47.1 (SD9.9).; Mean years since diagnosis 8.3 (SD 9.2)                                                                              At Baseline significant difference found between intervention and control group for age (44 v 47 years p=0.05), type of MS: 39% v 21% relapsing remitting, 16 % v 14 %) primary progressive, 12%v26% s</w:t>
            </w:r>
            <w:r w:rsidR="001245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condary progressive, 6% v 4 % progressive relapsing. Ethnicity not reported.</w:t>
            </w:r>
          </w:p>
        </w:tc>
        <w:tc>
          <w:tcPr>
            <w:tcW w:w="1333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1A108596" w14:textId="524E097C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Quote EEE (Quality of Care through users</w:t>
            </w:r>
            <w:r w:rsidR="001C5C9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' </w:t>
            </w: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eyes)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:                        </w:t>
            </w:r>
          </w:p>
        </w:tc>
        <w:tc>
          <w:tcPr>
            <w:tcW w:w="953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06E19154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4 months, 8 months </w:t>
            </w:r>
          </w:p>
        </w:tc>
        <w:tc>
          <w:tcPr>
            <w:tcW w:w="1534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16910215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At 8 months 94.9% Client centred OT; 94.7% Usual Care OT</w:t>
            </w:r>
          </w:p>
        </w:tc>
        <w:tc>
          <w:tcPr>
            <w:tcW w:w="201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5409ACCE" w14:textId="45F5C2D2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Intervention Quote EE scores: At 0-4 months Quality of therapy (information importance scale) 0.52 (p=0.02) and total information importance scale 0.33 (p=0.05).  At 0-8 months quality of therapy (information importance scale) 0.64 (p=0.00) and total 0.43 (p=0.02). At 4-8 months Quality of therapy (information performance scale) 0.07 (p=0.04). Quality therapy costs 0.61 (p=0.05)</w:t>
            </w:r>
          </w:p>
        </w:tc>
        <w:tc>
          <w:tcPr>
            <w:tcW w:w="1984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12373820" w14:textId="0970C301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 significant difference on client centredness of the organisation or therapeutic pro</w:t>
            </w:r>
            <w:r w:rsidR="001245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cess</w:t>
            </w: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and relations. </w:t>
            </w:r>
            <w:r w:rsidRPr="004D5C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Significant difference in favour of Client centred OT for Information importance scale at 0-4 months (p=0.02) and at 0-8 months (p=0.00) AND information performance scale at 4 - 8 months (p= 0.02). Significant difference in favour of Usual Care for costs quality index. </w:t>
            </w:r>
          </w:p>
        </w:tc>
      </w:tr>
      <w:tr w:rsidR="00CF3879" w:rsidRPr="004D5C75" w14:paraId="20F5A8CC" w14:textId="77777777" w:rsidTr="00CF3879">
        <w:trPr>
          <w:trHeight w:val="2831"/>
        </w:trPr>
        <w:tc>
          <w:tcPr>
            <w:tcW w:w="1175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D9D9D9" w:themeFill="background1" w:themeFillShade="D9"/>
            <w:hideMark/>
          </w:tcPr>
          <w:p w14:paraId="63CAA8AD" w14:textId="3A68A260" w:rsidR="004D5C75" w:rsidRPr="004D5C75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Ehde et al 2015,</w:t>
            </w:r>
            <w:r w:rsidR="00CF3879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US. (Single centre, blind, 2 paral</w:t>
            </w:r>
            <w:r w:rsidR="00124585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l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el groups). </w:t>
            </w:r>
          </w:p>
        </w:tc>
        <w:tc>
          <w:tcPr>
            <w:tcW w:w="1881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D9D9D9" w:themeFill="background1" w:themeFillShade="D9"/>
            <w:hideMark/>
          </w:tcPr>
          <w:p w14:paraId="70B5D461" w14:textId="27A33E2A" w:rsidR="004D5C75" w:rsidRPr="004D5C75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Group A: 8 week individual telephone administered self - administered (T-</w:t>
            </w:r>
            <w:proofErr w:type="gramStart"/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SM)   </w:t>
            </w:r>
            <w:proofErr w:type="gramEnd"/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                                                       Group B: 8 week telephone administered MS education intervention (T- Ed)                                                   Delivered by social workers (M level) and psychologist (Doctoral) Training and supervision from psychologist during intervention</w:t>
            </w:r>
          </w:p>
        </w:tc>
        <w:tc>
          <w:tcPr>
            <w:tcW w:w="1212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D9D9D9" w:themeFill="background1" w:themeFillShade="D9"/>
            <w:hideMark/>
          </w:tcPr>
          <w:p w14:paraId="0AA17DC9" w14:textId="77777777" w:rsidR="004D5C75" w:rsidRPr="004D5C75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Multiple Sclerosis:  any type of MS with fatigue, chronic </w:t>
            </w:r>
            <w:proofErr w:type="gramStart"/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pain</w:t>
            </w:r>
            <w:proofErr w:type="gramEnd"/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or depressive symptoms.</w:t>
            </w:r>
          </w:p>
        </w:tc>
        <w:tc>
          <w:tcPr>
            <w:tcW w:w="223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D9D9D9" w:themeFill="background1" w:themeFillShade="D9"/>
            <w:hideMark/>
          </w:tcPr>
          <w:p w14:paraId="55A87F73" w14:textId="77777777" w:rsidR="00124585" w:rsidRPr="00CF3879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Adults with MS.  Age range 25 - 76 </w:t>
            </w:r>
          </w:p>
          <w:p w14:paraId="4171E142" w14:textId="244BD4E6" w:rsidR="00124585" w:rsidRPr="00CF3879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Group A</w:t>
            </w:r>
            <w:r w:rsidR="00124585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(T-SM)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n=75 (M=8 F=67)  </w:t>
            </w:r>
          </w:p>
          <w:p w14:paraId="706334E6" w14:textId="6AC92DE5" w:rsidR="004D5C75" w:rsidRPr="004D5C75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Group B: </w:t>
            </w:r>
            <w:r w:rsidR="00124585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(T-Ed</w:t>
            </w:r>
            <w:r w:rsidR="00CF3879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))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n= 88 (M=13 F=75) Baseline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br/>
              <w:t>participant characteristics were balanced (see table 2) except more T-ED participants were working &lt;20h/w</w:t>
            </w:r>
            <w:r w:rsidR="00124585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eek</w:t>
            </w:r>
            <w:r w:rsidR="00CF3879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and reported higher average PHQ-9 scores.</w:t>
            </w:r>
          </w:p>
        </w:tc>
        <w:tc>
          <w:tcPr>
            <w:tcW w:w="1333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D9D9D9" w:themeFill="background1" w:themeFillShade="D9"/>
            <w:hideMark/>
          </w:tcPr>
          <w:p w14:paraId="28F15431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Working Alliance Inventory Short Form - Clients) </w:t>
            </w:r>
          </w:p>
        </w:tc>
        <w:tc>
          <w:tcPr>
            <w:tcW w:w="953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D9D9D9" w:themeFill="background1" w:themeFillShade="D9"/>
            <w:hideMark/>
          </w:tcPr>
          <w:p w14:paraId="4D37A05C" w14:textId="42F295F0" w:rsidR="004D5C75" w:rsidRPr="004D5C75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post treatment (9 weeks post randomisation) and 6 -12 months post randomisation. .</w:t>
            </w:r>
          </w:p>
        </w:tc>
        <w:tc>
          <w:tcPr>
            <w:tcW w:w="1534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D9D9D9" w:themeFill="background1" w:themeFillShade="D9"/>
            <w:hideMark/>
          </w:tcPr>
          <w:p w14:paraId="6A0FCAFA" w14:textId="77777777" w:rsidR="004D5C75" w:rsidRPr="004D5C75" w:rsidRDefault="004D5C75" w:rsidP="004D5C7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At 12 months 80% T-SM; 91% T-Ed.</w:t>
            </w:r>
          </w:p>
        </w:tc>
        <w:tc>
          <w:tcPr>
            <w:tcW w:w="201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D9D9D9" w:themeFill="background1" w:themeFillShade="D9"/>
            <w:hideMark/>
          </w:tcPr>
          <w:p w14:paraId="7AEAC5B0" w14:textId="1B1E0C43" w:rsidR="004D5C75" w:rsidRPr="004D5C75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Both groups reported significant improvement in therape</w:t>
            </w:r>
            <w:r w:rsidR="00124585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u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tic alliance from baseline to post treatment (p &lt; 0.05)</w:t>
            </w:r>
            <w:r w:rsid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T-SM parti</w:t>
            </w:r>
            <w:r w:rsidR="00124585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ci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pants reported a stronger working alliance score than T-Ed (Group A: Intervention Median 82 v Group B Medium 72 (p &lt; 0.001) and stronger agreement on therapeutic bond, </w:t>
            </w:r>
            <w:proofErr w:type="gramStart"/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tasks</w:t>
            </w:r>
            <w:proofErr w:type="gramEnd"/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goals (p&lt;0.001).</w:t>
            </w:r>
          </w:p>
        </w:tc>
        <w:tc>
          <w:tcPr>
            <w:tcW w:w="1984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D9D9D9" w:themeFill="background1" w:themeFillShade="D9"/>
            <w:hideMark/>
          </w:tcPr>
          <w:p w14:paraId="1BAEEE38" w14:textId="003FDABE" w:rsidR="004D5C75" w:rsidRPr="004D5C75" w:rsidRDefault="004D5C75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Both telephone interventions resulted in improvement of therape</w:t>
            </w:r>
            <w:r w:rsidR="00124585" w:rsidRPr="00CF3879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u</w:t>
            </w:r>
            <w:r w:rsidRPr="004D5C75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tic alliance from baseline to post treatment (p &lt;0.05). 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WAI score signifi</w:t>
            </w:r>
            <w:r w:rsidR="00124585" w:rsidRPr="00CF387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c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antly higher for T-SM parti</w:t>
            </w:r>
            <w:r w:rsidR="00124585" w:rsidRPr="00CF387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ci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pants (p&lt;0001)</w:t>
            </w:r>
            <w:r w:rsidR="00CF387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 </w:t>
            </w:r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and there </w:t>
            </w:r>
            <w:proofErr w:type="gramStart"/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were</w:t>
            </w:r>
            <w:proofErr w:type="gramEnd"/>
            <w:r w:rsidRPr="004D5C7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 xml:space="preserve"> stronger agreement on therapeutic bond, tasks and goals (p&lt;0.001)</w:t>
            </w:r>
          </w:p>
        </w:tc>
      </w:tr>
      <w:tr w:rsidR="007F31B3" w:rsidRPr="004D5C75" w14:paraId="1E5EDC51" w14:textId="77777777" w:rsidTr="0047398D">
        <w:trPr>
          <w:trHeight w:val="405"/>
        </w:trPr>
        <w:tc>
          <w:tcPr>
            <w:tcW w:w="14312" w:type="dxa"/>
            <w:gridSpan w:val="9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E2EFD9" w:themeFill="accent6" w:themeFillTint="33"/>
          </w:tcPr>
          <w:p w14:paraId="325267A4" w14:textId="1D2064D5" w:rsidR="007F31B3" w:rsidRPr="004D5C75" w:rsidRDefault="007F31B3" w:rsidP="004D5C75">
            <w:pP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4739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Key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: </w:t>
            </w:r>
            <w:r w:rsidR="004739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PD=</w:t>
            </w:r>
            <w:r w:rsidR="004B70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Parkinson's Disease</w:t>
            </w:r>
            <w:r w:rsidR="004739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. MS=</w:t>
            </w:r>
            <w:r w:rsidR="004B70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Multiple Sclerosis</w:t>
            </w:r>
            <w:r w:rsidR="004739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p</w:t>
            </w:r>
            <w:r w:rsidR="0047398D">
              <w:t xml:space="preserve"> </w:t>
            </w:r>
            <w:r w:rsidR="0047398D" w:rsidRPr="004739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≤ 0.05</w:t>
            </w:r>
            <w:r w:rsidR="004739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is statistically significant</w:t>
            </w:r>
          </w:p>
        </w:tc>
      </w:tr>
    </w:tbl>
    <w:p w14:paraId="6A920A5D" w14:textId="0B595468" w:rsidR="00A13C8C" w:rsidRDefault="004D5C75">
      <w:r>
        <w:fldChar w:fldCharType="end"/>
      </w:r>
    </w:p>
    <w:sectPr w:rsidR="00A13C8C" w:rsidSect="00D97396">
      <w:headerReference w:type="default" r:id="rId6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03D95" w14:textId="77777777" w:rsidR="009C2987" w:rsidRDefault="009C2987" w:rsidP="00F017FB">
      <w:r>
        <w:separator/>
      </w:r>
    </w:p>
  </w:endnote>
  <w:endnote w:type="continuationSeparator" w:id="0">
    <w:p w14:paraId="29364C47" w14:textId="77777777" w:rsidR="009C2987" w:rsidRDefault="009C2987" w:rsidP="00F01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ECBEC" w14:textId="77777777" w:rsidR="009C2987" w:rsidRDefault="009C2987" w:rsidP="00F017FB">
      <w:r>
        <w:separator/>
      </w:r>
    </w:p>
  </w:footnote>
  <w:footnote w:type="continuationSeparator" w:id="0">
    <w:p w14:paraId="3F9B7B79" w14:textId="77777777" w:rsidR="009C2987" w:rsidRDefault="009C2987" w:rsidP="00F01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9BDB7" w14:textId="47B96C4D" w:rsidR="00F33776" w:rsidRPr="00F33776" w:rsidRDefault="00F33776">
    <w:pPr>
      <w:pStyle w:val="Header"/>
      <w:rPr>
        <w:sz w:val="20"/>
        <w:szCs w:val="20"/>
      </w:rPr>
    </w:pPr>
    <w:r w:rsidRPr="00F33776">
      <w:rPr>
        <w:sz w:val="20"/>
        <w:szCs w:val="20"/>
      </w:rPr>
      <w:t>Patient reported experiences of community rehabilitation and/or support services for people with long term neurological conditions: A Quantitative Systematic Review.</w:t>
    </w:r>
    <w:r>
      <w:rPr>
        <w:sz w:val="20"/>
        <w:szCs w:val="20"/>
      </w:rPr>
      <w:t xml:space="preserve"> K Jackson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396"/>
    <w:rsid w:val="00124585"/>
    <w:rsid w:val="001C5C91"/>
    <w:rsid w:val="00264E3E"/>
    <w:rsid w:val="00273088"/>
    <w:rsid w:val="003A222A"/>
    <w:rsid w:val="003D232F"/>
    <w:rsid w:val="0047398D"/>
    <w:rsid w:val="004B7082"/>
    <w:rsid w:val="004D5C75"/>
    <w:rsid w:val="007A7059"/>
    <w:rsid w:val="007F1CFA"/>
    <w:rsid w:val="007F31B3"/>
    <w:rsid w:val="00804300"/>
    <w:rsid w:val="00896E40"/>
    <w:rsid w:val="0090139C"/>
    <w:rsid w:val="009C2987"/>
    <w:rsid w:val="00A13C8C"/>
    <w:rsid w:val="00A231E4"/>
    <w:rsid w:val="00BE3673"/>
    <w:rsid w:val="00C03434"/>
    <w:rsid w:val="00C101E7"/>
    <w:rsid w:val="00CC60AF"/>
    <w:rsid w:val="00CF3879"/>
    <w:rsid w:val="00D62535"/>
    <w:rsid w:val="00D71FFB"/>
    <w:rsid w:val="00D97396"/>
    <w:rsid w:val="00DC727F"/>
    <w:rsid w:val="00E34DA8"/>
    <w:rsid w:val="00F017FB"/>
    <w:rsid w:val="00F33776"/>
    <w:rsid w:val="00FA3276"/>
    <w:rsid w:val="00FD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FBD587"/>
  <w15:chartTrackingRefBased/>
  <w15:docId w15:val="{FC8E8BA3-2856-4E9F-ACC5-6D00D2DA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E40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DA8"/>
    <w:pPr>
      <w:keepNext/>
      <w:keepLines/>
      <w:spacing w:before="240"/>
      <w:outlineLvl w:val="0"/>
    </w:pPr>
    <w:rPr>
      <w:rFonts w:eastAsiaTheme="majorEastAsia" w:cstheme="majorBidi"/>
      <w:color w:val="C45911" w:themeColor="accent2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4DA8"/>
    <w:pPr>
      <w:keepNext/>
      <w:keepLines/>
      <w:spacing w:before="40"/>
      <w:outlineLvl w:val="1"/>
    </w:pPr>
    <w:rPr>
      <w:rFonts w:eastAsiaTheme="majorEastAsia" w:cstheme="majorBidi"/>
      <w:color w:val="C45911" w:themeColor="accent2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DA8"/>
    <w:rPr>
      <w:rFonts w:ascii="Arial" w:eastAsiaTheme="majorEastAsia" w:hAnsi="Arial" w:cstheme="majorBidi"/>
      <w:color w:val="C45911" w:themeColor="accent2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DA8"/>
    <w:rPr>
      <w:rFonts w:ascii="Arial" w:eastAsiaTheme="majorEastAsia" w:hAnsi="Arial" w:cstheme="majorBidi"/>
      <w:color w:val="C45911" w:themeColor="accent2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34DA8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DA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DA8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4DA8"/>
    <w:rPr>
      <w:rFonts w:ascii="Arial" w:eastAsiaTheme="minorEastAsia" w:hAnsi="Arial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E34DA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34DA8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E34DA8"/>
    <w:rPr>
      <w:rFonts w:ascii="Arial" w:hAnsi="Arial"/>
      <w:i/>
      <w:iCs/>
      <w:color w:val="C45911" w:themeColor="accent2" w:themeShade="BF"/>
    </w:rPr>
  </w:style>
  <w:style w:type="character" w:styleId="Strong">
    <w:name w:val="Strong"/>
    <w:basedOn w:val="DefaultParagraphFont"/>
    <w:uiPriority w:val="22"/>
    <w:qFormat/>
    <w:rsid w:val="00E34DA8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34DA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DA8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DA8"/>
    <w:pPr>
      <w:pBdr>
        <w:top w:val="single" w:sz="4" w:space="10" w:color="ED7D31" w:themeColor="accent2"/>
        <w:bottom w:val="single" w:sz="4" w:space="10" w:color="ED7D31" w:themeColor="accent2"/>
      </w:pBdr>
      <w:spacing w:before="360" w:after="360"/>
      <w:ind w:left="864" w:right="864"/>
      <w:jc w:val="center"/>
    </w:pPr>
    <w:rPr>
      <w:i/>
      <w:iCs/>
      <w:color w:val="C45911" w:themeColor="accent2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DA8"/>
    <w:rPr>
      <w:rFonts w:ascii="Arial" w:hAnsi="Arial"/>
      <w:i/>
      <w:iCs/>
      <w:color w:val="C45911" w:themeColor="accent2" w:themeShade="BF"/>
      <w:sz w:val="24"/>
    </w:rPr>
  </w:style>
  <w:style w:type="character" w:styleId="SubtleReference">
    <w:name w:val="Subtle Reference"/>
    <w:basedOn w:val="DefaultParagraphFont"/>
    <w:uiPriority w:val="31"/>
    <w:qFormat/>
    <w:rsid w:val="00E34DA8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E34DA8"/>
    <w:rPr>
      <w:rFonts w:ascii="Arial" w:hAnsi="Arial"/>
      <w:b/>
      <w:bCs/>
      <w:smallCaps/>
      <w:color w:val="C45911" w:themeColor="accent2" w:themeShade="BF"/>
      <w:spacing w:val="5"/>
    </w:rPr>
  </w:style>
  <w:style w:type="character" w:styleId="BookTitle">
    <w:name w:val="Book Title"/>
    <w:basedOn w:val="DefaultParagraphFont"/>
    <w:uiPriority w:val="33"/>
    <w:qFormat/>
    <w:rsid w:val="00E34DA8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E34DA8"/>
    <w:pPr>
      <w:ind w:left="720"/>
      <w:contextualSpacing/>
    </w:pPr>
  </w:style>
  <w:style w:type="table" w:styleId="TableGrid">
    <w:name w:val="Table Grid"/>
    <w:basedOn w:val="TableNormal"/>
    <w:uiPriority w:val="39"/>
    <w:rsid w:val="00D97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17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7FB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F017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7F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2654</Words>
  <Characters>16112</Characters>
  <Application>Microsoft Office Word</Application>
  <DocSecurity>0</DocSecurity>
  <Lines>251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Teesside University</Company>
  <LinksUpToDate>false</LinksUpToDate>
  <CharactersWithSpaces>18725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Katherine</dc:creator>
  <cp:keywords/>
  <dc:description/>
  <cp:lastModifiedBy>Jackson, Katherine</cp:lastModifiedBy>
  <cp:revision>2</cp:revision>
  <dcterms:created xsi:type="dcterms:W3CDTF">2022-12-09T20:54:00Z</dcterms:created>
  <dcterms:modified xsi:type="dcterms:W3CDTF">2022-12-09T20:54:00Z</dcterms:modified>
</cp:coreProperties>
</file>