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03095" w14:textId="1124E6D3" w:rsidR="00E45999" w:rsidRPr="004046EA" w:rsidRDefault="00E45999" w:rsidP="00BF6EFC">
      <w:pPr>
        <w:spacing w:line="480" w:lineRule="auto"/>
        <w:jc w:val="center"/>
        <w:rPr>
          <w:rFonts w:ascii="Times New Roman" w:hAnsi="Times New Roman" w:cs="Times New Roman"/>
          <w:b/>
          <w:bCs/>
          <w:sz w:val="24"/>
          <w:szCs w:val="24"/>
        </w:rPr>
      </w:pPr>
      <w:r w:rsidRPr="004046EA">
        <w:rPr>
          <w:rFonts w:ascii="Times New Roman" w:hAnsi="Times New Roman" w:cs="Times New Roman"/>
          <w:b/>
          <w:bCs/>
          <w:sz w:val="24"/>
          <w:szCs w:val="24"/>
        </w:rPr>
        <w:t>Supplementary Material</w:t>
      </w:r>
    </w:p>
    <w:p w14:paraId="25E2FEA1" w14:textId="119B491A" w:rsidR="001E781A" w:rsidRPr="004046EA" w:rsidRDefault="001E781A" w:rsidP="00BF6EFC">
      <w:pPr>
        <w:spacing w:line="480" w:lineRule="auto"/>
        <w:rPr>
          <w:rFonts w:ascii="Times New Roman" w:hAnsi="Times New Roman" w:cs="Times New Roman"/>
          <w:b/>
          <w:bCs/>
          <w:sz w:val="24"/>
          <w:szCs w:val="24"/>
        </w:rPr>
      </w:pPr>
      <w:proofErr w:type="spellStart"/>
      <w:r w:rsidRPr="004046EA">
        <w:rPr>
          <w:rFonts w:ascii="Times New Roman" w:hAnsi="Times New Roman" w:cs="Times New Roman"/>
          <w:b/>
          <w:bCs/>
          <w:sz w:val="24"/>
          <w:szCs w:val="24"/>
        </w:rPr>
        <w:t>Senecavirus</w:t>
      </w:r>
      <w:proofErr w:type="spellEnd"/>
      <w:r w:rsidRPr="004046EA">
        <w:rPr>
          <w:rFonts w:ascii="Times New Roman" w:hAnsi="Times New Roman" w:cs="Times New Roman"/>
          <w:b/>
          <w:bCs/>
          <w:sz w:val="24"/>
          <w:szCs w:val="24"/>
        </w:rPr>
        <w:t xml:space="preserve"> A induces mitophagy to promote self-replication through direct interaction of 2C protein with K27-linked ubiquitinated TUFM catalyzed by RNF185</w:t>
      </w:r>
    </w:p>
    <w:p w14:paraId="104F280E" w14:textId="00F60FD8" w:rsidR="001E781A" w:rsidRPr="004046EA" w:rsidRDefault="001E781A" w:rsidP="00BF6EFC">
      <w:pPr>
        <w:spacing w:line="480" w:lineRule="auto"/>
        <w:rPr>
          <w:rFonts w:ascii="Times New Roman" w:hAnsi="Times New Roman" w:cs="Times New Roman"/>
          <w:sz w:val="24"/>
          <w:szCs w:val="24"/>
        </w:rPr>
      </w:pPr>
      <w:r w:rsidRPr="004046EA">
        <w:rPr>
          <w:rFonts w:ascii="Times New Roman" w:hAnsi="Times New Roman" w:cs="Times New Roman"/>
          <w:sz w:val="24"/>
          <w:szCs w:val="24"/>
        </w:rPr>
        <w:t xml:space="preserve">Meirong </w:t>
      </w:r>
      <w:proofErr w:type="spellStart"/>
      <w:proofErr w:type="gramStart"/>
      <w:r w:rsidRPr="004046EA">
        <w:rPr>
          <w:rFonts w:ascii="Times New Roman" w:hAnsi="Times New Roman" w:cs="Times New Roman"/>
          <w:sz w:val="24"/>
          <w:szCs w:val="24"/>
        </w:rPr>
        <w:t>Chen</w:t>
      </w:r>
      <w:r w:rsidR="004C1137" w:rsidRPr="004046EA">
        <w:rPr>
          <w:rFonts w:ascii="Times New Roman" w:hAnsi="Times New Roman" w:cs="Times New Roman"/>
          <w:sz w:val="24"/>
          <w:szCs w:val="24"/>
          <w:vertAlign w:val="superscript"/>
        </w:rPr>
        <w:t>a,b</w:t>
      </w:r>
      <w:proofErr w:type="spellEnd"/>
      <w:proofErr w:type="gramEnd"/>
      <w:r w:rsidRPr="004046EA">
        <w:rPr>
          <w:rFonts w:ascii="Times New Roman" w:hAnsi="Times New Roman" w:cs="Times New Roman"/>
          <w:sz w:val="24"/>
          <w:szCs w:val="24"/>
        </w:rPr>
        <w:t xml:space="preserve">, Xin </w:t>
      </w:r>
      <w:proofErr w:type="spellStart"/>
      <w:r w:rsidRPr="004046EA">
        <w:rPr>
          <w:rFonts w:ascii="Times New Roman" w:hAnsi="Times New Roman" w:cs="Times New Roman"/>
          <w:sz w:val="24"/>
          <w:szCs w:val="24"/>
        </w:rPr>
        <w:t>Zhang</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Fanshu</w:t>
      </w:r>
      <w:proofErr w:type="spellEnd"/>
      <w:r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Kong</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w:t>
      </w:r>
      <w:r w:rsidRPr="004046EA">
        <w:rPr>
          <w:rFonts w:ascii="Times New Roman" w:hAnsi="Times New Roman" w:cs="Times New Roman" w:hint="eastAsia"/>
          <w:sz w:val="24"/>
          <w:szCs w:val="24"/>
        </w:rPr>
        <w:t>Peng</w:t>
      </w:r>
      <w:r w:rsidRPr="004046EA">
        <w:rPr>
          <w:rFonts w:ascii="Times New Roman" w:hAnsi="Times New Roman" w:cs="Times New Roman"/>
          <w:sz w:val="24"/>
          <w:szCs w:val="24"/>
        </w:rPr>
        <w:t xml:space="preserve"> </w:t>
      </w:r>
      <w:proofErr w:type="spellStart"/>
      <w:r w:rsidRPr="004046EA">
        <w:rPr>
          <w:rFonts w:ascii="Times New Roman" w:hAnsi="Times New Roman" w:cs="Times New Roman" w:hint="eastAsia"/>
          <w:sz w:val="24"/>
          <w:szCs w:val="24"/>
        </w:rPr>
        <w:t>Gao</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Xinna</w:t>
      </w:r>
      <w:proofErr w:type="spellEnd"/>
      <w:r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Ge</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Lei </w:t>
      </w:r>
      <w:proofErr w:type="spellStart"/>
      <w:r w:rsidRPr="004046EA">
        <w:rPr>
          <w:rFonts w:ascii="Times New Roman" w:hAnsi="Times New Roman" w:cs="Times New Roman"/>
          <w:sz w:val="24"/>
          <w:szCs w:val="24"/>
        </w:rPr>
        <w:t>Zhou</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Jun </w:t>
      </w:r>
      <w:proofErr w:type="spellStart"/>
      <w:r w:rsidRPr="004046EA">
        <w:rPr>
          <w:rFonts w:ascii="Times New Roman" w:hAnsi="Times New Roman" w:cs="Times New Roman"/>
          <w:sz w:val="24"/>
          <w:szCs w:val="24"/>
        </w:rPr>
        <w:t>Han</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Xin </w:t>
      </w:r>
      <w:proofErr w:type="spellStart"/>
      <w:r w:rsidRPr="004046EA">
        <w:rPr>
          <w:rFonts w:ascii="Times New Roman" w:hAnsi="Times New Roman" w:cs="Times New Roman"/>
          <w:sz w:val="24"/>
          <w:szCs w:val="24"/>
        </w:rPr>
        <w:t>Guo</w:t>
      </w:r>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Yongning</w:t>
      </w:r>
      <w:proofErr w:type="spellEnd"/>
      <w:r w:rsidRPr="004046EA">
        <w:rPr>
          <w:rFonts w:ascii="Times New Roman" w:hAnsi="Times New Roman" w:cs="Times New Roman"/>
          <w:sz w:val="24"/>
          <w:szCs w:val="24"/>
        </w:rPr>
        <w:t xml:space="preserve"> Zhang*</w:t>
      </w:r>
      <w:proofErr w:type="spellStart"/>
      <w:r w:rsidR="004C1137" w:rsidRPr="004046EA">
        <w:rPr>
          <w:rFonts w:ascii="Times New Roman" w:hAnsi="Times New Roman" w:cs="Times New Roman"/>
          <w:sz w:val="24"/>
          <w:szCs w:val="24"/>
          <w:vertAlign w:val="superscript"/>
        </w:rPr>
        <w:t>a,b</w:t>
      </w:r>
      <w:proofErr w:type="spellEnd"/>
      <w:r w:rsidRPr="004046EA">
        <w:rPr>
          <w:rFonts w:ascii="Times New Roman" w:hAnsi="Times New Roman" w:cs="Times New Roman"/>
          <w:sz w:val="24"/>
          <w:szCs w:val="24"/>
        </w:rPr>
        <w:t xml:space="preserve">, </w:t>
      </w:r>
      <w:r w:rsidR="00E91E5C" w:rsidRPr="004046EA">
        <w:rPr>
          <w:rFonts w:ascii="Times New Roman" w:hAnsi="Times New Roman" w:cs="Times New Roman"/>
          <w:sz w:val="24"/>
          <w:szCs w:val="24"/>
        </w:rPr>
        <w:t xml:space="preserve">and </w:t>
      </w:r>
      <w:proofErr w:type="spellStart"/>
      <w:r w:rsidRPr="004046EA">
        <w:rPr>
          <w:rFonts w:ascii="Times New Roman" w:hAnsi="Times New Roman" w:cs="Times New Roman"/>
          <w:sz w:val="24"/>
          <w:szCs w:val="24"/>
        </w:rPr>
        <w:t>Hanchun</w:t>
      </w:r>
      <w:proofErr w:type="spellEnd"/>
      <w:r w:rsidRPr="004046EA">
        <w:rPr>
          <w:rFonts w:ascii="Times New Roman" w:hAnsi="Times New Roman" w:cs="Times New Roman"/>
          <w:sz w:val="24"/>
          <w:szCs w:val="24"/>
        </w:rPr>
        <w:t xml:space="preserve"> Yang*</w:t>
      </w:r>
      <w:proofErr w:type="spellStart"/>
      <w:r w:rsidR="004C1137" w:rsidRPr="004046EA">
        <w:rPr>
          <w:rFonts w:ascii="Times New Roman" w:hAnsi="Times New Roman" w:cs="Times New Roman"/>
          <w:sz w:val="24"/>
          <w:szCs w:val="24"/>
          <w:vertAlign w:val="superscript"/>
        </w:rPr>
        <w:t>a,b</w:t>
      </w:r>
      <w:proofErr w:type="spellEnd"/>
    </w:p>
    <w:p w14:paraId="47C05217" w14:textId="25DF294B" w:rsidR="001E781A" w:rsidRPr="004046EA" w:rsidRDefault="008B09C8" w:rsidP="00BF6EFC">
      <w:pPr>
        <w:spacing w:line="480" w:lineRule="auto"/>
        <w:rPr>
          <w:rFonts w:ascii="Times New Roman" w:hAnsi="Times New Roman" w:cs="Times New Roman"/>
          <w:sz w:val="24"/>
          <w:szCs w:val="24"/>
        </w:rPr>
      </w:pPr>
      <w:proofErr w:type="spellStart"/>
      <w:r w:rsidRPr="004046EA">
        <w:rPr>
          <w:rFonts w:ascii="Times New Roman" w:hAnsi="Times New Roman" w:cs="Times New Roman"/>
          <w:sz w:val="24"/>
          <w:szCs w:val="24"/>
          <w:vertAlign w:val="superscript"/>
        </w:rPr>
        <w:t>a</w:t>
      </w:r>
      <w:r w:rsidR="001E781A" w:rsidRPr="004046EA">
        <w:rPr>
          <w:rFonts w:ascii="Times New Roman" w:hAnsi="Times New Roman" w:cs="Times New Roman"/>
          <w:sz w:val="24"/>
          <w:szCs w:val="24"/>
        </w:rPr>
        <w:t>National</w:t>
      </w:r>
      <w:proofErr w:type="spellEnd"/>
      <w:r w:rsidR="001E781A" w:rsidRPr="004046EA">
        <w:rPr>
          <w:rFonts w:ascii="Times New Roman" w:hAnsi="Times New Roman" w:cs="Times New Roman"/>
          <w:sz w:val="24"/>
          <w:szCs w:val="24"/>
        </w:rPr>
        <w:t xml:space="preserve"> Key Laboratory of Veterinary Public Health and Safety, </w:t>
      </w:r>
      <w:r w:rsidRPr="004046EA">
        <w:rPr>
          <w:rFonts w:ascii="Times New Roman" w:hAnsi="Times New Roman" w:cs="Times New Roman"/>
          <w:sz w:val="24"/>
          <w:szCs w:val="24"/>
        </w:rPr>
        <w:t>College of Veterinary Medicine, China Agricultural University, Beijing 100193, China;</w:t>
      </w:r>
      <w:r w:rsidRPr="004046EA">
        <w:rPr>
          <w:rFonts w:ascii="Times New Roman" w:hAnsi="Times New Roman" w:cs="Times New Roman"/>
          <w:sz w:val="24"/>
          <w:szCs w:val="24"/>
          <w:vertAlign w:val="superscript"/>
        </w:rPr>
        <w:t xml:space="preserve"> </w:t>
      </w:r>
      <w:proofErr w:type="spellStart"/>
      <w:r w:rsidRPr="004046EA">
        <w:rPr>
          <w:rFonts w:ascii="Times New Roman" w:hAnsi="Times New Roman" w:cs="Times New Roman"/>
          <w:sz w:val="24"/>
          <w:szCs w:val="24"/>
          <w:vertAlign w:val="superscript"/>
        </w:rPr>
        <w:t>b</w:t>
      </w:r>
      <w:r w:rsidR="001E781A" w:rsidRPr="004046EA">
        <w:rPr>
          <w:rFonts w:ascii="Times New Roman" w:hAnsi="Times New Roman" w:cs="Times New Roman"/>
          <w:sz w:val="24"/>
          <w:szCs w:val="24"/>
        </w:rPr>
        <w:t>Key</w:t>
      </w:r>
      <w:proofErr w:type="spellEnd"/>
      <w:r w:rsidR="001E781A" w:rsidRPr="004046EA">
        <w:rPr>
          <w:rFonts w:ascii="Times New Roman" w:hAnsi="Times New Roman" w:cs="Times New Roman"/>
          <w:sz w:val="24"/>
          <w:szCs w:val="24"/>
        </w:rPr>
        <w:t xml:space="preserve"> Laboratory of Animal Epidemiology of Ministry of Agriculture and Rural Affairs, College of Veterinary Medicine, China Agricultural University, Beijing 100193, China</w:t>
      </w:r>
    </w:p>
    <w:p w14:paraId="381A0E41" w14:textId="77777777" w:rsidR="001E781A" w:rsidRPr="004046EA" w:rsidRDefault="001E781A" w:rsidP="00BF6EFC">
      <w:pPr>
        <w:spacing w:line="480" w:lineRule="auto"/>
        <w:rPr>
          <w:rFonts w:ascii="Times New Roman" w:hAnsi="Times New Roman" w:cs="Times New Roman"/>
          <w:sz w:val="24"/>
          <w:szCs w:val="24"/>
        </w:rPr>
      </w:pPr>
    </w:p>
    <w:p w14:paraId="5AA19B8B" w14:textId="77777777" w:rsidR="001E781A" w:rsidRPr="004046EA" w:rsidRDefault="001E781A" w:rsidP="00BF6EFC">
      <w:pPr>
        <w:spacing w:line="480" w:lineRule="auto"/>
        <w:rPr>
          <w:rFonts w:ascii="Times New Roman" w:hAnsi="Times New Roman" w:cs="Times New Roman"/>
          <w:sz w:val="24"/>
          <w:szCs w:val="24"/>
        </w:rPr>
      </w:pPr>
      <w:r w:rsidRPr="004046EA">
        <w:rPr>
          <w:rFonts w:ascii="Times New Roman" w:hAnsi="Times New Roman" w:cs="Times New Roman"/>
          <w:sz w:val="24"/>
          <w:szCs w:val="24"/>
        </w:rPr>
        <w:t>*Correspondence:</w:t>
      </w:r>
    </w:p>
    <w:p w14:paraId="04D90BBA" w14:textId="22964C71" w:rsidR="001E781A" w:rsidRPr="004046EA" w:rsidRDefault="001E781A" w:rsidP="00BF6EFC">
      <w:pPr>
        <w:spacing w:line="480" w:lineRule="auto"/>
        <w:rPr>
          <w:rFonts w:ascii="Times New Roman" w:hAnsi="Times New Roman" w:cs="Times New Roman"/>
          <w:sz w:val="24"/>
          <w:szCs w:val="24"/>
        </w:rPr>
      </w:pPr>
      <w:proofErr w:type="spellStart"/>
      <w:r w:rsidRPr="004046EA">
        <w:rPr>
          <w:rFonts w:ascii="Times New Roman" w:hAnsi="Times New Roman" w:cs="Times New Roman"/>
          <w:sz w:val="24"/>
          <w:szCs w:val="24"/>
        </w:rPr>
        <w:t>Yongning</w:t>
      </w:r>
      <w:proofErr w:type="spellEnd"/>
      <w:r w:rsidRPr="004046EA">
        <w:rPr>
          <w:rFonts w:ascii="Times New Roman" w:hAnsi="Times New Roman" w:cs="Times New Roman"/>
          <w:sz w:val="24"/>
          <w:szCs w:val="24"/>
        </w:rPr>
        <w:t xml:space="preserve"> Zhang, College of Veterinary Medicine, China Agricultural University, Beijing, China. Email: zhangyongning@cau.edu.cn;</w:t>
      </w:r>
      <w:r w:rsidR="00317D57" w:rsidRPr="004046EA">
        <w:rPr>
          <w:rFonts w:ascii="Times New Roman" w:hAnsi="Times New Roman" w:cs="Times New Roman"/>
          <w:sz w:val="24"/>
          <w:szCs w:val="24"/>
        </w:rPr>
        <w:t xml:space="preserve"> ORCID</w:t>
      </w:r>
      <w:r w:rsidR="00317D57" w:rsidRPr="004046EA">
        <w:rPr>
          <w:rFonts w:ascii="Times New Roman" w:hAnsi="Times New Roman" w:cs="Times New Roman" w:hint="eastAsia"/>
          <w:sz w:val="24"/>
          <w:szCs w:val="24"/>
        </w:rPr>
        <w:t>:</w:t>
      </w:r>
      <w:r w:rsidR="00317D57" w:rsidRPr="004046EA">
        <w:rPr>
          <w:rFonts w:ascii="Times New Roman" w:hAnsi="Times New Roman" w:cs="Times New Roman"/>
          <w:sz w:val="24"/>
          <w:szCs w:val="24"/>
        </w:rPr>
        <w:t xml:space="preserve"> https://orcid.org/0000-0002-0134-2761</w:t>
      </w:r>
    </w:p>
    <w:p w14:paraId="15A38516" w14:textId="7A53A425" w:rsidR="001E781A" w:rsidRPr="004046EA" w:rsidRDefault="001E781A" w:rsidP="00BF6EFC">
      <w:pPr>
        <w:spacing w:line="480" w:lineRule="auto"/>
        <w:rPr>
          <w:rFonts w:ascii="Times New Roman" w:hAnsi="Times New Roman" w:cs="Times New Roman"/>
          <w:sz w:val="24"/>
          <w:szCs w:val="24"/>
        </w:rPr>
      </w:pPr>
      <w:proofErr w:type="spellStart"/>
      <w:r w:rsidRPr="004046EA">
        <w:rPr>
          <w:rFonts w:ascii="Times New Roman" w:hAnsi="Times New Roman" w:cs="Times New Roman"/>
          <w:sz w:val="24"/>
          <w:szCs w:val="24"/>
        </w:rPr>
        <w:t>Hanchun</w:t>
      </w:r>
      <w:proofErr w:type="spellEnd"/>
      <w:r w:rsidRPr="004046EA">
        <w:rPr>
          <w:rFonts w:ascii="Times New Roman" w:hAnsi="Times New Roman" w:cs="Times New Roman"/>
          <w:sz w:val="24"/>
          <w:szCs w:val="24"/>
        </w:rPr>
        <w:t xml:space="preserve"> Yang, College of Veterinary Medicine, China Agricultural University, Beijing, China. Email: yanghanchun1@cau.edu.cn</w:t>
      </w:r>
      <w:r w:rsidR="00317D57" w:rsidRPr="004046EA">
        <w:rPr>
          <w:rFonts w:ascii="Times New Roman" w:hAnsi="Times New Roman" w:cs="Times New Roman"/>
          <w:sz w:val="24"/>
          <w:szCs w:val="24"/>
        </w:rPr>
        <w:t xml:space="preserve">; </w:t>
      </w:r>
      <w:r w:rsidR="00380B9D" w:rsidRPr="004046EA">
        <w:rPr>
          <w:rFonts w:ascii="Times New Roman" w:hAnsi="Times New Roman" w:cs="Times New Roman"/>
          <w:sz w:val="24"/>
          <w:szCs w:val="24"/>
        </w:rPr>
        <w:t>ORCID: http://orcid.org/0000-0003-3359-3925</w:t>
      </w:r>
    </w:p>
    <w:p w14:paraId="07771EAB" w14:textId="52D500B1" w:rsidR="00C9076F" w:rsidRPr="004046EA" w:rsidRDefault="00C9076F" w:rsidP="00BF6EFC">
      <w:pPr>
        <w:spacing w:line="480" w:lineRule="auto"/>
      </w:pPr>
    </w:p>
    <w:p w14:paraId="50887305" w14:textId="77777777" w:rsidR="00C9076F" w:rsidRPr="004046EA" w:rsidRDefault="00C9076F" w:rsidP="00BF6EFC">
      <w:pPr>
        <w:widowControl/>
        <w:spacing w:line="480" w:lineRule="auto"/>
        <w:jc w:val="left"/>
      </w:pPr>
      <w:r w:rsidRPr="004046EA">
        <w:br w:type="page"/>
      </w:r>
    </w:p>
    <w:p w14:paraId="4056EC8A" w14:textId="77777777" w:rsidR="00413F93" w:rsidRPr="004046EA" w:rsidRDefault="00413F93" w:rsidP="00BF6EFC">
      <w:pPr>
        <w:spacing w:line="480" w:lineRule="auto"/>
        <w:jc w:val="center"/>
        <w:rPr>
          <w:rFonts w:ascii="Times New Roman" w:hAnsi="Times New Roman" w:cs="Times New Roman"/>
          <w:b/>
          <w:bCs/>
          <w:sz w:val="24"/>
          <w:szCs w:val="24"/>
        </w:rPr>
      </w:pPr>
    </w:p>
    <w:p w14:paraId="72E2D181" w14:textId="6269BAB4" w:rsidR="00BF6EFC" w:rsidRPr="004046EA" w:rsidRDefault="00F65DD4" w:rsidP="00BF6EFC">
      <w:pPr>
        <w:spacing w:line="480" w:lineRule="auto"/>
        <w:jc w:val="center"/>
        <w:rPr>
          <w:rFonts w:ascii="Times New Roman" w:hAnsi="Times New Roman" w:cs="Times New Roman"/>
          <w:b/>
          <w:bCs/>
          <w:sz w:val="24"/>
          <w:szCs w:val="24"/>
        </w:rPr>
      </w:pPr>
      <w:r w:rsidRPr="004046EA">
        <w:rPr>
          <w:rFonts w:ascii="Times New Roman" w:hAnsi="Times New Roman" w:cs="Times New Roman"/>
          <w:b/>
          <w:bCs/>
          <w:noProof/>
          <w:sz w:val="24"/>
          <w:szCs w:val="24"/>
          <w14:ligatures w14:val="standardContextual"/>
        </w:rPr>
        <w:drawing>
          <wp:inline distT="0" distB="0" distL="0" distR="0" wp14:anchorId="0D2C6CA7" wp14:editId="44F89861">
            <wp:extent cx="5274310" cy="4099560"/>
            <wp:effectExtent l="0" t="0" r="2540" b="0"/>
            <wp:docPr id="2557407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740719" name="图片 255740719"/>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4099560"/>
                    </a:xfrm>
                    <a:prstGeom prst="rect">
                      <a:avLst/>
                    </a:prstGeom>
                  </pic:spPr>
                </pic:pic>
              </a:graphicData>
            </a:graphic>
          </wp:inline>
        </w:drawing>
      </w:r>
    </w:p>
    <w:p w14:paraId="410937F3" w14:textId="1FB630A7" w:rsidR="001C4686"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Figure S1.</w:t>
      </w:r>
      <w:r w:rsidRPr="004046EA">
        <w:rPr>
          <w:rFonts w:ascii="Times New Roman" w:hAnsi="Times New Roman" w:cs="Times New Roman"/>
          <w:sz w:val="24"/>
          <w:szCs w:val="24"/>
        </w:rPr>
        <w:t xml:space="preserve"> Pharmacological blockade of autophagy-lysosomal degradation activity can rescue the degradation of mitochondrial membrane proteins in SVA-infected host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xml:space="preserve">) BHK-21 cells were mock infected or infected with SVA </w:t>
      </w:r>
      <w:r w:rsidR="00EE6787" w:rsidRPr="004046EA">
        <w:rPr>
          <w:rFonts w:ascii="Times New Roman" w:hAnsi="Times New Roman" w:cs="Times New Roman"/>
          <w:sz w:val="24"/>
          <w:szCs w:val="24"/>
        </w:rPr>
        <w:t>(</w:t>
      </w:r>
      <w:r w:rsidRPr="004046EA">
        <w:rPr>
          <w:rFonts w:ascii="Times New Roman" w:hAnsi="Times New Roman" w:cs="Times New Roman"/>
          <w:sz w:val="24"/>
          <w:szCs w:val="24"/>
        </w:rPr>
        <w:t>MOI</w:t>
      </w:r>
      <w:r w:rsidR="00EE6787" w:rsidRPr="004046EA">
        <w:rPr>
          <w:rFonts w:ascii="Times New Roman" w:hAnsi="Times New Roman" w:cs="Times New Roman"/>
          <w:sz w:val="24"/>
          <w:szCs w:val="24"/>
        </w:rPr>
        <w:t>=</w:t>
      </w:r>
      <w:r w:rsidRPr="004046EA">
        <w:rPr>
          <w:rFonts w:ascii="Times New Roman" w:hAnsi="Times New Roman" w:cs="Times New Roman"/>
          <w:sz w:val="24"/>
          <w:szCs w:val="24"/>
        </w:rPr>
        <w:t>0.1</w:t>
      </w:r>
      <w:r w:rsidR="00EE6787" w:rsidRPr="004046EA">
        <w:rPr>
          <w:rFonts w:ascii="Times New Roman" w:hAnsi="Times New Roman" w:cs="Times New Roman"/>
          <w:sz w:val="24"/>
          <w:szCs w:val="24"/>
        </w:rPr>
        <w:t>)</w:t>
      </w:r>
      <w:r w:rsidRPr="004046EA">
        <w:rPr>
          <w:rFonts w:ascii="Times New Roman" w:hAnsi="Times New Roman" w:cs="Times New Roman"/>
          <w:sz w:val="24"/>
          <w:szCs w:val="24"/>
        </w:rPr>
        <w:t xml:space="preserve">. </w:t>
      </w:r>
      <w:r w:rsidR="003747A7" w:rsidRPr="004046EA">
        <w:rPr>
          <w:rFonts w:ascii="Times New Roman" w:hAnsi="Times New Roman" w:cs="Times New Roman"/>
          <w:sz w:val="24"/>
          <w:szCs w:val="24"/>
        </w:rPr>
        <w:t>T</w:t>
      </w:r>
      <w:r w:rsidRPr="004046EA">
        <w:rPr>
          <w:rFonts w:ascii="Times New Roman" w:hAnsi="Times New Roman" w:cs="Times New Roman"/>
          <w:sz w:val="24"/>
          <w:szCs w:val="24"/>
        </w:rPr>
        <w:t xml:space="preserve">he cells were further cultured in fresh medium supplemented with 100 </w:t>
      </w:r>
      <w:proofErr w:type="spellStart"/>
      <w:r w:rsidRPr="004046EA">
        <w:rPr>
          <w:rFonts w:ascii="Times New Roman" w:hAnsi="Times New Roman" w:cs="Times New Roman"/>
          <w:sz w:val="24"/>
          <w:szCs w:val="24"/>
        </w:rPr>
        <w:t>μM</w:t>
      </w:r>
      <w:proofErr w:type="spellEnd"/>
      <w:r w:rsidRPr="004046EA">
        <w:rPr>
          <w:rFonts w:ascii="Times New Roman" w:hAnsi="Times New Roman" w:cs="Times New Roman"/>
          <w:sz w:val="24"/>
          <w:szCs w:val="24"/>
        </w:rPr>
        <w:t xml:space="preserve"> of CQ, 100 </w:t>
      </w:r>
      <w:proofErr w:type="spellStart"/>
      <w:r w:rsidRPr="004046EA">
        <w:rPr>
          <w:rFonts w:ascii="Times New Roman" w:hAnsi="Times New Roman" w:cs="Times New Roman"/>
          <w:sz w:val="24"/>
          <w:szCs w:val="24"/>
        </w:rPr>
        <w:t>nM</w:t>
      </w:r>
      <w:proofErr w:type="spellEnd"/>
      <w:r w:rsidRPr="004046EA">
        <w:rPr>
          <w:rFonts w:ascii="Times New Roman" w:hAnsi="Times New Roman" w:cs="Times New Roman"/>
          <w:sz w:val="24"/>
          <w:szCs w:val="24"/>
        </w:rPr>
        <w:t xml:space="preserve"> of </w:t>
      </w:r>
      <w:proofErr w:type="spellStart"/>
      <w:r w:rsidRPr="004046EA">
        <w:rPr>
          <w:rFonts w:ascii="Times New Roman" w:hAnsi="Times New Roman" w:cs="Times New Roman"/>
          <w:sz w:val="24"/>
          <w:szCs w:val="24"/>
        </w:rPr>
        <w:t>Baf</w:t>
      </w:r>
      <w:proofErr w:type="spellEnd"/>
      <w:r w:rsidRPr="004046EA">
        <w:rPr>
          <w:rFonts w:ascii="Times New Roman" w:hAnsi="Times New Roman" w:cs="Times New Roman"/>
          <w:sz w:val="24"/>
          <w:szCs w:val="24"/>
        </w:rPr>
        <w:t xml:space="preserve"> A1, DMSO solvent control, or solvent-free control (SFC), respectively. At 24 </w:t>
      </w:r>
      <w:proofErr w:type="spellStart"/>
      <w:r w:rsidRPr="004046EA">
        <w:rPr>
          <w:rFonts w:ascii="Times New Roman" w:hAnsi="Times New Roman" w:cs="Times New Roman"/>
          <w:sz w:val="24"/>
          <w:szCs w:val="24"/>
        </w:rPr>
        <w:t>hpi</w:t>
      </w:r>
      <w:proofErr w:type="spellEnd"/>
      <w:r w:rsidRPr="004046EA">
        <w:rPr>
          <w:rFonts w:ascii="Times New Roman" w:hAnsi="Times New Roman" w:cs="Times New Roman"/>
          <w:sz w:val="24"/>
          <w:szCs w:val="24"/>
        </w:rPr>
        <w:t xml:space="preserve">, </w:t>
      </w:r>
      <w:r w:rsidR="00EE6787" w:rsidRPr="004046EA">
        <w:rPr>
          <w:rFonts w:ascii="Times New Roman" w:hAnsi="Times New Roman" w:cs="Times New Roman"/>
          <w:sz w:val="24"/>
          <w:szCs w:val="24"/>
        </w:rPr>
        <w:t xml:space="preserve">the </w:t>
      </w:r>
      <w:r w:rsidRPr="004046EA">
        <w:rPr>
          <w:rFonts w:ascii="Times New Roman" w:hAnsi="Times New Roman" w:cs="Times New Roman"/>
          <w:sz w:val="24"/>
          <w:szCs w:val="24"/>
        </w:rPr>
        <w:t xml:space="preserve">cells were </w:t>
      </w:r>
      <w:r w:rsidR="00EE6787"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Representative results are shown and similar results were obtained in three independent experiments. (</w:t>
      </w:r>
      <w:r w:rsidRPr="004046EA">
        <w:rPr>
          <w:rFonts w:ascii="Times New Roman" w:hAnsi="Times New Roman" w:cs="Times New Roman"/>
          <w:b/>
          <w:bCs/>
          <w:sz w:val="24"/>
          <w:szCs w:val="24"/>
        </w:rPr>
        <w:t>B</w:t>
      </w:r>
      <w:r w:rsidRPr="004046EA">
        <w:rPr>
          <w:rFonts w:ascii="Times New Roman" w:hAnsi="Times New Roman" w:cs="Times New Roman"/>
          <w:sz w:val="24"/>
          <w:szCs w:val="24"/>
        </w:rPr>
        <w:t xml:space="preserve">) </w:t>
      </w:r>
      <w:r w:rsidR="00F83795" w:rsidRPr="004046EA">
        <w:rPr>
          <w:rFonts w:ascii="Times New Roman" w:hAnsi="Times New Roman" w:cs="Times New Roman"/>
          <w:sz w:val="24"/>
          <w:szCs w:val="24"/>
        </w:rPr>
        <w:t xml:space="preserve">Densitometry of the target protein bands shown in (A) and calculation of their relative densitometric ratios to </w:t>
      </w:r>
      <w:r w:rsidR="004014D7" w:rsidRPr="004046EA">
        <w:rPr>
          <w:rFonts w:ascii="Times New Roman" w:hAnsi="Times New Roman" w:cs="Times New Roman"/>
          <w:sz w:val="24"/>
          <w:szCs w:val="24"/>
        </w:rPr>
        <w:t>ACTB/</w:t>
      </w:r>
      <w:r w:rsidR="00F83795" w:rsidRPr="004046EA">
        <w:rPr>
          <w:rFonts w:ascii="Times New Roman" w:hAnsi="Times New Roman" w:cs="Times New Roman"/>
          <w:sz w:val="24"/>
          <w:szCs w:val="24"/>
        </w:rPr>
        <w:t>β-actin</w:t>
      </w:r>
      <w:r w:rsidRPr="004046EA">
        <w:rPr>
          <w:rFonts w:ascii="Times New Roman" w:hAnsi="Times New Roman" w:cs="Times New Roman"/>
          <w:sz w:val="24"/>
          <w:szCs w:val="24"/>
        </w:rPr>
        <w:t>.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 (</w:t>
      </w:r>
      <w:r w:rsidRPr="004046EA">
        <w:rPr>
          <w:rFonts w:ascii="Times New Roman" w:hAnsi="Times New Roman" w:cs="Times New Roman"/>
          <w:b/>
          <w:bCs/>
          <w:sz w:val="24"/>
          <w:szCs w:val="24"/>
        </w:rPr>
        <w:t>C</w:t>
      </w:r>
      <w:r w:rsidRPr="004046EA">
        <w:rPr>
          <w:rFonts w:ascii="Times New Roman" w:hAnsi="Times New Roman" w:cs="Times New Roman"/>
          <w:sz w:val="24"/>
          <w:szCs w:val="24"/>
        </w:rPr>
        <w:t>) PK-15 cells were infected and analyzed as described in (A). (</w:t>
      </w:r>
      <w:r w:rsidRPr="004046EA">
        <w:rPr>
          <w:rFonts w:ascii="Times New Roman" w:hAnsi="Times New Roman" w:cs="Times New Roman"/>
          <w:b/>
          <w:bCs/>
          <w:sz w:val="24"/>
          <w:szCs w:val="24"/>
        </w:rPr>
        <w:t>D</w:t>
      </w:r>
      <w:r w:rsidRPr="004046EA">
        <w:rPr>
          <w:rFonts w:ascii="Times New Roman" w:hAnsi="Times New Roman" w:cs="Times New Roman"/>
          <w:sz w:val="24"/>
          <w:szCs w:val="24"/>
        </w:rPr>
        <w:t xml:space="preserve">) </w:t>
      </w:r>
      <w:r w:rsidR="00F83795" w:rsidRPr="004046EA">
        <w:rPr>
          <w:rFonts w:ascii="Times New Roman" w:hAnsi="Times New Roman" w:cs="Times New Roman"/>
          <w:sz w:val="24"/>
          <w:szCs w:val="24"/>
        </w:rPr>
        <w:t>Densitometric analysis of the target protein bands shown in (C)</w:t>
      </w:r>
      <w:r w:rsidRPr="004046EA">
        <w:rPr>
          <w:rFonts w:ascii="Times New Roman" w:hAnsi="Times New Roman" w:cs="Times New Roman"/>
          <w:sz w:val="24"/>
          <w:szCs w:val="24"/>
        </w:rPr>
        <w:t>.</w:t>
      </w:r>
    </w:p>
    <w:p w14:paraId="19B447F6"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4CDAF708" w14:textId="39618FA2" w:rsidR="00BF6EFC" w:rsidRPr="004046EA" w:rsidRDefault="00F65DD4" w:rsidP="006F4798">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drawing>
          <wp:inline distT="0" distB="0" distL="0" distR="0" wp14:anchorId="6ED01483" wp14:editId="24DCC830">
            <wp:extent cx="5274310" cy="4064000"/>
            <wp:effectExtent l="0" t="0" r="2540" b="0"/>
            <wp:docPr id="105086690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866905" name="图片 105086690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4064000"/>
                    </a:xfrm>
                    <a:prstGeom prst="rect">
                      <a:avLst/>
                    </a:prstGeom>
                  </pic:spPr>
                </pic:pic>
              </a:graphicData>
            </a:graphic>
          </wp:inline>
        </w:drawing>
      </w:r>
    </w:p>
    <w:p w14:paraId="34396450" w14:textId="56D40EEC" w:rsidR="001C4686"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S2. </w:t>
      </w:r>
      <w:r w:rsidRPr="004046EA">
        <w:rPr>
          <w:rFonts w:ascii="Times New Roman" w:hAnsi="Times New Roman" w:cs="Times New Roman"/>
          <w:sz w:val="24"/>
          <w:szCs w:val="24"/>
        </w:rPr>
        <w:t>SVA infection promotes LC3 conversion and mitochondrial membrane protein degradation in IBRS-2 and ST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IBRS-2 cells were mock infected or infected with SVA</w:t>
      </w:r>
      <w:r w:rsidR="00D2457E" w:rsidRPr="004046EA">
        <w:rPr>
          <w:rFonts w:ascii="Times New Roman" w:hAnsi="Times New Roman" w:cs="Times New Roman"/>
          <w:sz w:val="24"/>
          <w:szCs w:val="24"/>
        </w:rPr>
        <w:t xml:space="preserve"> (</w:t>
      </w:r>
      <w:r w:rsidRPr="004046EA">
        <w:rPr>
          <w:rFonts w:ascii="Times New Roman" w:hAnsi="Times New Roman" w:cs="Times New Roman"/>
          <w:sz w:val="24"/>
          <w:szCs w:val="24"/>
        </w:rPr>
        <w:t>MOI</w:t>
      </w:r>
      <w:r w:rsidR="00D2457E" w:rsidRPr="004046EA">
        <w:rPr>
          <w:rFonts w:ascii="Times New Roman" w:hAnsi="Times New Roman" w:cs="Times New Roman"/>
          <w:sz w:val="24"/>
          <w:szCs w:val="24"/>
        </w:rPr>
        <w:t>=</w:t>
      </w:r>
      <w:r w:rsidRPr="004046EA">
        <w:rPr>
          <w:rFonts w:ascii="Times New Roman" w:hAnsi="Times New Roman" w:cs="Times New Roman"/>
          <w:sz w:val="24"/>
          <w:szCs w:val="24"/>
        </w:rPr>
        <w:t>0.1</w:t>
      </w:r>
      <w:r w:rsidR="00D2457E" w:rsidRPr="004046EA">
        <w:rPr>
          <w:rFonts w:ascii="Times New Roman" w:hAnsi="Times New Roman" w:cs="Times New Roman"/>
          <w:sz w:val="24"/>
          <w:szCs w:val="24"/>
        </w:rPr>
        <w:t>)</w:t>
      </w:r>
      <w:r w:rsidRPr="004046EA">
        <w:rPr>
          <w:rFonts w:ascii="Times New Roman" w:hAnsi="Times New Roman" w:cs="Times New Roman"/>
          <w:sz w:val="24"/>
          <w:szCs w:val="24"/>
        </w:rPr>
        <w:t xml:space="preserve">. At 0, 4, 8, and 12 </w:t>
      </w:r>
      <w:proofErr w:type="spellStart"/>
      <w:r w:rsidRPr="004046EA">
        <w:rPr>
          <w:rFonts w:ascii="Times New Roman" w:hAnsi="Times New Roman" w:cs="Times New Roman"/>
          <w:sz w:val="24"/>
          <w:szCs w:val="24"/>
        </w:rPr>
        <w:t>hpi</w:t>
      </w:r>
      <w:proofErr w:type="spellEnd"/>
      <w:r w:rsidRPr="004046EA">
        <w:rPr>
          <w:rFonts w:ascii="Times New Roman" w:hAnsi="Times New Roman" w:cs="Times New Roman"/>
          <w:sz w:val="24"/>
          <w:szCs w:val="24"/>
        </w:rPr>
        <w:t xml:space="preserve">, </w:t>
      </w:r>
      <w:r w:rsidR="00D2457E" w:rsidRPr="004046EA">
        <w:rPr>
          <w:rFonts w:ascii="Times New Roman" w:hAnsi="Times New Roman" w:cs="Times New Roman"/>
          <w:sz w:val="24"/>
          <w:szCs w:val="24"/>
        </w:rPr>
        <w:t xml:space="preserve">the </w:t>
      </w:r>
      <w:r w:rsidRPr="004046EA">
        <w:rPr>
          <w:rFonts w:ascii="Times New Roman" w:hAnsi="Times New Roman" w:cs="Times New Roman"/>
          <w:sz w:val="24"/>
          <w:szCs w:val="24"/>
        </w:rPr>
        <w:t xml:space="preserve">cells were </w:t>
      </w:r>
      <w:r w:rsidR="00D2457E"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Representative results are shown and similar results were obtained in three independent experiments. (</w:t>
      </w:r>
      <w:r w:rsidRPr="004046EA">
        <w:rPr>
          <w:rFonts w:ascii="Times New Roman" w:hAnsi="Times New Roman" w:cs="Times New Roman"/>
          <w:b/>
          <w:bCs/>
          <w:sz w:val="24"/>
          <w:szCs w:val="24"/>
        </w:rPr>
        <w:t>B</w:t>
      </w:r>
      <w:r w:rsidRPr="004046EA">
        <w:rPr>
          <w:rFonts w:ascii="Times New Roman" w:hAnsi="Times New Roman" w:cs="Times New Roman"/>
          <w:sz w:val="24"/>
          <w:szCs w:val="24"/>
        </w:rPr>
        <w:t xml:space="preserve">) </w:t>
      </w:r>
      <w:r w:rsidR="00D2457E" w:rsidRPr="004046EA">
        <w:rPr>
          <w:rFonts w:ascii="Times New Roman" w:hAnsi="Times New Roman" w:cs="Times New Roman"/>
          <w:sz w:val="24"/>
          <w:szCs w:val="24"/>
        </w:rPr>
        <w:t xml:space="preserve">Densitometry of the target protein bands shown in (A) and calculation of their relative densitometric ratios to </w:t>
      </w:r>
      <w:r w:rsidR="009C1DD2" w:rsidRPr="004046EA">
        <w:rPr>
          <w:rFonts w:ascii="Times New Roman" w:hAnsi="Times New Roman" w:cs="Times New Roman"/>
          <w:sz w:val="24"/>
          <w:szCs w:val="24"/>
        </w:rPr>
        <w:t>ACTB/</w:t>
      </w:r>
      <w:r w:rsidR="00D2457E" w:rsidRPr="004046EA">
        <w:rPr>
          <w:rFonts w:ascii="Times New Roman" w:hAnsi="Times New Roman" w:cs="Times New Roman"/>
          <w:sz w:val="24"/>
          <w:szCs w:val="24"/>
        </w:rPr>
        <w:t>β-actin.</w:t>
      </w:r>
      <w:r w:rsidRPr="004046EA">
        <w:rPr>
          <w:rFonts w:ascii="Times New Roman" w:hAnsi="Times New Roman" w:cs="Times New Roman"/>
          <w:sz w:val="24"/>
          <w:szCs w:val="24"/>
        </w:rPr>
        <w:t xml:space="preserve">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0.01;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 (</w:t>
      </w:r>
      <w:r w:rsidRPr="004046EA">
        <w:rPr>
          <w:rFonts w:ascii="Times New Roman" w:hAnsi="Times New Roman" w:cs="Times New Roman"/>
          <w:b/>
          <w:bCs/>
          <w:sz w:val="24"/>
          <w:szCs w:val="24"/>
        </w:rPr>
        <w:t>C</w:t>
      </w:r>
      <w:r w:rsidRPr="004046EA">
        <w:rPr>
          <w:rFonts w:ascii="Times New Roman" w:hAnsi="Times New Roman" w:cs="Times New Roman"/>
          <w:sz w:val="24"/>
          <w:szCs w:val="24"/>
        </w:rPr>
        <w:t>) ST cells were infected and analyzed as described in (A). (</w:t>
      </w:r>
      <w:r w:rsidRPr="004046EA">
        <w:rPr>
          <w:rFonts w:ascii="Times New Roman" w:hAnsi="Times New Roman" w:cs="Times New Roman"/>
          <w:b/>
          <w:bCs/>
          <w:sz w:val="24"/>
          <w:szCs w:val="24"/>
        </w:rPr>
        <w:t>D</w:t>
      </w:r>
      <w:r w:rsidRPr="004046EA">
        <w:rPr>
          <w:rFonts w:ascii="Times New Roman" w:hAnsi="Times New Roman" w:cs="Times New Roman"/>
          <w:sz w:val="24"/>
          <w:szCs w:val="24"/>
        </w:rPr>
        <w:t xml:space="preserve">) </w:t>
      </w:r>
      <w:r w:rsidR="00D2457E" w:rsidRPr="004046EA">
        <w:rPr>
          <w:rFonts w:ascii="Times New Roman" w:hAnsi="Times New Roman" w:cs="Times New Roman"/>
          <w:sz w:val="24"/>
          <w:szCs w:val="24"/>
        </w:rPr>
        <w:t>Densitometric analysis of the target protein bands shown in (C)</w:t>
      </w:r>
      <w:r w:rsidRPr="004046EA">
        <w:rPr>
          <w:rFonts w:ascii="Times New Roman" w:hAnsi="Times New Roman" w:cs="Times New Roman"/>
          <w:sz w:val="24"/>
          <w:szCs w:val="24"/>
        </w:rPr>
        <w:t>.</w:t>
      </w:r>
    </w:p>
    <w:p w14:paraId="18CA1088"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68980941" w14:textId="5AADDABA" w:rsidR="00BF6EFC" w:rsidRPr="004046EA" w:rsidRDefault="00F65DD4" w:rsidP="00C43E7D">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lastRenderedPageBreak/>
        <w:drawing>
          <wp:inline distT="0" distB="0" distL="0" distR="0" wp14:anchorId="5AACF274" wp14:editId="6505A6CC">
            <wp:extent cx="5274310" cy="8288655"/>
            <wp:effectExtent l="0" t="0" r="2540" b="0"/>
            <wp:docPr id="8092595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25958" name="图片 8092595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8288655"/>
                    </a:xfrm>
                    <a:prstGeom prst="rect">
                      <a:avLst/>
                    </a:prstGeom>
                  </pic:spPr>
                </pic:pic>
              </a:graphicData>
            </a:graphic>
          </wp:inline>
        </w:drawing>
      </w:r>
    </w:p>
    <w:p w14:paraId="1AE8DF1D" w14:textId="7ACD3502" w:rsidR="00DB17C4"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S3. </w:t>
      </w:r>
      <w:r w:rsidR="00F21919" w:rsidRPr="004046EA">
        <w:rPr>
          <w:rFonts w:ascii="Times New Roman" w:hAnsi="Times New Roman" w:cs="Times New Roman"/>
          <w:sz w:val="24"/>
          <w:szCs w:val="24"/>
        </w:rPr>
        <w:t xml:space="preserve">Densitometry of the target protein bands shown in </w:t>
      </w:r>
      <w:r w:rsidR="001632D2" w:rsidRPr="004046EA">
        <w:rPr>
          <w:rFonts w:ascii="Times New Roman" w:hAnsi="Times New Roman" w:cs="Times New Roman"/>
          <w:sz w:val="24"/>
          <w:szCs w:val="24"/>
        </w:rPr>
        <w:t>Figure 6D</w:t>
      </w:r>
      <w:r w:rsidR="00F21919" w:rsidRPr="004046EA">
        <w:rPr>
          <w:rFonts w:ascii="Times New Roman" w:hAnsi="Times New Roman" w:cs="Times New Roman"/>
          <w:sz w:val="24"/>
          <w:szCs w:val="24"/>
        </w:rPr>
        <w:t xml:space="preserve"> and calculation </w:t>
      </w:r>
      <w:r w:rsidR="00F21919" w:rsidRPr="004046EA">
        <w:rPr>
          <w:rFonts w:ascii="Times New Roman" w:hAnsi="Times New Roman" w:cs="Times New Roman"/>
          <w:sz w:val="24"/>
          <w:szCs w:val="24"/>
        </w:rPr>
        <w:lastRenderedPageBreak/>
        <w:t xml:space="preserve">of their relative densitometric ratios to </w:t>
      </w:r>
      <w:r w:rsidR="00DB17C4" w:rsidRPr="004046EA">
        <w:rPr>
          <w:rFonts w:ascii="Times New Roman" w:hAnsi="Times New Roman" w:cs="Times New Roman"/>
          <w:sz w:val="24"/>
          <w:szCs w:val="24"/>
        </w:rPr>
        <w:t>ACTB/</w:t>
      </w:r>
      <w:r w:rsidR="00F21919" w:rsidRPr="004046EA">
        <w:rPr>
          <w:rFonts w:ascii="Times New Roman" w:hAnsi="Times New Roman" w:cs="Times New Roman"/>
          <w:sz w:val="24"/>
          <w:szCs w:val="24"/>
        </w:rPr>
        <w:t>β-actin</w:t>
      </w:r>
      <w:r w:rsidRPr="004046EA">
        <w:rPr>
          <w:rFonts w:ascii="Times New Roman" w:hAnsi="Times New Roman" w:cs="Times New Roman"/>
          <w:sz w:val="24"/>
          <w:szCs w:val="24"/>
        </w:rPr>
        <w:t>.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w:t>
      </w:r>
      <w:r w:rsidR="009C1DD2" w:rsidRPr="004046EA">
        <w:rPr>
          <w:rFonts w:ascii="Times New Roman" w:hAnsi="Times New Roman" w:cs="Times New Roman"/>
          <w:sz w:val="24"/>
          <w:szCs w:val="24"/>
        </w:rPr>
        <w:t xml:space="preserve"> </w:t>
      </w:r>
    </w:p>
    <w:p w14:paraId="2D778696" w14:textId="77777777" w:rsidR="00DB17C4" w:rsidRPr="004046EA" w:rsidRDefault="00DB17C4">
      <w:pPr>
        <w:widowControl/>
        <w:jc w:val="left"/>
        <w:rPr>
          <w:rFonts w:ascii="Times New Roman" w:hAnsi="Times New Roman" w:cs="Times New Roman"/>
          <w:sz w:val="24"/>
          <w:szCs w:val="24"/>
        </w:rPr>
      </w:pPr>
      <w:r w:rsidRPr="004046EA">
        <w:rPr>
          <w:rFonts w:ascii="Times New Roman" w:hAnsi="Times New Roman" w:cs="Times New Roman"/>
          <w:sz w:val="24"/>
          <w:szCs w:val="24"/>
        </w:rPr>
        <w:br w:type="page"/>
      </w:r>
    </w:p>
    <w:p w14:paraId="72C42DBB"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5C2F58D5" w14:textId="3C0662CB" w:rsidR="00BF6EFC" w:rsidRPr="004046EA" w:rsidRDefault="00F65DD4" w:rsidP="009C3338">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drawing>
          <wp:inline distT="0" distB="0" distL="0" distR="0" wp14:anchorId="5C08CA74" wp14:editId="385D0E98">
            <wp:extent cx="5274310" cy="4496435"/>
            <wp:effectExtent l="0" t="0" r="2540" b="0"/>
            <wp:docPr id="149531820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318200" name="图片 14953182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4496435"/>
                    </a:xfrm>
                    <a:prstGeom prst="rect">
                      <a:avLst/>
                    </a:prstGeom>
                  </pic:spPr>
                </pic:pic>
              </a:graphicData>
            </a:graphic>
          </wp:inline>
        </w:drawing>
      </w:r>
    </w:p>
    <w:p w14:paraId="6B1B42BC" w14:textId="2B7539E1" w:rsidR="001C4686"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S4. </w:t>
      </w:r>
      <w:r w:rsidRPr="004046EA">
        <w:rPr>
          <w:rFonts w:ascii="Times New Roman" w:hAnsi="Times New Roman" w:cs="Times New Roman"/>
          <w:sz w:val="24"/>
          <w:szCs w:val="24"/>
        </w:rPr>
        <w:t>Single proteins of VP2, VP3, 2C, and 3A can independently induce mitophagy in PK-15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xml:space="preserve">) PK-15 cells were co-transfected with pEGFP-N2-LC3 and each of the recombinant </w:t>
      </w:r>
      <w:proofErr w:type="spellStart"/>
      <w:r w:rsidRPr="004046EA">
        <w:rPr>
          <w:rFonts w:ascii="Times New Roman" w:hAnsi="Times New Roman" w:cs="Times New Roman"/>
          <w:sz w:val="24"/>
          <w:szCs w:val="24"/>
        </w:rPr>
        <w:t>pCAGGS</w:t>
      </w:r>
      <w:proofErr w:type="spellEnd"/>
      <w:r w:rsidRPr="004046EA">
        <w:rPr>
          <w:rFonts w:ascii="Times New Roman" w:hAnsi="Times New Roman" w:cs="Times New Roman"/>
          <w:sz w:val="24"/>
          <w:szCs w:val="24"/>
        </w:rPr>
        <w:t xml:space="preserve">-HA plasmids expressing HA-tagged SVA proteins. At 24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xml:space="preserve">, the cells were </w:t>
      </w:r>
      <w:r w:rsidR="00F2154A"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confocal immunofluorescence analysis using anti-HA </w:t>
      </w:r>
      <w:proofErr w:type="spellStart"/>
      <w:r w:rsidRPr="004046EA">
        <w:rPr>
          <w:rFonts w:ascii="Times New Roman" w:hAnsi="Times New Roman" w:cs="Times New Roman"/>
          <w:sz w:val="24"/>
          <w:szCs w:val="24"/>
        </w:rPr>
        <w:t>mAb</w:t>
      </w:r>
      <w:proofErr w:type="spellEnd"/>
      <w:r w:rsidR="00F2154A" w:rsidRPr="004046EA">
        <w:rPr>
          <w:rFonts w:ascii="Times New Roman" w:hAnsi="Times New Roman" w:cs="Times New Roman"/>
          <w:sz w:val="24"/>
          <w:szCs w:val="24"/>
        </w:rPr>
        <w:t xml:space="preserve"> and Alexa Fluor 568-conjugated goat anti-mouse IgG as the primary and secondary antibodies, respectively</w:t>
      </w:r>
      <w:r w:rsidRPr="004046EA">
        <w:rPr>
          <w:rFonts w:ascii="Times New Roman" w:hAnsi="Times New Roman" w:cs="Times New Roman"/>
          <w:sz w:val="24"/>
          <w:szCs w:val="24"/>
        </w:rPr>
        <w:t>. Cell nuclei were counterstained with DAPI. The right panel</w:t>
      </w:r>
      <w:r w:rsidRPr="004046EA">
        <w:rPr>
          <w:rFonts w:ascii="Times New Roman" w:hAnsi="Times New Roman" w:cs="Times New Roman" w:hint="eastAsia"/>
          <w:sz w:val="24"/>
          <w:szCs w:val="24"/>
        </w:rPr>
        <w:t>s</w:t>
      </w:r>
      <w:r w:rsidRPr="004046EA">
        <w:rPr>
          <w:rFonts w:ascii="Times New Roman" w:hAnsi="Times New Roman" w:cs="Times New Roman"/>
          <w:sz w:val="24"/>
          <w:szCs w:val="24"/>
        </w:rPr>
        <w:t xml:space="preserve"> show the fluorescence intensity profile of EGFP-LC3 (green) and HA-tagged SVA proteins (red) measured along the line drawn by ImageJ. Representative results are shown</w:t>
      </w:r>
      <w:r w:rsidR="001A643D" w:rsidRPr="004046EA">
        <w:rPr>
          <w:rFonts w:ascii="Times New Roman" w:hAnsi="Times New Roman" w:cs="Times New Roman"/>
          <w:sz w:val="24"/>
          <w:szCs w:val="24"/>
        </w:rPr>
        <w:t>,</w:t>
      </w:r>
      <w:r w:rsidRPr="004046EA">
        <w:rPr>
          <w:rFonts w:ascii="Times New Roman" w:hAnsi="Times New Roman" w:cs="Times New Roman"/>
          <w:sz w:val="24"/>
          <w:szCs w:val="24"/>
        </w:rPr>
        <w:t xml:space="preserve"> and similar results were obtained in three independent experiments. Scale bar: 10 </w:t>
      </w:r>
      <w:proofErr w:type="spellStart"/>
      <w:r w:rsidRPr="004046EA">
        <w:rPr>
          <w:rFonts w:ascii="Times New Roman" w:hAnsi="Times New Roman" w:cs="Times New Roman"/>
          <w:sz w:val="24"/>
          <w:szCs w:val="24"/>
        </w:rPr>
        <w:t>μm</w:t>
      </w:r>
      <w:proofErr w:type="spellEnd"/>
      <w:r w:rsidRPr="004046EA">
        <w:rPr>
          <w:rFonts w:ascii="Times New Roman" w:hAnsi="Times New Roman" w:cs="Times New Roman"/>
          <w:sz w:val="24"/>
          <w:szCs w:val="24"/>
        </w:rPr>
        <w:t>. (</w:t>
      </w:r>
      <w:r w:rsidRPr="004046EA">
        <w:rPr>
          <w:rFonts w:ascii="Times New Roman" w:hAnsi="Times New Roman" w:cs="Times New Roman"/>
          <w:b/>
          <w:bCs/>
          <w:sz w:val="24"/>
          <w:szCs w:val="24"/>
        </w:rPr>
        <w:t>B</w:t>
      </w:r>
      <w:r w:rsidRPr="004046EA">
        <w:rPr>
          <w:rFonts w:ascii="Times New Roman" w:hAnsi="Times New Roman" w:cs="Times New Roman"/>
          <w:sz w:val="24"/>
          <w:szCs w:val="24"/>
        </w:rPr>
        <w:t>) PK-15 cells were mock transfected or transfected with empty vector (</w:t>
      </w:r>
      <w:proofErr w:type="spellStart"/>
      <w:r w:rsidRPr="004046EA">
        <w:rPr>
          <w:rFonts w:ascii="Times New Roman" w:hAnsi="Times New Roman" w:cs="Times New Roman"/>
          <w:sz w:val="24"/>
          <w:szCs w:val="24"/>
        </w:rPr>
        <w:t>pCAGGS</w:t>
      </w:r>
      <w:proofErr w:type="spellEnd"/>
      <w:r w:rsidRPr="004046EA">
        <w:rPr>
          <w:rFonts w:ascii="Times New Roman" w:hAnsi="Times New Roman" w:cs="Times New Roman"/>
          <w:sz w:val="24"/>
          <w:szCs w:val="24"/>
        </w:rPr>
        <w:t xml:space="preserve">-HA) or with 1, 2, and 3 µg/well of each of the </w:t>
      </w:r>
      <w:r w:rsidRPr="004046EA">
        <w:rPr>
          <w:rFonts w:ascii="Times New Roman" w:hAnsi="Times New Roman" w:cs="Times New Roman"/>
          <w:sz w:val="24"/>
          <w:szCs w:val="24"/>
        </w:rPr>
        <w:lastRenderedPageBreak/>
        <w:t xml:space="preserve">recombinant plasmids pCAGGS-HA-VP2, pCAGGS-HA-VP3, pCAGGS-HA-2B, pCAGGS-HA-2C, and pCAGGS-HA-3A. At 36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xml:space="preserve">, the cells were </w:t>
      </w:r>
      <w:r w:rsidR="00F2154A"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Representative results are shown and similar results were obtained in three independent experiments.</w:t>
      </w:r>
    </w:p>
    <w:p w14:paraId="0FDC2468"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44AE02BD" w14:textId="4BFDF2CD" w:rsidR="00603EFE" w:rsidRPr="004046EA" w:rsidRDefault="00F65DD4" w:rsidP="00D87D86">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lastRenderedPageBreak/>
        <w:drawing>
          <wp:inline distT="0" distB="0" distL="0" distR="0" wp14:anchorId="68587D82" wp14:editId="663C74E3">
            <wp:extent cx="5274310" cy="8379460"/>
            <wp:effectExtent l="0" t="0" r="2540" b="2540"/>
            <wp:docPr id="17864762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476214" name="图片 178647621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8379460"/>
                    </a:xfrm>
                    <a:prstGeom prst="rect">
                      <a:avLst/>
                    </a:prstGeom>
                  </pic:spPr>
                </pic:pic>
              </a:graphicData>
            </a:graphic>
          </wp:inline>
        </w:drawing>
      </w:r>
    </w:p>
    <w:p w14:paraId="0B6D51DF" w14:textId="1649D8AA" w:rsidR="00DB17C4"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S5. </w:t>
      </w:r>
      <w:r w:rsidR="004E0001" w:rsidRPr="004046EA">
        <w:rPr>
          <w:rFonts w:ascii="Times New Roman" w:hAnsi="Times New Roman" w:cs="Times New Roman"/>
          <w:sz w:val="24"/>
          <w:szCs w:val="24"/>
        </w:rPr>
        <w:t xml:space="preserve">Densitometry of the target protein bands shown in Fig. S4B and calculation </w:t>
      </w:r>
      <w:r w:rsidR="004E0001" w:rsidRPr="004046EA">
        <w:rPr>
          <w:rFonts w:ascii="Times New Roman" w:hAnsi="Times New Roman" w:cs="Times New Roman"/>
          <w:sz w:val="24"/>
          <w:szCs w:val="24"/>
        </w:rPr>
        <w:lastRenderedPageBreak/>
        <w:t xml:space="preserve">of their relative densitometric ratios to </w:t>
      </w:r>
      <w:r w:rsidR="009C1DD2" w:rsidRPr="004046EA">
        <w:rPr>
          <w:rFonts w:ascii="Times New Roman" w:hAnsi="Times New Roman" w:cs="Times New Roman"/>
          <w:sz w:val="24"/>
          <w:szCs w:val="24"/>
        </w:rPr>
        <w:t>ACTB/</w:t>
      </w:r>
      <w:r w:rsidR="004E0001" w:rsidRPr="004046EA">
        <w:rPr>
          <w:rFonts w:ascii="Times New Roman" w:hAnsi="Times New Roman" w:cs="Times New Roman"/>
          <w:sz w:val="24"/>
          <w:szCs w:val="24"/>
        </w:rPr>
        <w:t>β-actin</w:t>
      </w:r>
      <w:r w:rsidRPr="004046EA">
        <w:rPr>
          <w:rFonts w:ascii="Times New Roman" w:hAnsi="Times New Roman" w:cs="Times New Roman"/>
          <w:sz w:val="24"/>
          <w:szCs w:val="24"/>
        </w:rPr>
        <w:t>.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0.05;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w:t>
      </w:r>
    </w:p>
    <w:p w14:paraId="2A09C0BC" w14:textId="77777777" w:rsidR="00DB17C4" w:rsidRPr="004046EA" w:rsidRDefault="00DB17C4">
      <w:pPr>
        <w:widowControl/>
        <w:jc w:val="left"/>
        <w:rPr>
          <w:rFonts w:ascii="Times New Roman" w:hAnsi="Times New Roman" w:cs="Times New Roman"/>
          <w:sz w:val="24"/>
          <w:szCs w:val="24"/>
        </w:rPr>
      </w:pPr>
      <w:r w:rsidRPr="004046EA">
        <w:rPr>
          <w:rFonts w:ascii="Times New Roman" w:hAnsi="Times New Roman" w:cs="Times New Roman"/>
          <w:sz w:val="24"/>
          <w:szCs w:val="24"/>
        </w:rPr>
        <w:br w:type="page"/>
      </w:r>
    </w:p>
    <w:p w14:paraId="7BEA924D"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0ECAEDF8" w14:textId="4ED048A1" w:rsidR="00603EFE" w:rsidRPr="004046EA" w:rsidRDefault="00F65DD4" w:rsidP="005A59BE">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drawing>
          <wp:inline distT="0" distB="0" distL="0" distR="0" wp14:anchorId="277F1FB5" wp14:editId="705ACB77">
            <wp:extent cx="5274310" cy="4572000"/>
            <wp:effectExtent l="0" t="0" r="2540" b="0"/>
            <wp:docPr id="14334691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469135" name="图片 143346913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4572000"/>
                    </a:xfrm>
                    <a:prstGeom prst="rect">
                      <a:avLst/>
                    </a:prstGeom>
                  </pic:spPr>
                </pic:pic>
              </a:graphicData>
            </a:graphic>
          </wp:inline>
        </w:drawing>
      </w:r>
    </w:p>
    <w:p w14:paraId="70FBA050" w14:textId="4B3A43F4" w:rsidR="001C4686" w:rsidRPr="004046EA" w:rsidRDefault="001C4686" w:rsidP="00BF6EFC">
      <w:pPr>
        <w:adjustRightInd w:val="0"/>
        <w:snapToGrid w:val="0"/>
        <w:spacing w:line="480" w:lineRule="auto"/>
        <w:rPr>
          <w:rFonts w:ascii="Times New Roman" w:hAnsi="Times New Roman" w:cs="Times New Roman"/>
          <w:color w:val="000000" w:themeColor="text1"/>
          <w:sz w:val="24"/>
          <w:szCs w:val="24"/>
        </w:rPr>
      </w:pPr>
      <w:r w:rsidRPr="004046EA">
        <w:rPr>
          <w:rFonts w:ascii="Times New Roman" w:hAnsi="Times New Roman" w:cs="Times New Roman"/>
          <w:b/>
          <w:bCs/>
          <w:sz w:val="24"/>
          <w:szCs w:val="24"/>
        </w:rPr>
        <w:t xml:space="preserve">Figure S6. </w:t>
      </w:r>
      <w:r w:rsidRPr="004046EA">
        <w:rPr>
          <w:rFonts w:ascii="Times New Roman" w:hAnsi="Times New Roman" w:cs="Times New Roman"/>
          <w:sz w:val="24"/>
          <w:szCs w:val="24"/>
        </w:rPr>
        <w:t>Prokaryotic expression, purification, and identification of TUFM, 2C, and Beclin1 proteins. (</w:t>
      </w:r>
      <w:r w:rsidRPr="004046EA">
        <w:rPr>
          <w:rFonts w:ascii="Times New Roman" w:hAnsi="Times New Roman" w:cs="Times New Roman"/>
          <w:b/>
          <w:bCs/>
          <w:sz w:val="24"/>
          <w:szCs w:val="24"/>
        </w:rPr>
        <w:t>A</w:t>
      </w:r>
      <w:r w:rsidRPr="004046EA">
        <w:rPr>
          <w:rFonts w:ascii="Times New Roman" w:hAnsi="Times New Roman" w:cs="Times New Roman"/>
          <w:sz w:val="24"/>
          <w:szCs w:val="24"/>
        </w:rPr>
        <w:t xml:space="preserve">) pET-28a-Strep II-TUFM and pET-28a-Strep II were individually transformed into </w:t>
      </w:r>
      <w:r w:rsidRPr="004046EA">
        <w:rPr>
          <w:rFonts w:ascii="Times New Roman" w:hAnsi="Times New Roman" w:cs="Times New Roman"/>
          <w:i/>
          <w:iCs/>
          <w:sz w:val="24"/>
          <w:szCs w:val="24"/>
        </w:rPr>
        <w:t>E. coli</w:t>
      </w:r>
      <w:r w:rsidRPr="004046EA">
        <w:rPr>
          <w:rFonts w:ascii="Times New Roman" w:hAnsi="Times New Roman" w:cs="Times New Roman"/>
          <w:sz w:val="24"/>
          <w:szCs w:val="24"/>
        </w:rPr>
        <w:t xml:space="preserve"> BL21 competent cells, which were then induced with 0.5 mM IPTG for 6 h at 37°C, 12 h at 25°C, and 24 h at 16°C. Both supernatant and precipitate of the bacterial lysates were analyzed by SDS-PAGE. The red asterisk indicates the highest expression level of soluble Strep II-tagged TUFM protein. (</w:t>
      </w:r>
      <w:r w:rsidRPr="004046EA">
        <w:rPr>
          <w:rFonts w:ascii="Times New Roman" w:hAnsi="Times New Roman" w:cs="Times New Roman"/>
          <w:b/>
          <w:bCs/>
          <w:sz w:val="24"/>
          <w:szCs w:val="24"/>
        </w:rPr>
        <w:t>B</w:t>
      </w:r>
      <w:r w:rsidRPr="004046EA">
        <w:rPr>
          <w:rFonts w:ascii="Times New Roman" w:hAnsi="Times New Roman" w:cs="Times New Roman"/>
          <w:sz w:val="24"/>
          <w:szCs w:val="24"/>
        </w:rPr>
        <w:t xml:space="preserve">) Strep II-TUFM fusion protein was purified from the supernatant of bacterial lysates using </w:t>
      </w:r>
      <w:proofErr w:type="spellStart"/>
      <w:r w:rsidRPr="004046EA">
        <w:rPr>
          <w:rFonts w:ascii="Times New Roman" w:hAnsi="Times New Roman" w:cs="Times New Roman"/>
          <w:sz w:val="24"/>
          <w:szCs w:val="24"/>
        </w:rPr>
        <w:t>Streptactin</w:t>
      </w:r>
      <w:proofErr w:type="spellEnd"/>
      <w:r w:rsidRPr="004046EA">
        <w:rPr>
          <w:rFonts w:ascii="Times New Roman" w:hAnsi="Times New Roman" w:cs="Times New Roman"/>
          <w:sz w:val="24"/>
          <w:szCs w:val="24"/>
        </w:rPr>
        <w:t xml:space="preserve"> Beads 4FF and then analyzed by SDS-PAGE. (</w:t>
      </w:r>
      <w:r w:rsidRPr="004046EA">
        <w:rPr>
          <w:rFonts w:ascii="Times New Roman" w:hAnsi="Times New Roman" w:cs="Times New Roman"/>
          <w:b/>
          <w:bCs/>
          <w:sz w:val="24"/>
          <w:szCs w:val="24"/>
        </w:rPr>
        <w:t>C</w:t>
      </w:r>
      <w:r w:rsidRPr="004046EA">
        <w:rPr>
          <w:rFonts w:ascii="Times New Roman" w:hAnsi="Times New Roman" w:cs="Times New Roman"/>
          <w:sz w:val="24"/>
          <w:szCs w:val="24"/>
        </w:rPr>
        <w:t>) Western blot analysis of the purified Strep Ⅱ-TUFM protein using primary antibodies against Strep II and TUFM, along with bovine serum albumin (BSA) as an unrelated protein control. (</w:t>
      </w:r>
      <w:r w:rsidRPr="004046EA">
        <w:rPr>
          <w:rFonts w:ascii="Times New Roman" w:hAnsi="Times New Roman" w:cs="Times New Roman"/>
          <w:b/>
          <w:bCs/>
          <w:sz w:val="24"/>
          <w:szCs w:val="24"/>
        </w:rPr>
        <w:t>D</w:t>
      </w:r>
      <w:r w:rsidRPr="004046EA">
        <w:rPr>
          <w:rFonts w:ascii="Times New Roman" w:hAnsi="Times New Roman" w:cs="Times New Roman"/>
          <w:sz w:val="24"/>
          <w:szCs w:val="24"/>
        </w:rPr>
        <w:t xml:space="preserve">) pET-30a-GST-2C and pET-30a-GST were individually transformed into </w:t>
      </w:r>
      <w:r w:rsidRPr="004046EA">
        <w:rPr>
          <w:rFonts w:ascii="Times New Roman" w:hAnsi="Times New Roman" w:cs="Times New Roman"/>
          <w:i/>
          <w:iCs/>
          <w:sz w:val="24"/>
          <w:szCs w:val="24"/>
        </w:rPr>
        <w:t>E. coli</w:t>
      </w:r>
      <w:r w:rsidRPr="004046EA">
        <w:rPr>
          <w:rFonts w:ascii="Times New Roman" w:hAnsi="Times New Roman" w:cs="Times New Roman"/>
          <w:sz w:val="24"/>
          <w:szCs w:val="24"/>
        </w:rPr>
        <w:t xml:space="preserve"> BL21 competent cells, which </w:t>
      </w:r>
      <w:r w:rsidRPr="004046EA">
        <w:rPr>
          <w:rFonts w:ascii="Times New Roman" w:hAnsi="Times New Roman" w:cs="Times New Roman"/>
          <w:sz w:val="24"/>
          <w:szCs w:val="24"/>
        </w:rPr>
        <w:lastRenderedPageBreak/>
        <w:t>were then induced with 0.5 mM IPTG for 12 h at 25°C. The whole-bacterial lysates were analyzed by SDS-PAGE. The red asterisk indicates the target protein of GST-2C. (</w:t>
      </w:r>
      <w:r w:rsidRPr="004046EA">
        <w:rPr>
          <w:rFonts w:ascii="Times New Roman" w:hAnsi="Times New Roman" w:cs="Times New Roman"/>
          <w:b/>
          <w:bCs/>
          <w:sz w:val="24"/>
          <w:szCs w:val="24"/>
        </w:rPr>
        <w:t>E</w:t>
      </w:r>
      <w:r w:rsidRPr="004046EA">
        <w:rPr>
          <w:rFonts w:ascii="Times New Roman" w:hAnsi="Times New Roman" w:cs="Times New Roman"/>
          <w:sz w:val="24"/>
          <w:szCs w:val="24"/>
        </w:rPr>
        <w:t>) GST-2C fusion protein was purified from the precipitate of bacterial lysates using Glutathione-Sepharose 4B bead column and then analyzed by SDS-PAGE. (</w:t>
      </w:r>
      <w:r w:rsidRPr="004046EA">
        <w:rPr>
          <w:rFonts w:ascii="Times New Roman" w:hAnsi="Times New Roman" w:cs="Times New Roman"/>
          <w:b/>
          <w:bCs/>
          <w:sz w:val="24"/>
          <w:szCs w:val="24"/>
        </w:rPr>
        <w:t>F</w:t>
      </w:r>
      <w:r w:rsidRPr="004046EA">
        <w:rPr>
          <w:rFonts w:ascii="Times New Roman" w:hAnsi="Times New Roman" w:cs="Times New Roman"/>
          <w:sz w:val="24"/>
          <w:szCs w:val="24"/>
        </w:rPr>
        <w:t>) Western blot analysis of the purified GST-2C protein using a</w:t>
      </w:r>
      <w:r w:rsidR="00972C26" w:rsidRPr="004046EA">
        <w:rPr>
          <w:rFonts w:ascii="Times New Roman" w:hAnsi="Times New Roman" w:cs="Times New Roman"/>
          <w:sz w:val="24"/>
          <w:szCs w:val="24"/>
        </w:rPr>
        <w:t>nti-GST</w:t>
      </w:r>
      <w:r w:rsidRPr="004046EA">
        <w:rPr>
          <w:rFonts w:ascii="Times New Roman" w:hAnsi="Times New Roman" w:cs="Times New Roman"/>
          <w:sz w:val="24"/>
          <w:szCs w:val="24"/>
        </w:rPr>
        <w:t xml:space="preserve"> primary antibody. (</w:t>
      </w:r>
      <w:r w:rsidRPr="004046EA">
        <w:rPr>
          <w:rFonts w:ascii="Times New Roman" w:hAnsi="Times New Roman" w:cs="Times New Roman"/>
          <w:b/>
          <w:bCs/>
          <w:sz w:val="24"/>
          <w:szCs w:val="24"/>
        </w:rPr>
        <w:t>G</w:t>
      </w:r>
      <w:r w:rsidRPr="004046EA">
        <w:rPr>
          <w:rFonts w:ascii="Times New Roman" w:hAnsi="Times New Roman" w:cs="Times New Roman"/>
          <w:sz w:val="24"/>
          <w:szCs w:val="24"/>
        </w:rPr>
        <w:t>) pET-30a-His-B</w:t>
      </w:r>
      <w:r w:rsidR="00767278" w:rsidRPr="004046EA">
        <w:rPr>
          <w:rFonts w:ascii="Times New Roman" w:hAnsi="Times New Roman" w:cs="Times New Roman"/>
          <w:sz w:val="24"/>
          <w:szCs w:val="24"/>
        </w:rPr>
        <w:t>ECN</w:t>
      </w:r>
      <w:r w:rsidRPr="004046EA">
        <w:rPr>
          <w:rFonts w:ascii="Times New Roman" w:hAnsi="Times New Roman" w:cs="Times New Roman"/>
          <w:sz w:val="24"/>
          <w:szCs w:val="24"/>
        </w:rPr>
        <w:t xml:space="preserve">1 and pET-30a-His were individually transformed into </w:t>
      </w:r>
      <w:r w:rsidRPr="004046EA">
        <w:rPr>
          <w:rFonts w:ascii="Times New Roman" w:hAnsi="Times New Roman" w:cs="Times New Roman"/>
          <w:i/>
          <w:iCs/>
          <w:sz w:val="24"/>
          <w:szCs w:val="24"/>
        </w:rPr>
        <w:t>E. coli</w:t>
      </w:r>
      <w:r w:rsidRPr="004046EA">
        <w:rPr>
          <w:rFonts w:ascii="Times New Roman" w:hAnsi="Times New Roman" w:cs="Times New Roman"/>
          <w:sz w:val="24"/>
          <w:szCs w:val="24"/>
        </w:rPr>
        <w:t xml:space="preserve"> BL21 competent cells, which were then induced with 0.5 mM IPTG for 12 h at 25°C. The whole-bacterial lysates were analyzed by SDS-PAGE. The red asterisk indicates the target protein of His-</w:t>
      </w:r>
      <w:r w:rsidR="00AF562B" w:rsidRPr="004046EA">
        <w:rPr>
          <w:rFonts w:ascii="Times New Roman" w:hAnsi="Times New Roman" w:cs="Times New Roman"/>
          <w:sz w:val="24"/>
          <w:szCs w:val="24"/>
        </w:rPr>
        <w:t>BECN1</w:t>
      </w:r>
      <w:r w:rsidRPr="004046EA">
        <w:rPr>
          <w:rFonts w:ascii="Times New Roman" w:hAnsi="Times New Roman" w:cs="Times New Roman"/>
          <w:sz w:val="24"/>
          <w:szCs w:val="24"/>
        </w:rPr>
        <w:t>. (</w:t>
      </w:r>
      <w:r w:rsidRPr="004046EA">
        <w:rPr>
          <w:rFonts w:ascii="Times New Roman" w:hAnsi="Times New Roman" w:cs="Times New Roman"/>
          <w:b/>
          <w:bCs/>
          <w:sz w:val="24"/>
          <w:szCs w:val="24"/>
        </w:rPr>
        <w:t>H</w:t>
      </w:r>
      <w:r w:rsidRPr="004046EA">
        <w:rPr>
          <w:rFonts w:ascii="Times New Roman" w:hAnsi="Times New Roman" w:cs="Times New Roman"/>
          <w:sz w:val="24"/>
          <w:szCs w:val="24"/>
        </w:rPr>
        <w:t>) His-</w:t>
      </w:r>
      <w:r w:rsidR="00AF562B" w:rsidRPr="004046EA">
        <w:rPr>
          <w:rFonts w:ascii="Times New Roman" w:hAnsi="Times New Roman" w:cs="Times New Roman"/>
          <w:sz w:val="24"/>
          <w:szCs w:val="24"/>
        </w:rPr>
        <w:t>BECN1</w:t>
      </w:r>
      <w:r w:rsidRPr="004046EA">
        <w:rPr>
          <w:rFonts w:ascii="Times New Roman" w:hAnsi="Times New Roman" w:cs="Times New Roman"/>
          <w:sz w:val="24"/>
          <w:szCs w:val="24"/>
        </w:rPr>
        <w:t xml:space="preserve"> fusion protein was purified from the precipitate of bacterial lysates using Ni-NTA agarose beads and then analyzed by SDS-PAGE. (</w:t>
      </w:r>
      <w:r w:rsidRPr="004046EA">
        <w:rPr>
          <w:rFonts w:ascii="Times New Roman" w:hAnsi="Times New Roman" w:cs="Times New Roman"/>
          <w:b/>
          <w:bCs/>
          <w:sz w:val="24"/>
          <w:szCs w:val="24"/>
        </w:rPr>
        <w:t>I</w:t>
      </w:r>
      <w:r w:rsidRPr="004046EA">
        <w:rPr>
          <w:rFonts w:ascii="Times New Roman" w:hAnsi="Times New Roman" w:cs="Times New Roman"/>
          <w:sz w:val="24"/>
          <w:szCs w:val="24"/>
        </w:rPr>
        <w:t>) Western blot analysis of the purified His-</w:t>
      </w:r>
      <w:r w:rsidR="00AF562B" w:rsidRPr="004046EA">
        <w:rPr>
          <w:rFonts w:ascii="Times New Roman" w:hAnsi="Times New Roman" w:cs="Times New Roman"/>
          <w:sz w:val="24"/>
          <w:szCs w:val="24"/>
        </w:rPr>
        <w:t>BECN1</w:t>
      </w:r>
      <w:r w:rsidRPr="004046EA">
        <w:rPr>
          <w:rFonts w:ascii="Times New Roman" w:hAnsi="Times New Roman" w:cs="Times New Roman"/>
          <w:sz w:val="24"/>
          <w:szCs w:val="24"/>
        </w:rPr>
        <w:t xml:space="preserve"> protein using primary antibodies against His and </w:t>
      </w:r>
      <w:r w:rsidR="00AF562B" w:rsidRPr="004046EA">
        <w:rPr>
          <w:rFonts w:ascii="Times New Roman" w:hAnsi="Times New Roman" w:cs="Times New Roman"/>
          <w:sz w:val="24"/>
          <w:szCs w:val="24"/>
        </w:rPr>
        <w:t>BECN1</w:t>
      </w:r>
      <w:r w:rsidRPr="004046EA">
        <w:rPr>
          <w:rFonts w:ascii="Times New Roman" w:hAnsi="Times New Roman" w:cs="Times New Roman"/>
          <w:sz w:val="24"/>
          <w:szCs w:val="24"/>
        </w:rPr>
        <w:t xml:space="preserve">. </w:t>
      </w:r>
      <w:r w:rsidRPr="004046EA">
        <w:rPr>
          <w:rFonts w:ascii="Times New Roman" w:hAnsi="Times New Roman" w:cs="Times New Roman"/>
          <w:color w:val="000000" w:themeColor="text1"/>
          <w:sz w:val="24"/>
          <w:szCs w:val="24"/>
        </w:rPr>
        <w:t>(</w:t>
      </w:r>
      <w:r w:rsidRPr="004046EA">
        <w:rPr>
          <w:rFonts w:ascii="Times New Roman" w:hAnsi="Times New Roman" w:cs="Times New Roman"/>
          <w:b/>
          <w:bCs/>
          <w:color w:val="000000" w:themeColor="text1"/>
          <w:sz w:val="24"/>
          <w:szCs w:val="24"/>
        </w:rPr>
        <w:t>J</w:t>
      </w:r>
      <w:r w:rsidRPr="004046EA">
        <w:rPr>
          <w:rFonts w:ascii="Times New Roman" w:hAnsi="Times New Roman" w:cs="Times New Roman"/>
          <w:color w:val="000000" w:themeColor="text1"/>
          <w:sz w:val="24"/>
          <w:szCs w:val="24"/>
        </w:rPr>
        <w:t>) Determination of protein purity for the purified Strep II-TUFM, GST, GST-2C, and His-</w:t>
      </w:r>
      <w:r w:rsidR="00AF562B" w:rsidRPr="004046EA">
        <w:rPr>
          <w:rFonts w:ascii="Times New Roman" w:hAnsi="Times New Roman" w:cs="Times New Roman"/>
          <w:color w:val="000000" w:themeColor="text1"/>
          <w:sz w:val="24"/>
          <w:szCs w:val="24"/>
        </w:rPr>
        <w:t>BECN1</w:t>
      </w:r>
      <w:r w:rsidR="00AF562B" w:rsidRPr="004046EA" w:rsidDel="00AF562B">
        <w:rPr>
          <w:rFonts w:ascii="Times New Roman" w:hAnsi="Times New Roman" w:cs="Times New Roman"/>
          <w:color w:val="000000" w:themeColor="text1"/>
          <w:sz w:val="24"/>
          <w:szCs w:val="24"/>
        </w:rPr>
        <w:t xml:space="preserve"> </w:t>
      </w:r>
      <w:r w:rsidRPr="004046EA">
        <w:rPr>
          <w:rFonts w:ascii="Times New Roman" w:hAnsi="Times New Roman" w:cs="Times New Roman"/>
          <w:color w:val="000000" w:themeColor="text1"/>
          <w:sz w:val="24"/>
          <w:szCs w:val="24"/>
        </w:rPr>
        <w:t>by scanning the optical density values of all protein bands in each lane of SDS-PAGE using ImageJ. Results are representative of three independent experiments. Data are shown as mean ± SD of three independent experiments.</w:t>
      </w:r>
    </w:p>
    <w:p w14:paraId="0041FF26"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37202D7B" w14:textId="2DD425DC" w:rsidR="00603EFE" w:rsidRPr="004046EA" w:rsidRDefault="00F65DD4" w:rsidP="00AE78EF">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lastRenderedPageBreak/>
        <w:drawing>
          <wp:inline distT="0" distB="0" distL="0" distR="0" wp14:anchorId="3EBD3A38" wp14:editId="239398D4">
            <wp:extent cx="5274310" cy="6638290"/>
            <wp:effectExtent l="0" t="0" r="2540" b="0"/>
            <wp:docPr id="4119945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99454" name="图片 4119945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6638290"/>
                    </a:xfrm>
                    <a:prstGeom prst="rect">
                      <a:avLst/>
                    </a:prstGeom>
                  </pic:spPr>
                </pic:pic>
              </a:graphicData>
            </a:graphic>
          </wp:inline>
        </w:drawing>
      </w:r>
    </w:p>
    <w:p w14:paraId="7EE5FF6F" w14:textId="243575C1" w:rsidR="001A643D"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S7. </w:t>
      </w:r>
      <w:r w:rsidRPr="004046EA">
        <w:rPr>
          <w:rFonts w:ascii="Times New Roman" w:hAnsi="Times New Roman" w:cs="Times New Roman"/>
          <w:sz w:val="24"/>
          <w:szCs w:val="24"/>
        </w:rPr>
        <w:t>The 2C protein of SVA can independently induce mitophagy in host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IBRS-2 cells were mock transfected or transfected with empty vector (</w:t>
      </w:r>
      <w:proofErr w:type="spellStart"/>
      <w:r w:rsidRPr="004046EA">
        <w:rPr>
          <w:rFonts w:ascii="Times New Roman" w:hAnsi="Times New Roman" w:cs="Times New Roman"/>
          <w:sz w:val="24"/>
          <w:szCs w:val="24"/>
        </w:rPr>
        <w:t>pCAGGS</w:t>
      </w:r>
      <w:proofErr w:type="spellEnd"/>
      <w:r w:rsidRPr="004046EA">
        <w:rPr>
          <w:rFonts w:ascii="Times New Roman" w:hAnsi="Times New Roman" w:cs="Times New Roman"/>
          <w:sz w:val="24"/>
          <w:szCs w:val="24"/>
        </w:rPr>
        <w:t xml:space="preserve">-HA) or with 1, 2, and 3 µg/well of pCAGGS-HA-2C. At 36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xml:space="preserve">, the cells were </w:t>
      </w:r>
      <w:r w:rsidR="004F7693"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w:t>
      </w:r>
      <w:r w:rsidR="004F7693" w:rsidRPr="004046EA">
        <w:rPr>
          <w:rFonts w:ascii="Times New Roman" w:hAnsi="Times New Roman" w:cs="Times New Roman"/>
          <w:sz w:val="24"/>
          <w:szCs w:val="24"/>
        </w:rPr>
        <w:t>The right panels show</w:t>
      </w:r>
      <w:r w:rsidR="00EE19FC" w:rsidRPr="004046EA">
        <w:rPr>
          <w:rFonts w:ascii="Times New Roman" w:hAnsi="Times New Roman" w:cs="Times New Roman"/>
          <w:sz w:val="24"/>
          <w:szCs w:val="24"/>
        </w:rPr>
        <w:t xml:space="preserve"> the relative</w:t>
      </w:r>
      <w:r w:rsidR="004F7693" w:rsidRPr="004046EA">
        <w:rPr>
          <w:rFonts w:ascii="Times New Roman" w:hAnsi="Times New Roman" w:cs="Times New Roman"/>
          <w:sz w:val="24"/>
          <w:szCs w:val="24"/>
        </w:rPr>
        <w:t xml:space="preserve"> densitometric analysis of the target protein bands.</w:t>
      </w:r>
      <w:r w:rsidRPr="004046EA">
        <w:rPr>
          <w:rFonts w:ascii="Times New Roman" w:hAnsi="Times New Roman" w:cs="Times New Roman"/>
          <w:sz w:val="24"/>
          <w:szCs w:val="24"/>
        </w:rPr>
        <w:t xml:space="preserve"> (</w:t>
      </w:r>
      <w:r w:rsidRPr="004046EA">
        <w:rPr>
          <w:rFonts w:ascii="Times New Roman" w:hAnsi="Times New Roman" w:cs="Times New Roman"/>
          <w:b/>
          <w:bCs/>
          <w:sz w:val="24"/>
          <w:szCs w:val="24"/>
        </w:rPr>
        <w:t>B</w:t>
      </w:r>
      <w:r w:rsidRPr="004046EA">
        <w:rPr>
          <w:rFonts w:ascii="Times New Roman" w:hAnsi="Times New Roman" w:cs="Times New Roman"/>
          <w:sz w:val="24"/>
          <w:szCs w:val="24"/>
        </w:rPr>
        <w:t>) ST cells were treated and analyzed as described in (A). (</w:t>
      </w:r>
      <w:r w:rsidRPr="004046EA">
        <w:rPr>
          <w:rFonts w:ascii="Times New Roman" w:hAnsi="Times New Roman" w:cs="Times New Roman"/>
          <w:b/>
          <w:bCs/>
          <w:sz w:val="24"/>
          <w:szCs w:val="24"/>
        </w:rPr>
        <w:t>C</w:t>
      </w:r>
      <w:r w:rsidRPr="004046EA">
        <w:rPr>
          <w:rFonts w:ascii="Times New Roman" w:hAnsi="Times New Roman" w:cs="Times New Roman"/>
          <w:sz w:val="24"/>
          <w:szCs w:val="24"/>
        </w:rPr>
        <w:t>) BHK-21 cells were mock transfected (MT) or transfected with</w:t>
      </w:r>
      <w:r w:rsidR="004F7693" w:rsidRPr="004046EA">
        <w:rPr>
          <w:rFonts w:ascii="Times New Roman" w:hAnsi="Times New Roman" w:cs="Times New Roman"/>
          <w:sz w:val="24"/>
          <w:szCs w:val="24"/>
        </w:rPr>
        <w:t xml:space="preserve"> </w:t>
      </w:r>
      <w:proofErr w:type="spellStart"/>
      <w:r w:rsidRPr="004046EA">
        <w:rPr>
          <w:rFonts w:ascii="Times New Roman" w:hAnsi="Times New Roman" w:cs="Times New Roman"/>
          <w:sz w:val="24"/>
          <w:szCs w:val="24"/>
        </w:rPr>
        <w:t>pCAGGS</w:t>
      </w:r>
      <w:proofErr w:type="spellEnd"/>
      <w:r w:rsidRPr="004046EA">
        <w:rPr>
          <w:rFonts w:ascii="Times New Roman" w:hAnsi="Times New Roman" w:cs="Times New Roman"/>
          <w:sz w:val="24"/>
          <w:szCs w:val="24"/>
        </w:rPr>
        <w:t>-HA or pCAGGS-HA-</w:t>
      </w:r>
      <w:r w:rsidRPr="004046EA">
        <w:rPr>
          <w:rFonts w:ascii="Times New Roman" w:hAnsi="Times New Roman" w:cs="Times New Roman"/>
          <w:sz w:val="24"/>
          <w:szCs w:val="24"/>
        </w:rPr>
        <w:lastRenderedPageBreak/>
        <w:t xml:space="preserve">2C. At 24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the cells were mock infected or infected with SVA</w:t>
      </w:r>
      <w:r w:rsidR="004F7693" w:rsidRPr="004046EA">
        <w:rPr>
          <w:rFonts w:ascii="Times New Roman" w:hAnsi="Times New Roman" w:cs="Times New Roman"/>
          <w:sz w:val="24"/>
          <w:szCs w:val="24"/>
        </w:rPr>
        <w:t xml:space="preserve"> (</w:t>
      </w:r>
      <w:r w:rsidRPr="004046EA">
        <w:rPr>
          <w:rFonts w:ascii="Times New Roman" w:hAnsi="Times New Roman" w:cs="Times New Roman"/>
          <w:sz w:val="24"/>
          <w:szCs w:val="24"/>
        </w:rPr>
        <w:t>MOI</w:t>
      </w:r>
      <w:r w:rsidR="004F7693" w:rsidRPr="004046EA">
        <w:rPr>
          <w:rFonts w:ascii="Times New Roman" w:hAnsi="Times New Roman" w:cs="Times New Roman"/>
          <w:sz w:val="24"/>
          <w:szCs w:val="24"/>
        </w:rPr>
        <w:t>=</w:t>
      </w:r>
      <w:r w:rsidRPr="004046EA">
        <w:rPr>
          <w:rFonts w:ascii="Times New Roman" w:hAnsi="Times New Roman" w:cs="Times New Roman"/>
          <w:sz w:val="24"/>
          <w:szCs w:val="24"/>
        </w:rPr>
        <w:t>0.1</w:t>
      </w:r>
      <w:r w:rsidR="004F7693" w:rsidRPr="004046EA">
        <w:rPr>
          <w:rFonts w:ascii="Times New Roman" w:hAnsi="Times New Roman" w:cs="Times New Roman"/>
          <w:sz w:val="24"/>
          <w:szCs w:val="24"/>
        </w:rPr>
        <w:t>)</w:t>
      </w:r>
      <w:r w:rsidRPr="004046EA">
        <w:rPr>
          <w:rFonts w:ascii="Times New Roman" w:hAnsi="Times New Roman" w:cs="Times New Roman"/>
          <w:sz w:val="24"/>
          <w:szCs w:val="24"/>
        </w:rPr>
        <w:t xml:space="preserve"> for 24 h</w:t>
      </w:r>
      <w:r w:rsidR="004F7693" w:rsidRPr="004046EA">
        <w:rPr>
          <w:rFonts w:ascii="Times New Roman" w:hAnsi="Times New Roman" w:cs="Times New Roman"/>
          <w:sz w:val="24"/>
          <w:szCs w:val="24"/>
        </w:rPr>
        <w:t>, and then</w:t>
      </w:r>
      <w:r w:rsidRPr="004046EA">
        <w:rPr>
          <w:rFonts w:ascii="Times New Roman" w:hAnsi="Times New Roman" w:cs="Times New Roman"/>
          <w:sz w:val="24"/>
          <w:szCs w:val="24"/>
        </w:rPr>
        <w:t xml:space="preserve"> </w:t>
      </w:r>
      <w:r w:rsidR="004F7693"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analyses. </w:t>
      </w:r>
      <w:r w:rsidR="00EE19FC" w:rsidRPr="004046EA">
        <w:rPr>
          <w:rFonts w:ascii="Times New Roman" w:hAnsi="Times New Roman" w:cs="Times New Roman"/>
          <w:sz w:val="24"/>
          <w:szCs w:val="24"/>
        </w:rPr>
        <w:t>The right panels show the relative densitometric analysis of the target protein bands</w:t>
      </w:r>
      <w:r w:rsidRPr="004046EA">
        <w:rPr>
          <w:rFonts w:ascii="Times New Roman" w:hAnsi="Times New Roman" w:cs="Times New Roman"/>
          <w:sz w:val="24"/>
          <w:szCs w:val="24"/>
        </w:rPr>
        <w:t>. (</w:t>
      </w:r>
      <w:r w:rsidRPr="004046EA">
        <w:rPr>
          <w:rFonts w:ascii="Times New Roman" w:hAnsi="Times New Roman" w:cs="Times New Roman"/>
          <w:b/>
          <w:bCs/>
          <w:sz w:val="24"/>
          <w:szCs w:val="24"/>
        </w:rPr>
        <w:t>D</w:t>
      </w:r>
      <w:r w:rsidRPr="004046EA">
        <w:rPr>
          <w:rFonts w:ascii="Times New Roman" w:hAnsi="Times New Roman" w:cs="Times New Roman"/>
          <w:sz w:val="24"/>
          <w:szCs w:val="24"/>
        </w:rPr>
        <w:t>) PK-15 cells were treated and analyzed as described in (C). All experiments related to this figure were conducted in three independent biological replicates.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0.05;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0.01;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w:t>
      </w:r>
    </w:p>
    <w:p w14:paraId="31F32636" w14:textId="77777777" w:rsidR="001A643D" w:rsidRPr="004046EA" w:rsidRDefault="001A643D">
      <w:pPr>
        <w:widowControl/>
        <w:jc w:val="left"/>
        <w:rPr>
          <w:rFonts w:ascii="Times New Roman" w:hAnsi="Times New Roman" w:cs="Times New Roman"/>
          <w:sz w:val="24"/>
          <w:szCs w:val="24"/>
        </w:rPr>
      </w:pPr>
      <w:r w:rsidRPr="004046EA">
        <w:rPr>
          <w:rFonts w:ascii="Times New Roman" w:hAnsi="Times New Roman" w:cs="Times New Roman"/>
          <w:sz w:val="24"/>
          <w:szCs w:val="24"/>
        </w:rPr>
        <w:br w:type="page"/>
      </w:r>
    </w:p>
    <w:p w14:paraId="58855317"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608EC5D0" w14:textId="1D36AA8A" w:rsidR="00603EFE" w:rsidRPr="004046EA" w:rsidRDefault="00F65DD4" w:rsidP="00B57166">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drawing>
          <wp:inline distT="0" distB="0" distL="0" distR="0" wp14:anchorId="55393704" wp14:editId="7726B8FC">
            <wp:extent cx="5274310" cy="4950460"/>
            <wp:effectExtent l="0" t="0" r="2540" b="2540"/>
            <wp:docPr id="62414529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145292" name="图片 62414529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4950460"/>
                    </a:xfrm>
                    <a:prstGeom prst="rect">
                      <a:avLst/>
                    </a:prstGeom>
                  </pic:spPr>
                </pic:pic>
              </a:graphicData>
            </a:graphic>
          </wp:inline>
        </w:drawing>
      </w:r>
    </w:p>
    <w:p w14:paraId="0DD174B2" w14:textId="04831CC6" w:rsidR="001C4686" w:rsidRPr="004046EA" w:rsidRDefault="001C4686" w:rsidP="00BF6EFC">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S8. </w:t>
      </w:r>
      <w:r w:rsidRPr="004046EA">
        <w:rPr>
          <w:rFonts w:ascii="Times New Roman" w:hAnsi="Times New Roman" w:cs="Times New Roman"/>
          <w:sz w:val="24"/>
          <w:szCs w:val="24"/>
        </w:rPr>
        <w:t>TUFM functions as a positive regulator of SVA-induced mitophagy in PK-15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xml:space="preserve">) PK-15 cells were mock transfected (MT) or transfected with 40 </w:t>
      </w:r>
      <w:proofErr w:type="spellStart"/>
      <w:r w:rsidRPr="004046EA">
        <w:rPr>
          <w:rFonts w:ascii="Times New Roman" w:hAnsi="Times New Roman" w:cs="Times New Roman"/>
          <w:sz w:val="24"/>
          <w:szCs w:val="24"/>
        </w:rPr>
        <w:t>pmol</w:t>
      </w:r>
      <w:proofErr w:type="spellEnd"/>
      <w:r w:rsidRPr="004046EA">
        <w:rPr>
          <w:rFonts w:ascii="Times New Roman" w:hAnsi="Times New Roman" w:cs="Times New Roman"/>
          <w:sz w:val="24"/>
          <w:szCs w:val="24"/>
        </w:rPr>
        <w:t xml:space="preserve">/well of </w:t>
      </w:r>
      <w:proofErr w:type="spellStart"/>
      <w:r w:rsidRPr="004046EA">
        <w:rPr>
          <w:rFonts w:ascii="Times New Roman" w:hAnsi="Times New Roman" w:cs="Times New Roman"/>
          <w:sz w:val="24"/>
          <w:szCs w:val="24"/>
        </w:rPr>
        <w:t>si</w:t>
      </w:r>
      <w:r w:rsidRPr="004046EA">
        <w:rPr>
          <w:rFonts w:ascii="Times New Roman" w:hAnsi="Times New Roman" w:cs="Times New Roman"/>
          <w:i/>
          <w:iCs/>
          <w:sz w:val="24"/>
          <w:szCs w:val="24"/>
        </w:rPr>
        <w:t>TUFM</w:t>
      </w:r>
      <w:proofErr w:type="spellEnd"/>
      <w:r w:rsidRPr="004046EA">
        <w:rPr>
          <w:rFonts w:ascii="Times New Roman" w:hAnsi="Times New Roman" w:cs="Times New Roman"/>
          <w:sz w:val="24"/>
          <w:szCs w:val="24"/>
        </w:rPr>
        <w:t xml:space="preserve">-pig or </w:t>
      </w:r>
      <w:proofErr w:type="spellStart"/>
      <w:r w:rsidRPr="004046EA">
        <w:rPr>
          <w:rFonts w:ascii="Times New Roman" w:hAnsi="Times New Roman" w:cs="Times New Roman"/>
          <w:sz w:val="24"/>
          <w:szCs w:val="24"/>
        </w:rPr>
        <w:t>si</w:t>
      </w:r>
      <w:r w:rsidRPr="004046EA">
        <w:rPr>
          <w:rFonts w:ascii="Times New Roman" w:hAnsi="Times New Roman" w:cs="Times New Roman"/>
          <w:i/>
          <w:iCs/>
          <w:sz w:val="24"/>
          <w:szCs w:val="24"/>
        </w:rPr>
        <w:t>NC</w:t>
      </w:r>
      <w:proofErr w:type="spellEnd"/>
      <w:r w:rsidRPr="004046EA">
        <w:rPr>
          <w:rFonts w:ascii="Times New Roman" w:hAnsi="Times New Roman" w:cs="Times New Roman"/>
          <w:sz w:val="24"/>
          <w:szCs w:val="24"/>
        </w:rPr>
        <w:t xml:space="preserve"> for 24 h. Then, the cells were mock infected or infected with SVA</w:t>
      </w:r>
      <w:r w:rsidR="00395B0B" w:rsidRPr="004046EA">
        <w:rPr>
          <w:rFonts w:ascii="Times New Roman" w:hAnsi="Times New Roman" w:cs="Times New Roman"/>
          <w:sz w:val="24"/>
          <w:szCs w:val="24"/>
        </w:rPr>
        <w:t xml:space="preserve"> (</w:t>
      </w:r>
      <w:r w:rsidRPr="004046EA">
        <w:rPr>
          <w:rFonts w:ascii="Times New Roman" w:hAnsi="Times New Roman" w:cs="Times New Roman"/>
          <w:sz w:val="24"/>
          <w:szCs w:val="24"/>
        </w:rPr>
        <w:t>MOI</w:t>
      </w:r>
      <w:r w:rsidR="00395B0B" w:rsidRPr="004046EA">
        <w:rPr>
          <w:rFonts w:ascii="Times New Roman" w:hAnsi="Times New Roman" w:cs="Times New Roman"/>
          <w:sz w:val="24"/>
          <w:szCs w:val="24"/>
        </w:rPr>
        <w:t>=</w:t>
      </w:r>
      <w:r w:rsidRPr="004046EA">
        <w:rPr>
          <w:rFonts w:ascii="Times New Roman" w:hAnsi="Times New Roman" w:cs="Times New Roman"/>
          <w:sz w:val="24"/>
          <w:szCs w:val="24"/>
        </w:rPr>
        <w:t>0.1</w:t>
      </w:r>
      <w:r w:rsidR="00395B0B" w:rsidRPr="004046EA">
        <w:rPr>
          <w:rFonts w:ascii="Times New Roman" w:hAnsi="Times New Roman" w:cs="Times New Roman"/>
          <w:sz w:val="24"/>
          <w:szCs w:val="24"/>
        </w:rPr>
        <w:t>)</w:t>
      </w:r>
      <w:r w:rsidRPr="004046EA">
        <w:rPr>
          <w:rFonts w:ascii="Times New Roman" w:hAnsi="Times New Roman" w:cs="Times New Roman"/>
          <w:sz w:val="24"/>
          <w:szCs w:val="24"/>
        </w:rPr>
        <w:t xml:space="preserve"> for an additional 24 h. The cells were </w:t>
      </w:r>
      <w:r w:rsidR="00395B0B"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analyses. Representative results are shown and similar results were obtained in three independent experiments. (</w:t>
      </w:r>
      <w:r w:rsidRPr="004046EA">
        <w:rPr>
          <w:rFonts w:ascii="Times New Roman" w:hAnsi="Times New Roman" w:cs="Times New Roman"/>
          <w:b/>
          <w:bCs/>
          <w:sz w:val="24"/>
          <w:szCs w:val="24"/>
        </w:rPr>
        <w:t>B</w:t>
      </w:r>
      <w:r w:rsidRPr="004046EA">
        <w:rPr>
          <w:rFonts w:ascii="Times New Roman" w:hAnsi="Times New Roman" w:cs="Times New Roman"/>
          <w:sz w:val="24"/>
          <w:szCs w:val="24"/>
        </w:rPr>
        <w:t xml:space="preserve">) </w:t>
      </w:r>
      <w:r w:rsidR="00395B0B" w:rsidRPr="004046EA">
        <w:rPr>
          <w:rFonts w:ascii="Times New Roman" w:hAnsi="Times New Roman" w:cs="Times New Roman"/>
          <w:sz w:val="24"/>
          <w:szCs w:val="24"/>
        </w:rPr>
        <w:t>Relative densitometric analysis of the target protein bands</w:t>
      </w:r>
      <w:r w:rsidR="00395B0B" w:rsidRPr="004046EA" w:rsidDel="00395B0B">
        <w:rPr>
          <w:rFonts w:ascii="Times New Roman" w:hAnsi="Times New Roman" w:cs="Times New Roman"/>
          <w:sz w:val="24"/>
          <w:szCs w:val="24"/>
        </w:rPr>
        <w:t xml:space="preserve"> </w:t>
      </w:r>
      <w:r w:rsidR="00395B0B" w:rsidRPr="004046EA">
        <w:rPr>
          <w:rFonts w:ascii="Times New Roman" w:hAnsi="Times New Roman" w:cs="Times New Roman"/>
          <w:sz w:val="24"/>
          <w:szCs w:val="24"/>
        </w:rPr>
        <w:t>shown in (A)</w:t>
      </w:r>
      <w:r w:rsidRPr="004046EA">
        <w:rPr>
          <w:rFonts w:ascii="Times New Roman" w:hAnsi="Times New Roman" w:cs="Times New Roman"/>
          <w:sz w:val="24"/>
          <w:szCs w:val="24"/>
        </w:rPr>
        <w:t>.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 (</w:t>
      </w:r>
      <w:r w:rsidRPr="004046EA">
        <w:rPr>
          <w:rFonts w:ascii="Times New Roman" w:hAnsi="Times New Roman" w:cs="Times New Roman"/>
          <w:b/>
          <w:bCs/>
          <w:sz w:val="24"/>
          <w:szCs w:val="24"/>
        </w:rPr>
        <w:t>C</w:t>
      </w:r>
      <w:r w:rsidRPr="004046EA">
        <w:rPr>
          <w:rFonts w:ascii="Times New Roman" w:hAnsi="Times New Roman" w:cs="Times New Roman"/>
          <w:sz w:val="24"/>
          <w:szCs w:val="24"/>
        </w:rPr>
        <w:t xml:space="preserve">) PK-15 cells were mock transfected (MT) or transfected with p3×Flag-CMV-10 or 1, 2, or 3 </w:t>
      </w:r>
      <w:proofErr w:type="spellStart"/>
      <w:r w:rsidRPr="004046EA">
        <w:rPr>
          <w:rFonts w:ascii="Times New Roman" w:hAnsi="Times New Roman" w:cs="Times New Roman"/>
          <w:sz w:val="24"/>
          <w:szCs w:val="24"/>
        </w:rPr>
        <w:t>μg</w:t>
      </w:r>
      <w:proofErr w:type="spellEnd"/>
      <w:r w:rsidRPr="004046EA">
        <w:rPr>
          <w:rFonts w:ascii="Times New Roman" w:hAnsi="Times New Roman" w:cs="Times New Roman"/>
          <w:sz w:val="24"/>
          <w:szCs w:val="24"/>
        </w:rPr>
        <w:t xml:space="preserve">/well of p3×Flag-CMV-TUFM. At 24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xml:space="preserve">, the cells were mock infected or infected with SVA </w:t>
      </w:r>
      <w:r w:rsidR="00395B0B" w:rsidRPr="004046EA">
        <w:rPr>
          <w:rFonts w:ascii="Times New Roman" w:hAnsi="Times New Roman" w:cs="Times New Roman"/>
          <w:sz w:val="24"/>
          <w:szCs w:val="24"/>
        </w:rPr>
        <w:t>(</w:t>
      </w:r>
      <w:r w:rsidRPr="004046EA">
        <w:rPr>
          <w:rFonts w:ascii="Times New Roman" w:hAnsi="Times New Roman" w:cs="Times New Roman"/>
          <w:sz w:val="24"/>
          <w:szCs w:val="24"/>
        </w:rPr>
        <w:t>MOI</w:t>
      </w:r>
      <w:r w:rsidR="00395B0B" w:rsidRPr="004046EA">
        <w:rPr>
          <w:rFonts w:ascii="Times New Roman" w:hAnsi="Times New Roman" w:cs="Times New Roman"/>
          <w:sz w:val="24"/>
          <w:szCs w:val="24"/>
        </w:rPr>
        <w:t>=</w:t>
      </w:r>
      <w:r w:rsidRPr="004046EA">
        <w:rPr>
          <w:rFonts w:ascii="Times New Roman" w:hAnsi="Times New Roman" w:cs="Times New Roman"/>
          <w:sz w:val="24"/>
          <w:szCs w:val="24"/>
        </w:rPr>
        <w:t xml:space="preserve"> 0.1</w:t>
      </w:r>
      <w:r w:rsidR="00395B0B" w:rsidRPr="004046EA">
        <w:rPr>
          <w:rFonts w:ascii="Times New Roman" w:hAnsi="Times New Roman" w:cs="Times New Roman"/>
          <w:sz w:val="24"/>
          <w:szCs w:val="24"/>
        </w:rPr>
        <w:t>)</w:t>
      </w:r>
      <w:r w:rsidRPr="004046EA">
        <w:rPr>
          <w:rFonts w:ascii="Times New Roman" w:hAnsi="Times New Roman" w:cs="Times New Roman"/>
          <w:sz w:val="24"/>
          <w:szCs w:val="24"/>
        </w:rPr>
        <w:t xml:space="preserve"> </w:t>
      </w:r>
      <w:r w:rsidRPr="004046EA">
        <w:rPr>
          <w:rFonts w:ascii="Times New Roman" w:hAnsi="Times New Roman" w:cs="Times New Roman"/>
          <w:sz w:val="24"/>
          <w:szCs w:val="24"/>
        </w:rPr>
        <w:lastRenderedPageBreak/>
        <w:t xml:space="preserve">for 24 h. The cells were </w:t>
      </w:r>
      <w:r w:rsidR="00395B0B"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analyses. Representative results are shown and similar results were obtained in three independent experiments. (</w:t>
      </w:r>
      <w:r w:rsidRPr="004046EA">
        <w:rPr>
          <w:rFonts w:ascii="Times New Roman" w:hAnsi="Times New Roman" w:cs="Times New Roman"/>
          <w:b/>
          <w:bCs/>
          <w:sz w:val="24"/>
          <w:szCs w:val="24"/>
        </w:rPr>
        <w:t>D</w:t>
      </w:r>
      <w:r w:rsidRPr="004046EA">
        <w:rPr>
          <w:rFonts w:ascii="Times New Roman" w:hAnsi="Times New Roman" w:cs="Times New Roman"/>
          <w:sz w:val="24"/>
          <w:szCs w:val="24"/>
        </w:rPr>
        <w:t>) Densitometric analysis of the target proteins shown in (C). (</w:t>
      </w:r>
      <w:r w:rsidRPr="004046EA">
        <w:rPr>
          <w:rFonts w:ascii="Times New Roman" w:hAnsi="Times New Roman" w:cs="Times New Roman"/>
          <w:b/>
          <w:bCs/>
          <w:sz w:val="24"/>
          <w:szCs w:val="24"/>
        </w:rPr>
        <w:t>E</w:t>
      </w:r>
      <w:r w:rsidRPr="004046EA">
        <w:rPr>
          <w:rFonts w:ascii="Times New Roman" w:hAnsi="Times New Roman" w:cs="Times New Roman"/>
          <w:sz w:val="24"/>
          <w:szCs w:val="24"/>
        </w:rPr>
        <w:t xml:space="preserve">) PK-15 cells were transfected and then infected as described in (A). The silencing of TUFM was confirmed by western blot prior to virus titration. At 12, 24, 36, and 48 </w:t>
      </w:r>
      <w:proofErr w:type="spellStart"/>
      <w:r w:rsidRPr="004046EA">
        <w:rPr>
          <w:rFonts w:ascii="Times New Roman" w:hAnsi="Times New Roman" w:cs="Times New Roman"/>
          <w:sz w:val="24"/>
          <w:szCs w:val="24"/>
        </w:rPr>
        <w:t>hpi</w:t>
      </w:r>
      <w:proofErr w:type="spellEnd"/>
      <w:r w:rsidRPr="004046EA">
        <w:rPr>
          <w:rFonts w:ascii="Times New Roman" w:hAnsi="Times New Roman" w:cs="Times New Roman"/>
          <w:sz w:val="24"/>
          <w:szCs w:val="24"/>
        </w:rPr>
        <w:t>, viral samples were harvested, and viral titers were detected by TCID</w:t>
      </w:r>
      <w:r w:rsidRPr="004046EA">
        <w:rPr>
          <w:rFonts w:ascii="Times New Roman" w:hAnsi="Times New Roman" w:cs="Times New Roman"/>
          <w:sz w:val="24"/>
          <w:szCs w:val="24"/>
          <w:vertAlign w:val="subscript"/>
        </w:rPr>
        <w:t>50</w:t>
      </w:r>
      <w:r w:rsidRPr="004046EA">
        <w:rPr>
          <w:rFonts w:ascii="Times New Roman" w:hAnsi="Times New Roman" w:cs="Times New Roman"/>
          <w:sz w:val="24"/>
          <w:szCs w:val="24"/>
        </w:rPr>
        <w:t xml:space="preserve"> assay on BHK-21 cells. Data are shown as mean ± SD of three independent experiments (two-way ANOVA;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0.05;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 (</w:t>
      </w:r>
      <w:r w:rsidRPr="004046EA">
        <w:rPr>
          <w:rFonts w:ascii="Times New Roman" w:hAnsi="Times New Roman" w:cs="Times New Roman"/>
          <w:b/>
          <w:bCs/>
          <w:sz w:val="24"/>
          <w:szCs w:val="24"/>
        </w:rPr>
        <w:t>F</w:t>
      </w:r>
      <w:r w:rsidRPr="004046EA">
        <w:rPr>
          <w:rFonts w:ascii="Times New Roman" w:hAnsi="Times New Roman" w:cs="Times New Roman"/>
          <w:sz w:val="24"/>
          <w:szCs w:val="24"/>
        </w:rPr>
        <w:t>) PK-15 cells were transfected and then infected as described in (C). Viral titrations were performed and analyzed as described in (E).</w:t>
      </w:r>
      <w:r w:rsidR="00E539C2" w:rsidRPr="004046EA">
        <w:rPr>
          <w:rFonts w:ascii="Times New Roman" w:hAnsi="Times New Roman" w:cs="Times New Roman"/>
          <w:sz w:val="24"/>
          <w:szCs w:val="24"/>
        </w:rPr>
        <w:t xml:space="preserve"> </w:t>
      </w:r>
    </w:p>
    <w:p w14:paraId="37769440"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021D63CF" w14:textId="3479304A" w:rsidR="00603EFE" w:rsidRPr="004046EA" w:rsidRDefault="00F65DD4" w:rsidP="00603EFE">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lastRenderedPageBreak/>
        <w:drawing>
          <wp:inline distT="0" distB="0" distL="0" distR="0" wp14:anchorId="283E472C" wp14:editId="0A443EB7">
            <wp:extent cx="4677507" cy="7486138"/>
            <wp:effectExtent l="0" t="0" r="8890" b="635"/>
            <wp:docPr id="70619859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198590" name="图片 70619859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89075" cy="7504652"/>
                    </a:xfrm>
                    <a:prstGeom prst="rect">
                      <a:avLst/>
                    </a:prstGeom>
                  </pic:spPr>
                </pic:pic>
              </a:graphicData>
            </a:graphic>
          </wp:inline>
        </w:drawing>
      </w:r>
    </w:p>
    <w:p w14:paraId="5B222EF2" w14:textId="154DD1F8" w:rsidR="001C4686" w:rsidRPr="004046EA" w:rsidRDefault="001C4686" w:rsidP="00BF6EFC">
      <w:pPr>
        <w:adjustRightInd w:val="0"/>
        <w:snapToGrid w:val="0"/>
        <w:spacing w:line="480" w:lineRule="auto"/>
        <w:rPr>
          <w:rFonts w:ascii="Times New Roman" w:hAnsi="Times New Roman" w:cs="Times New Roman"/>
          <w:color w:val="000000" w:themeColor="text1"/>
          <w:sz w:val="24"/>
          <w:szCs w:val="24"/>
        </w:rPr>
      </w:pPr>
      <w:r w:rsidRPr="004046EA">
        <w:rPr>
          <w:rFonts w:ascii="Times New Roman" w:hAnsi="Times New Roman" w:cs="Times New Roman"/>
          <w:b/>
          <w:bCs/>
          <w:sz w:val="24"/>
          <w:szCs w:val="24"/>
        </w:rPr>
        <w:t xml:space="preserve">Figure S9. </w:t>
      </w:r>
      <w:r w:rsidRPr="004046EA">
        <w:rPr>
          <w:rFonts w:ascii="Times New Roman" w:hAnsi="Times New Roman" w:cs="Times New Roman"/>
          <w:sz w:val="24"/>
          <w:szCs w:val="24"/>
        </w:rPr>
        <w:t>Validation of interactions between full-length TUFM and 2C proteins, as well as aa56–252 of TUFM and aa231–321 of 2C. (</w:t>
      </w:r>
      <w:r w:rsidRPr="004046EA">
        <w:rPr>
          <w:rFonts w:ascii="Times New Roman" w:hAnsi="Times New Roman" w:cs="Times New Roman"/>
          <w:b/>
          <w:bCs/>
          <w:sz w:val="24"/>
          <w:szCs w:val="24"/>
        </w:rPr>
        <w:t>A</w:t>
      </w:r>
      <w:r w:rsidRPr="004046EA">
        <w:rPr>
          <w:rFonts w:ascii="Times New Roman" w:hAnsi="Times New Roman" w:cs="Times New Roman"/>
          <w:sz w:val="24"/>
          <w:szCs w:val="24"/>
        </w:rPr>
        <w:t>) BHK-21 cells were co-transfected with pCAGGS-HA-2C and p3×Flag-CMV-TUFM, or pCAGGS-HA-</w:t>
      </w:r>
      <w:r w:rsidRPr="004046EA">
        <w:rPr>
          <w:rFonts w:ascii="Times New Roman" w:hAnsi="Times New Roman" w:cs="Times New Roman"/>
          <w:sz w:val="24"/>
          <w:szCs w:val="24"/>
        </w:rPr>
        <w:lastRenderedPageBreak/>
        <w:t>2C(aa231–321) and p3×Flag-CMV-</w:t>
      </w:r>
      <w:proofErr w:type="gramStart"/>
      <w:r w:rsidRPr="004046EA">
        <w:rPr>
          <w:rFonts w:ascii="Times New Roman" w:hAnsi="Times New Roman" w:cs="Times New Roman"/>
          <w:sz w:val="24"/>
          <w:szCs w:val="24"/>
        </w:rPr>
        <w:t>TUFM(</w:t>
      </w:r>
      <w:proofErr w:type="gramEnd"/>
      <w:r w:rsidRPr="004046EA">
        <w:rPr>
          <w:rFonts w:ascii="Times New Roman" w:hAnsi="Times New Roman" w:cs="Times New Roman"/>
          <w:sz w:val="24"/>
          <w:szCs w:val="24"/>
        </w:rPr>
        <w:t>aa56–252), alongside with their corresponding empty vector controls (</w:t>
      </w:r>
      <w:proofErr w:type="spellStart"/>
      <w:r w:rsidRPr="004046EA">
        <w:rPr>
          <w:rFonts w:ascii="Times New Roman" w:hAnsi="Times New Roman" w:cs="Times New Roman"/>
          <w:sz w:val="24"/>
          <w:szCs w:val="24"/>
        </w:rPr>
        <w:t>pCAGGS</w:t>
      </w:r>
      <w:proofErr w:type="spellEnd"/>
      <w:r w:rsidRPr="004046EA">
        <w:rPr>
          <w:rFonts w:ascii="Times New Roman" w:hAnsi="Times New Roman" w:cs="Times New Roman"/>
          <w:sz w:val="24"/>
          <w:szCs w:val="24"/>
        </w:rPr>
        <w:t xml:space="preserve">-HA and p3×Flag-CMV-10). At 24 </w:t>
      </w:r>
      <w:proofErr w:type="spellStart"/>
      <w:r w:rsidRPr="004046EA">
        <w:rPr>
          <w:rFonts w:ascii="Times New Roman" w:hAnsi="Times New Roman" w:cs="Times New Roman"/>
          <w:sz w:val="24"/>
          <w:szCs w:val="24"/>
        </w:rPr>
        <w:t>hpt</w:t>
      </w:r>
      <w:proofErr w:type="spellEnd"/>
      <w:r w:rsidRPr="004046EA">
        <w:rPr>
          <w:rFonts w:ascii="Times New Roman" w:hAnsi="Times New Roman" w:cs="Times New Roman"/>
          <w:sz w:val="24"/>
          <w:szCs w:val="24"/>
        </w:rPr>
        <w:t xml:space="preserve">, the cells were </w:t>
      </w:r>
      <w:r w:rsidR="007F3517" w:rsidRPr="004046EA">
        <w:rPr>
          <w:rFonts w:ascii="Times New Roman" w:hAnsi="Times New Roman" w:cs="Times New Roman"/>
          <w:sz w:val="24"/>
          <w:szCs w:val="24"/>
        </w:rPr>
        <w:t xml:space="preserve">analyzed by </w:t>
      </w:r>
      <w:r w:rsidRPr="004046EA">
        <w:rPr>
          <w:rFonts w:ascii="Times New Roman" w:hAnsi="Times New Roman" w:cs="Times New Roman"/>
          <w:sz w:val="24"/>
          <w:szCs w:val="24"/>
        </w:rPr>
        <w:t>confocal immunofluorescence</w:t>
      </w:r>
      <w:r w:rsidR="007F3517" w:rsidRPr="004046EA">
        <w:rPr>
          <w:rFonts w:ascii="Times New Roman" w:hAnsi="Times New Roman" w:cs="Times New Roman"/>
          <w:sz w:val="24"/>
          <w:szCs w:val="24"/>
        </w:rPr>
        <w:t xml:space="preserve"> assays</w:t>
      </w:r>
      <w:r w:rsidRPr="004046EA">
        <w:rPr>
          <w:rFonts w:ascii="Times New Roman" w:hAnsi="Times New Roman" w:cs="Times New Roman"/>
          <w:sz w:val="24"/>
          <w:szCs w:val="24"/>
        </w:rPr>
        <w:t xml:space="preserve"> using anti-HA</w:t>
      </w:r>
      <w:r w:rsidR="007F3517" w:rsidRPr="004046EA">
        <w:rPr>
          <w:rFonts w:ascii="Times New Roman" w:hAnsi="Times New Roman" w:cs="Times New Roman"/>
          <w:sz w:val="24"/>
          <w:szCs w:val="24"/>
        </w:rPr>
        <w:t xml:space="preserve">, or </w:t>
      </w:r>
      <w:r w:rsidRPr="004046EA">
        <w:rPr>
          <w:rFonts w:ascii="Times New Roman" w:hAnsi="Times New Roman" w:cs="Times New Roman"/>
          <w:sz w:val="24"/>
          <w:szCs w:val="24"/>
        </w:rPr>
        <w:t xml:space="preserve">-Flag </w:t>
      </w:r>
      <w:proofErr w:type="spellStart"/>
      <w:r w:rsidRPr="004046EA">
        <w:rPr>
          <w:rFonts w:ascii="Times New Roman" w:hAnsi="Times New Roman" w:cs="Times New Roman"/>
          <w:sz w:val="24"/>
          <w:szCs w:val="24"/>
        </w:rPr>
        <w:t>mAb</w:t>
      </w:r>
      <w:r w:rsidR="007F3517" w:rsidRPr="004046EA">
        <w:rPr>
          <w:rFonts w:ascii="Times New Roman" w:hAnsi="Times New Roman" w:cs="Times New Roman"/>
          <w:sz w:val="24"/>
          <w:szCs w:val="24"/>
        </w:rPr>
        <w:t>s</w:t>
      </w:r>
      <w:proofErr w:type="spellEnd"/>
      <w:r w:rsidR="007F3517" w:rsidRPr="004046EA">
        <w:rPr>
          <w:rFonts w:ascii="Times New Roman" w:hAnsi="Times New Roman" w:cs="Times New Roman"/>
          <w:sz w:val="24"/>
          <w:szCs w:val="24"/>
        </w:rPr>
        <w:t xml:space="preserve"> and </w:t>
      </w:r>
      <w:r w:rsidRPr="004046EA">
        <w:rPr>
          <w:rFonts w:ascii="Times New Roman" w:hAnsi="Times New Roman" w:cs="Times New Roman"/>
          <w:sz w:val="24"/>
          <w:szCs w:val="24"/>
        </w:rPr>
        <w:t>Alexa Fluor 488-</w:t>
      </w:r>
      <w:r w:rsidR="007F3517" w:rsidRPr="004046EA">
        <w:rPr>
          <w:rFonts w:ascii="Times New Roman" w:hAnsi="Times New Roman" w:cs="Times New Roman"/>
          <w:sz w:val="24"/>
          <w:szCs w:val="24"/>
        </w:rPr>
        <w:t xml:space="preserve">, or </w:t>
      </w:r>
      <w:r w:rsidRPr="004046EA">
        <w:rPr>
          <w:rFonts w:ascii="Times New Roman" w:hAnsi="Times New Roman" w:cs="Times New Roman"/>
          <w:sz w:val="24"/>
          <w:szCs w:val="24"/>
        </w:rPr>
        <w:t xml:space="preserve">568-conjugated goat anti-mouse </w:t>
      </w:r>
      <w:proofErr w:type="spellStart"/>
      <w:r w:rsidRPr="004046EA">
        <w:rPr>
          <w:rFonts w:ascii="Times New Roman" w:hAnsi="Times New Roman" w:cs="Times New Roman"/>
          <w:sz w:val="24"/>
          <w:szCs w:val="24"/>
        </w:rPr>
        <w:t>IgG</w:t>
      </w:r>
      <w:r w:rsidR="007F3517" w:rsidRPr="004046EA">
        <w:rPr>
          <w:rFonts w:ascii="Times New Roman" w:hAnsi="Times New Roman" w:cs="Times New Roman"/>
          <w:sz w:val="24"/>
          <w:szCs w:val="24"/>
        </w:rPr>
        <w:t>s</w:t>
      </w:r>
      <w:proofErr w:type="spellEnd"/>
      <w:r w:rsidR="007F3517" w:rsidRPr="004046EA">
        <w:rPr>
          <w:rFonts w:ascii="Times New Roman" w:hAnsi="Times New Roman" w:cs="Times New Roman"/>
          <w:sz w:val="24"/>
          <w:szCs w:val="24"/>
        </w:rPr>
        <w:t xml:space="preserve"> as the primary and secondary antibodies</w:t>
      </w:r>
      <w:r w:rsidRPr="004046EA">
        <w:rPr>
          <w:rFonts w:ascii="Times New Roman" w:hAnsi="Times New Roman" w:cs="Times New Roman"/>
          <w:sz w:val="24"/>
          <w:szCs w:val="24"/>
        </w:rPr>
        <w:t>, respectively. Cell nuclei were counterstained with DAPI. The right panel</w:t>
      </w:r>
      <w:r w:rsidRPr="004046EA">
        <w:rPr>
          <w:rFonts w:ascii="Times New Roman" w:hAnsi="Times New Roman" w:cs="Times New Roman" w:hint="eastAsia"/>
          <w:sz w:val="24"/>
          <w:szCs w:val="24"/>
        </w:rPr>
        <w:t>s</w:t>
      </w:r>
      <w:r w:rsidRPr="004046EA">
        <w:rPr>
          <w:rFonts w:ascii="Times New Roman" w:hAnsi="Times New Roman" w:cs="Times New Roman"/>
          <w:sz w:val="24"/>
          <w:szCs w:val="24"/>
        </w:rPr>
        <w:t xml:space="preserve"> show the fluorescence intensity profile of HA-2C (green), HA-2C(aa231–321) (green), Flag-TUFM (red), and Flag-TUFM</w:t>
      </w:r>
      <w:r w:rsidR="000A2D98" w:rsidRPr="004046EA">
        <w:rPr>
          <w:rFonts w:ascii="Times New Roman" w:hAnsi="Times New Roman" w:cs="Times New Roman"/>
          <w:sz w:val="24"/>
          <w:szCs w:val="24"/>
        </w:rPr>
        <w:t xml:space="preserve"> </w:t>
      </w:r>
      <w:r w:rsidRPr="004046EA">
        <w:rPr>
          <w:rFonts w:ascii="Times New Roman" w:hAnsi="Times New Roman" w:cs="Times New Roman"/>
          <w:sz w:val="24"/>
          <w:szCs w:val="24"/>
        </w:rPr>
        <w:t xml:space="preserve">(aa56–252) (red) measured along the line drawn by ImageJ. Representative results are shown and similar results were obtained in three independent experiments. Scale bar: 10 </w:t>
      </w:r>
      <w:proofErr w:type="spellStart"/>
      <w:r w:rsidRPr="004046EA">
        <w:rPr>
          <w:rFonts w:ascii="Times New Roman" w:hAnsi="Times New Roman" w:cs="Times New Roman"/>
          <w:sz w:val="24"/>
          <w:szCs w:val="24"/>
        </w:rPr>
        <w:t>μm</w:t>
      </w:r>
      <w:proofErr w:type="spellEnd"/>
      <w:r w:rsidRPr="004046EA">
        <w:rPr>
          <w:rFonts w:ascii="Times New Roman" w:hAnsi="Times New Roman" w:cs="Times New Roman"/>
          <w:sz w:val="24"/>
          <w:szCs w:val="24"/>
        </w:rPr>
        <w:t>. (</w:t>
      </w:r>
      <w:r w:rsidRPr="004046EA">
        <w:rPr>
          <w:rFonts w:ascii="Times New Roman" w:hAnsi="Times New Roman" w:cs="Times New Roman"/>
          <w:b/>
          <w:bCs/>
          <w:sz w:val="24"/>
          <w:szCs w:val="24"/>
        </w:rPr>
        <w:t>B-E</w:t>
      </w:r>
      <w:r w:rsidRPr="004046EA">
        <w:rPr>
          <w:rFonts w:ascii="Times New Roman" w:hAnsi="Times New Roman" w:cs="Times New Roman"/>
          <w:sz w:val="24"/>
          <w:szCs w:val="24"/>
        </w:rPr>
        <w:t xml:space="preserve">) </w:t>
      </w:r>
      <w:r w:rsidRPr="004046EA">
        <w:rPr>
          <w:rFonts w:ascii="Times New Roman" w:hAnsi="Times New Roman" w:cs="Times New Roman"/>
          <w:color w:val="000000" w:themeColor="text1"/>
          <w:sz w:val="24"/>
          <w:szCs w:val="24"/>
        </w:rPr>
        <w:t>The other four predicted models of the TUFM</w:t>
      </w:r>
      <w:r w:rsidR="00E539C2" w:rsidRPr="004046EA">
        <w:rPr>
          <w:rFonts w:ascii="Times New Roman" w:hAnsi="Times New Roman" w:cs="Times New Roman"/>
          <w:color w:val="000000" w:themeColor="text1"/>
          <w:sz w:val="24"/>
          <w:szCs w:val="24"/>
        </w:rPr>
        <w:t>-</w:t>
      </w:r>
      <w:r w:rsidRPr="004046EA">
        <w:rPr>
          <w:rFonts w:ascii="Times New Roman" w:hAnsi="Times New Roman" w:cs="Times New Roman"/>
          <w:color w:val="000000" w:themeColor="text1"/>
          <w:sz w:val="24"/>
          <w:szCs w:val="24"/>
        </w:rPr>
        <w:t>2C interaction complex were obtained using the Alphafold2 online server. The TUFM (left) and 2C (right) and proteins are marked in green and pink, respectively. The amino acid residues predicted to be possible interaction sites are labeled with one-letter type name in stick representation. These potential key amino acid residues of D306</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H291</w:t>
      </w:r>
      <w:r w:rsidRPr="004046EA">
        <w:rPr>
          <w:rFonts w:ascii="Times New Roman" w:hAnsi="Times New Roman" w:cs="Times New Roman" w:hint="eastAsia"/>
          <w:color w:val="000000" w:themeColor="text1"/>
          <w:sz w:val="24"/>
          <w:szCs w:val="24"/>
        </w:rPr>
        <w:t xml:space="preserve"> </w:t>
      </w:r>
      <w:r w:rsidRPr="004046EA">
        <w:rPr>
          <w:rFonts w:ascii="Times New Roman" w:hAnsi="Times New Roman" w:cs="Times New Roman"/>
          <w:color w:val="000000" w:themeColor="text1"/>
          <w:sz w:val="24"/>
          <w:szCs w:val="24"/>
        </w:rPr>
        <w:t>and K288 in B, D242</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R286</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E298</w:t>
      </w:r>
      <w:r w:rsidRPr="004046EA">
        <w:rPr>
          <w:rFonts w:ascii="Times New Roman" w:hAnsi="Times New Roman" w:cs="Times New Roman" w:hint="eastAsia"/>
          <w:color w:val="000000" w:themeColor="text1"/>
          <w:sz w:val="24"/>
          <w:szCs w:val="24"/>
        </w:rPr>
        <w:t xml:space="preserve"> </w:t>
      </w:r>
      <w:r w:rsidRPr="004046EA">
        <w:rPr>
          <w:rFonts w:ascii="Times New Roman" w:hAnsi="Times New Roman" w:cs="Times New Roman"/>
          <w:color w:val="000000" w:themeColor="text1"/>
          <w:sz w:val="24"/>
          <w:szCs w:val="24"/>
        </w:rPr>
        <w:t>and R308 in C</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D306</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K288, D282</w:t>
      </w:r>
      <w:r w:rsidRPr="004046EA">
        <w:rPr>
          <w:rFonts w:ascii="Times New Roman" w:hAnsi="Times New Roman" w:cs="Times New Roman" w:hint="eastAsia"/>
          <w:color w:val="000000" w:themeColor="text1"/>
          <w:sz w:val="24"/>
          <w:szCs w:val="24"/>
        </w:rPr>
        <w:t xml:space="preserve"> </w:t>
      </w:r>
      <w:r w:rsidRPr="004046EA">
        <w:rPr>
          <w:rFonts w:ascii="Times New Roman" w:hAnsi="Times New Roman" w:cs="Times New Roman"/>
          <w:color w:val="000000" w:themeColor="text1"/>
          <w:sz w:val="24"/>
          <w:szCs w:val="24"/>
        </w:rPr>
        <w:t xml:space="preserve">and K252 in D, </w:t>
      </w:r>
      <w:r w:rsidRPr="004046EA">
        <w:rPr>
          <w:rFonts w:ascii="Times New Roman" w:hAnsi="Times New Roman" w:cs="Times New Roman" w:hint="eastAsia"/>
          <w:color w:val="000000" w:themeColor="text1"/>
          <w:sz w:val="24"/>
          <w:szCs w:val="24"/>
        </w:rPr>
        <w:t>a</w:t>
      </w:r>
      <w:r w:rsidRPr="004046EA">
        <w:rPr>
          <w:rFonts w:ascii="Times New Roman" w:hAnsi="Times New Roman" w:cs="Times New Roman"/>
          <w:color w:val="000000" w:themeColor="text1"/>
          <w:sz w:val="24"/>
          <w:szCs w:val="24"/>
        </w:rPr>
        <w:t>nd H277</w:t>
      </w:r>
      <w:r w:rsidRPr="004046EA">
        <w:rPr>
          <w:rFonts w:ascii="Times New Roman" w:hAnsi="Times New Roman" w:cs="Times New Roman" w:hint="eastAsia"/>
          <w:color w:val="000000" w:themeColor="text1"/>
          <w:sz w:val="24"/>
          <w:szCs w:val="24"/>
        </w:rPr>
        <w:t>,</w:t>
      </w:r>
      <w:r w:rsidRPr="004046EA">
        <w:rPr>
          <w:rFonts w:ascii="Times New Roman" w:hAnsi="Times New Roman" w:cs="Times New Roman"/>
          <w:color w:val="000000" w:themeColor="text1"/>
          <w:sz w:val="24"/>
          <w:szCs w:val="24"/>
        </w:rPr>
        <w:t xml:space="preserve"> D301</w:t>
      </w:r>
      <w:r w:rsidRPr="004046EA">
        <w:rPr>
          <w:rFonts w:ascii="Times New Roman" w:hAnsi="Times New Roman" w:cs="Times New Roman" w:hint="eastAsia"/>
          <w:color w:val="000000" w:themeColor="text1"/>
          <w:sz w:val="24"/>
          <w:szCs w:val="24"/>
        </w:rPr>
        <w:t xml:space="preserve"> </w:t>
      </w:r>
      <w:r w:rsidRPr="004046EA">
        <w:rPr>
          <w:rFonts w:ascii="Times New Roman" w:hAnsi="Times New Roman" w:cs="Times New Roman"/>
          <w:color w:val="000000" w:themeColor="text1"/>
          <w:sz w:val="24"/>
          <w:szCs w:val="24"/>
        </w:rPr>
        <w:t>and R308</w:t>
      </w:r>
      <w:r w:rsidRPr="004046EA">
        <w:rPr>
          <w:rFonts w:ascii="Times New Roman" w:hAnsi="Times New Roman" w:cs="Times New Roman" w:hint="eastAsia"/>
          <w:color w:val="000000" w:themeColor="text1"/>
          <w:sz w:val="24"/>
          <w:szCs w:val="24"/>
        </w:rPr>
        <w:t xml:space="preserve"> </w:t>
      </w:r>
      <w:r w:rsidRPr="004046EA">
        <w:rPr>
          <w:rFonts w:ascii="Times New Roman" w:hAnsi="Times New Roman" w:cs="Times New Roman"/>
          <w:color w:val="000000" w:themeColor="text1"/>
          <w:sz w:val="24"/>
          <w:szCs w:val="24"/>
        </w:rPr>
        <w:t>in E were selected for construction of single-site mutants.</w:t>
      </w:r>
    </w:p>
    <w:p w14:paraId="496FCFA2" w14:textId="77777777" w:rsidR="001C4686" w:rsidRPr="004046EA" w:rsidRDefault="001C4686" w:rsidP="00BF6EFC">
      <w:pPr>
        <w:adjustRightInd w:val="0"/>
        <w:snapToGrid w:val="0"/>
        <w:spacing w:line="480" w:lineRule="auto"/>
        <w:rPr>
          <w:rFonts w:ascii="Times New Roman" w:hAnsi="Times New Roman" w:cs="Times New Roman"/>
          <w:sz w:val="24"/>
          <w:szCs w:val="24"/>
        </w:rPr>
      </w:pPr>
    </w:p>
    <w:p w14:paraId="7C125148" w14:textId="129A6156" w:rsidR="00097696" w:rsidRPr="004046EA" w:rsidRDefault="00BB0FFD" w:rsidP="002B755E">
      <w:pPr>
        <w:adjustRightInd w:val="0"/>
        <w:snapToGrid w:val="0"/>
        <w:spacing w:line="480" w:lineRule="auto"/>
        <w:jc w:val="center"/>
        <w:rPr>
          <w:rFonts w:ascii="Times New Roman" w:hAnsi="Times New Roman" w:cs="Times New Roman"/>
          <w:sz w:val="24"/>
          <w:szCs w:val="24"/>
        </w:rPr>
      </w:pPr>
      <w:r w:rsidRPr="004046EA">
        <w:rPr>
          <w:rFonts w:ascii="Times New Roman" w:hAnsi="Times New Roman" w:cs="Times New Roman"/>
          <w:noProof/>
          <w:sz w:val="24"/>
          <w:szCs w:val="24"/>
          <w14:ligatures w14:val="standardContextual"/>
        </w:rPr>
        <w:lastRenderedPageBreak/>
        <w:drawing>
          <wp:inline distT="0" distB="0" distL="0" distR="0" wp14:anchorId="4794D9C9" wp14:editId="28BD9336">
            <wp:extent cx="5274310" cy="4695190"/>
            <wp:effectExtent l="0" t="0" r="2540" b="0"/>
            <wp:docPr id="102084647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846474" name="图片 102084647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4695190"/>
                    </a:xfrm>
                    <a:prstGeom prst="rect">
                      <a:avLst/>
                    </a:prstGeom>
                  </pic:spPr>
                </pic:pic>
              </a:graphicData>
            </a:graphic>
          </wp:inline>
        </w:drawing>
      </w:r>
    </w:p>
    <w:p w14:paraId="29709DAC" w14:textId="7E014564" w:rsidR="00C9076F" w:rsidRPr="00C80AC0" w:rsidRDefault="001C4686" w:rsidP="00C80AC0">
      <w:pPr>
        <w:adjustRightInd w:val="0"/>
        <w:snapToGrid w:val="0"/>
        <w:spacing w:line="480" w:lineRule="auto"/>
        <w:rPr>
          <w:rFonts w:ascii="Times New Roman" w:hAnsi="Times New Roman" w:cs="Times New Roman"/>
          <w:sz w:val="24"/>
          <w:szCs w:val="24"/>
        </w:rPr>
      </w:pPr>
      <w:r w:rsidRPr="004046EA">
        <w:rPr>
          <w:rFonts w:ascii="Times New Roman" w:hAnsi="Times New Roman" w:cs="Times New Roman"/>
          <w:b/>
          <w:bCs/>
          <w:sz w:val="24"/>
          <w:szCs w:val="24"/>
        </w:rPr>
        <w:t xml:space="preserve">Figure S10. </w:t>
      </w:r>
      <w:r w:rsidRPr="004046EA">
        <w:rPr>
          <w:rFonts w:ascii="Times New Roman" w:hAnsi="Times New Roman" w:cs="Times New Roman"/>
          <w:sz w:val="24"/>
          <w:szCs w:val="24"/>
        </w:rPr>
        <w:t>RNF185 mediates TUFM degradation and functions as a positive regulator of SVA-induced mitophagy in PK-15 cells. (</w:t>
      </w:r>
      <w:r w:rsidRPr="004046EA">
        <w:rPr>
          <w:rFonts w:ascii="Times New Roman" w:hAnsi="Times New Roman" w:cs="Times New Roman"/>
          <w:b/>
          <w:bCs/>
          <w:sz w:val="24"/>
          <w:szCs w:val="24"/>
        </w:rPr>
        <w:t>A</w:t>
      </w:r>
      <w:r w:rsidRPr="004046EA">
        <w:rPr>
          <w:rFonts w:ascii="Times New Roman" w:hAnsi="Times New Roman" w:cs="Times New Roman"/>
          <w:sz w:val="24"/>
          <w:szCs w:val="24"/>
        </w:rPr>
        <w:t xml:space="preserve">) PK-15 cells were mock transfected (MT) or transfected with 40 </w:t>
      </w:r>
      <w:proofErr w:type="spellStart"/>
      <w:r w:rsidRPr="004046EA">
        <w:rPr>
          <w:rFonts w:ascii="Times New Roman" w:hAnsi="Times New Roman" w:cs="Times New Roman"/>
          <w:sz w:val="24"/>
          <w:szCs w:val="24"/>
        </w:rPr>
        <w:t>pmol</w:t>
      </w:r>
      <w:proofErr w:type="spellEnd"/>
      <w:r w:rsidRPr="004046EA">
        <w:rPr>
          <w:rFonts w:ascii="Times New Roman" w:hAnsi="Times New Roman" w:cs="Times New Roman"/>
          <w:sz w:val="24"/>
          <w:szCs w:val="24"/>
        </w:rPr>
        <w:t>/well of si</w:t>
      </w:r>
      <w:r w:rsidRPr="004046EA">
        <w:rPr>
          <w:rFonts w:ascii="Times New Roman" w:hAnsi="Times New Roman" w:cs="Times New Roman"/>
          <w:i/>
          <w:iCs/>
          <w:sz w:val="24"/>
          <w:szCs w:val="24"/>
        </w:rPr>
        <w:t>RNF185</w:t>
      </w:r>
      <w:r w:rsidRPr="004046EA">
        <w:rPr>
          <w:rFonts w:ascii="Times New Roman" w:hAnsi="Times New Roman" w:cs="Times New Roman"/>
          <w:sz w:val="24"/>
          <w:szCs w:val="24"/>
        </w:rPr>
        <w:t xml:space="preserve">-pig or </w:t>
      </w:r>
      <w:proofErr w:type="spellStart"/>
      <w:r w:rsidRPr="004046EA">
        <w:rPr>
          <w:rFonts w:ascii="Times New Roman" w:hAnsi="Times New Roman" w:cs="Times New Roman"/>
          <w:sz w:val="24"/>
          <w:szCs w:val="24"/>
        </w:rPr>
        <w:t>si</w:t>
      </w:r>
      <w:r w:rsidRPr="004046EA">
        <w:rPr>
          <w:rFonts w:ascii="Times New Roman" w:hAnsi="Times New Roman" w:cs="Times New Roman"/>
          <w:i/>
          <w:iCs/>
          <w:sz w:val="24"/>
          <w:szCs w:val="24"/>
        </w:rPr>
        <w:t>NC</w:t>
      </w:r>
      <w:proofErr w:type="spellEnd"/>
      <w:r w:rsidRPr="004046EA">
        <w:rPr>
          <w:rFonts w:ascii="Times New Roman" w:hAnsi="Times New Roman" w:cs="Times New Roman"/>
          <w:sz w:val="24"/>
          <w:szCs w:val="24"/>
        </w:rPr>
        <w:t xml:space="preserve"> for 24 h. Then the cells were mock infected or infected with SVA </w:t>
      </w:r>
      <w:r w:rsidR="00CA38E6" w:rsidRPr="004046EA">
        <w:rPr>
          <w:rFonts w:ascii="Times New Roman" w:hAnsi="Times New Roman" w:cs="Times New Roman"/>
          <w:sz w:val="24"/>
          <w:szCs w:val="24"/>
        </w:rPr>
        <w:t>(</w:t>
      </w:r>
      <w:r w:rsidRPr="004046EA">
        <w:rPr>
          <w:rFonts w:ascii="Times New Roman" w:hAnsi="Times New Roman" w:cs="Times New Roman"/>
          <w:sz w:val="24"/>
          <w:szCs w:val="24"/>
        </w:rPr>
        <w:t>MOI</w:t>
      </w:r>
      <w:r w:rsidR="00CA38E6" w:rsidRPr="004046EA">
        <w:rPr>
          <w:rFonts w:ascii="Times New Roman" w:hAnsi="Times New Roman" w:cs="Times New Roman"/>
          <w:sz w:val="24"/>
          <w:szCs w:val="24"/>
        </w:rPr>
        <w:t>=</w:t>
      </w:r>
      <w:r w:rsidRPr="004046EA">
        <w:rPr>
          <w:rFonts w:ascii="Times New Roman" w:hAnsi="Times New Roman" w:cs="Times New Roman"/>
          <w:sz w:val="24"/>
          <w:szCs w:val="24"/>
        </w:rPr>
        <w:t>0.1</w:t>
      </w:r>
      <w:r w:rsidR="00CA38E6" w:rsidRPr="004046EA">
        <w:rPr>
          <w:rFonts w:ascii="Times New Roman" w:hAnsi="Times New Roman" w:cs="Times New Roman"/>
          <w:sz w:val="24"/>
          <w:szCs w:val="24"/>
        </w:rPr>
        <w:t>)</w:t>
      </w:r>
      <w:r w:rsidRPr="004046EA">
        <w:rPr>
          <w:rFonts w:ascii="Times New Roman" w:hAnsi="Times New Roman" w:cs="Times New Roman"/>
          <w:sz w:val="24"/>
          <w:szCs w:val="24"/>
        </w:rPr>
        <w:t xml:space="preserve"> for an additional 24 h. The cells were </w:t>
      </w:r>
      <w:r w:rsidR="00CA38E6" w:rsidRPr="004046EA">
        <w:rPr>
          <w:rFonts w:ascii="Times New Roman" w:hAnsi="Times New Roman" w:cs="Times New Roman"/>
          <w:sz w:val="24"/>
          <w:szCs w:val="24"/>
        </w:rPr>
        <w:t xml:space="preserve">analyzed by </w:t>
      </w:r>
      <w:r w:rsidRPr="004046EA">
        <w:rPr>
          <w:rFonts w:ascii="Times New Roman" w:hAnsi="Times New Roman" w:cs="Times New Roman"/>
          <w:sz w:val="24"/>
          <w:szCs w:val="24"/>
        </w:rPr>
        <w:t>western blot analyses. (</w:t>
      </w:r>
      <w:r w:rsidRPr="004046EA">
        <w:rPr>
          <w:rFonts w:ascii="Times New Roman" w:hAnsi="Times New Roman" w:cs="Times New Roman"/>
          <w:b/>
          <w:bCs/>
          <w:sz w:val="24"/>
          <w:szCs w:val="24"/>
        </w:rPr>
        <w:t>B</w:t>
      </w:r>
      <w:r w:rsidRPr="004046EA">
        <w:rPr>
          <w:rFonts w:ascii="Times New Roman" w:hAnsi="Times New Roman" w:cs="Times New Roman"/>
          <w:sz w:val="24"/>
          <w:szCs w:val="24"/>
        </w:rPr>
        <w:t xml:space="preserve">) Densitometry of the target protein bands </w:t>
      </w:r>
      <w:r w:rsidR="00CA38E6" w:rsidRPr="004046EA">
        <w:rPr>
          <w:rFonts w:ascii="Times New Roman" w:hAnsi="Times New Roman" w:cs="Times New Roman"/>
          <w:sz w:val="24"/>
          <w:szCs w:val="24"/>
        </w:rPr>
        <w:t xml:space="preserve">shown in (A) </w:t>
      </w:r>
      <w:r w:rsidRPr="004046EA">
        <w:rPr>
          <w:rFonts w:ascii="Times New Roman" w:hAnsi="Times New Roman" w:cs="Times New Roman"/>
          <w:sz w:val="24"/>
          <w:szCs w:val="24"/>
        </w:rPr>
        <w:t xml:space="preserve">and calculation of their relative densitometric ratios to </w:t>
      </w:r>
      <w:r w:rsidR="006349F4" w:rsidRPr="004046EA">
        <w:rPr>
          <w:rFonts w:ascii="Times New Roman" w:hAnsi="Times New Roman" w:cs="Times New Roman"/>
          <w:sz w:val="24"/>
          <w:szCs w:val="24"/>
        </w:rPr>
        <w:t>ACTB/</w:t>
      </w:r>
      <w:r w:rsidRPr="004046EA">
        <w:rPr>
          <w:rFonts w:ascii="Times New Roman" w:hAnsi="Times New Roman" w:cs="Times New Roman"/>
          <w:sz w:val="24"/>
          <w:szCs w:val="24"/>
        </w:rPr>
        <w:t>β-actin. (</w:t>
      </w:r>
      <w:r w:rsidRPr="004046EA">
        <w:rPr>
          <w:rFonts w:ascii="Times New Roman" w:hAnsi="Times New Roman" w:cs="Times New Roman"/>
          <w:b/>
          <w:bCs/>
          <w:sz w:val="24"/>
          <w:szCs w:val="24"/>
        </w:rPr>
        <w:t>C</w:t>
      </w:r>
      <w:r w:rsidRPr="004046EA">
        <w:rPr>
          <w:rFonts w:ascii="Times New Roman" w:hAnsi="Times New Roman" w:cs="Times New Roman"/>
          <w:sz w:val="24"/>
          <w:szCs w:val="24"/>
        </w:rPr>
        <w:t xml:space="preserve">) PK-15 cells were transfected with </w:t>
      </w:r>
      <w:proofErr w:type="spellStart"/>
      <w:r w:rsidRPr="004046EA">
        <w:rPr>
          <w:rFonts w:ascii="Times New Roman" w:hAnsi="Times New Roman" w:cs="Times New Roman"/>
          <w:sz w:val="24"/>
          <w:szCs w:val="24"/>
        </w:rPr>
        <w:t>pCMV</w:t>
      </w:r>
      <w:proofErr w:type="spellEnd"/>
      <w:r w:rsidRPr="004046EA">
        <w:rPr>
          <w:rFonts w:ascii="Times New Roman" w:hAnsi="Times New Roman" w:cs="Times New Roman"/>
          <w:sz w:val="24"/>
          <w:szCs w:val="24"/>
        </w:rPr>
        <w:t>-M</w:t>
      </w:r>
      <w:r w:rsidR="001A643D" w:rsidRPr="004046EA">
        <w:rPr>
          <w:rFonts w:ascii="Times New Roman" w:hAnsi="Times New Roman" w:cs="Times New Roman"/>
          <w:sz w:val="24"/>
          <w:szCs w:val="24"/>
        </w:rPr>
        <w:t>YC</w:t>
      </w:r>
      <w:r w:rsidRPr="004046EA">
        <w:rPr>
          <w:rFonts w:ascii="Times New Roman" w:hAnsi="Times New Roman" w:cs="Times New Roman"/>
          <w:sz w:val="24"/>
          <w:szCs w:val="24"/>
        </w:rPr>
        <w:t xml:space="preserve"> or 0.5, 1, or 2 </w:t>
      </w:r>
      <w:proofErr w:type="spellStart"/>
      <w:r w:rsidRPr="004046EA">
        <w:rPr>
          <w:rFonts w:ascii="Times New Roman" w:hAnsi="Times New Roman" w:cs="Times New Roman"/>
          <w:sz w:val="24"/>
          <w:szCs w:val="24"/>
        </w:rPr>
        <w:t>μg</w:t>
      </w:r>
      <w:proofErr w:type="spellEnd"/>
      <w:r w:rsidRPr="004046EA">
        <w:rPr>
          <w:rFonts w:ascii="Times New Roman" w:hAnsi="Times New Roman" w:cs="Times New Roman"/>
          <w:sz w:val="24"/>
          <w:szCs w:val="24"/>
        </w:rPr>
        <w:t>/well of pCMV-M</w:t>
      </w:r>
      <w:r w:rsidR="001A643D" w:rsidRPr="004046EA">
        <w:rPr>
          <w:rFonts w:ascii="Times New Roman" w:hAnsi="Times New Roman" w:cs="Times New Roman"/>
          <w:sz w:val="24"/>
          <w:szCs w:val="24"/>
        </w:rPr>
        <w:t>YC</w:t>
      </w:r>
      <w:r w:rsidRPr="004046EA">
        <w:rPr>
          <w:rFonts w:ascii="Times New Roman" w:hAnsi="Times New Roman" w:cs="Times New Roman"/>
          <w:sz w:val="24"/>
          <w:szCs w:val="24"/>
        </w:rPr>
        <w:t xml:space="preserve">-RNF185 for 24 h, and then mock infected or infected with SVA at an MOI of 0.1 for additional 24 h. The cells were </w:t>
      </w:r>
      <w:r w:rsidR="00CA38E6" w:rsidRPr="004046EA">
        <w:rPr>
          <w:rFonts w:ascii="Times New Roman" w:hAnsi="Times New Roman" w:cs="Times New Roman"/>
          <w:sz w:val="24"/>
          <w:szCs w:val="24"/>
        </w:rPr>
        <w:t>analyzed by</w:t>
      </w:r>
      <w:r w:rsidRPr="004046EA">
        <w:rPr>
          <w:rFonts w:ascii="Times New Roman" w:hAnsi="Times New Roman" w:cs="Times New Roman"/>
          <w:sz w:val="24"/>
          <w:szCs w:val="24"/>
        </w:rPr>
        <w:t xml:space="preserve"> western blot analyses. (</w:t>
      </w:r>
      <w:r w:rsidRPr="004046EA">
        <w:rPr>
          <w:rFonts w:ascii="Times New Roman" w:hAnsi="Times New Roman" w:cs="Times New Roman"/>
          <w:b/>
          <w:bCs/>
          <w:sz w:val="24"/>
          <w:szCs w:val="24"/>
        </w:rPr>
        <w:t>D</w:t>
      </w:r>
      <w:r w:rsidRPr="004046EA">
        <w:rPr>
          <w:rFonts w:ascii="Times New Roman" w:hAnsi="Times New Roman" w:cs="Times New Roman"/>
          <w:sz w:val="24"/>
          <w:szCs w:val="24"/>
        </w:rPr>
        <w:t>) Densitometric analysis of the target proteins shown in (C). (</w:t>
      </w:r>
      <w:r w:rsidRPr="004046EA">
        <w:rPr>
          <w:rFonts w:ascii="Times New Roman" w:hAnsi="Times New Roman" w:cs="Times New Roman"/>
          <w:b/>
          <w:bCs/>
          <w:sz w:val="24"/>
          <w:szCs w:val="24"/>
        </w:rPr>
        <w:t>E</w:t>
      </w:r>
      <w:r w:rsidRPr="004046EA">
        <w:rPr>
          <w:rFonts w:ascii="Times New Roman" w:hAnsi="Times New Roman" w:cs="Times New Roman"/>
          <w:sz w:val="24"/>
          <w:szCs w:val="24"/>
        </w:rPr>
        <w:t xml:space="preserve">) PK-15 cells were transfected and then infected as described in (A). The silencing of TUFM was confirmed by western blot </w:t>
      </w:r>
      <w:r w:rsidRPr="004046EA">
        <w:rPr>
          <w:rFonts w:ascii="Times New Roman" w:hAnsi="Times New Roman" w:cs="Times New Roman"/>
          <w:sz w:val="24"/>
          <w:szCs w:val="24"/>
        </w:rPr>
        <w:lastRenderedPageBreak/>
        <w:t xml:space="preserve">prior to virus titration. At 12, 24, 36, and 48 </w:t>
      </w:r>
      <w:proofErr w:type="spellStart"/>
      <w:r w:rsidRPr="004046EA">
        <w:rPr>
          <w:rFonts w:ascii="Times New Roman" w:hAnsi="Times New Roman" w:cs="Times New Roman"/>
          <w:sz w:val="24"/>
          <w:szCs w:val="24"/>
        </w:rPr>
        <w:t>hpi</w:t>
      </w:r>
      <w:proofErr w:type="spellEnd"/>
      <w:r w:rsidRPr="004046EA">
        <w:rPr>
          <w:rFonts w:ascii="Times New Roman" w:hAnsi="Times New Roman" w:cs="Times New Roman"/>
          <w:sz w:val="24"/>
          <w:szCs w:val="24"/>
        </w:rPr>
        <w:t>, viral samples were harvested, and viral titers were detected by TCID</w:t>
      </w:r>
      <w:r w:rsidRPr="004046EA">
        <w:rPr>
          <w:rFonts w:ascii="Times New Roman" w:hAnsi="Times New Roman" w:cs="Times New Roman"/>
          <w:sz w:val="24"/>
          <w:szCs w:val="24"/>
          <w:vertAlign w:val="subscript"/>
        </w:rPr>
        <w:t>50</w:t>
      </w:r>
      <w:r w:rsidRPr="004046EA">
        <w:rPr>
          <w:rFonts w:ascii="Times New Roman" w:hAnsi="Times New Roman" w:cs="Times New Roman"/>
          <w:sz w:val="24"/>
          <w:szCs w:val="24"/>
        </w:rPr>
        <w:t xml:space="preserve"> assay on BHK-21 cells. (</w:t>
      </w:r>
      <w:r w:rsidRPr="004046EA">
        <w:rPr>
          <w:rFonts w:ascii="Times New Roman" w:hAnsi="Times New Roman" w:cs="Times New Roman"/>
          <w:b/>
          <w:bCs/>
          <w:sz w:val="24"/>
          <w:szCs w:val="24"/>
        </w:rPr>
        <w:t>F</w:t>
      </w:r>
      <w:r w:rsidRPr="004046EA">
        <w:rPr>
          <w:rFonts w:ascii="Times New Roman" w:hAnsi="Times New Roman" w:cs="Times New Roman"/>
          <w:sz w:val="24"/>
          <w:szCs w:val="24"/>
        </w:rPr>
        <w:t>) PK-15 cells were transfected and then infected as described in (C). Viral titrations were performed and analyzed as described in (E). All experiments related to this figure were conducted in three independent biological replicates. Data are shown as mean ± SD of three independent experiments (two-way ANOVA; ns, no significance;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0.05;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0.01; ***</w:t>
      </w:r>
      <w:r w:rsidRPr="004046EA">
        <w:rPr>
          <w:rFonts w:ascii="Times New Roman" w:hAnsi="Times New Roman" w:cs="Times New Roman"/>
          <w:i/>
          <w:iCs/>
          <w:sz w:val="24"/>
          <w:szCs w:val="24"/>
        </w:rPr>
        <w:t>P</w:t>
      </w:r>
      <w:r w:rsidRPr="004046EA">
        <w:rPr>
          <w:rFonts w:ascii="Times New Roman" w:hAnsi="Times New Roman" w:cs="Times New Roman"/>
          <w:sz w:val="24"/>
          <w:szCs w:val="24"/>
        </w:rPr>
        <w:t xml:space="preserve"> &lt; 0.001).</w:t>
      </w:r>
    </w:p>
    <w:sectPr w:rsidR="00C9076F" w:rsidRPr="00C80AC0">
      <w:footerReference w:type="default" r:id="rId1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31FCD1" w14:textId="77777777" w:rsidR="00DF60A9" w:rsidRDefault="00DF60A9" w:rsidP="00535591">
      <w:r>
        <w:separator/>
      </w:r>
    </w:p>
  </w:endnote>
  <w:endnote w:type="continuationSeparator" w:id="0">
    <w:p w14:paraId="5A8C6FC1" w14:textId="77777777" w:rsidR="00DF60A9" w:rsidRDefault="00DF60A9" w:rsidP="005355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6492393"/>
      <w:docPartObj>
        <w:docPartGallery w:val="Page Numbers (Bottom of Page)"/>
        <w:docPartUnique/>
      </w:docPartObj>
    </w:sdtPr>
    <w:sdtContent>
      <w:p w14:paraId="713A4ED4" w14:textId="4178D8AD" w:rsidR="00535591" w:rsidRDefault="00535591">
        <w:pPr>
          <w:pStyle w:val="a5"/>
          <w:jc w:val="center"/>
        </w:pPr>
        <w:r>
          <w:fldChar w:fldCharType="begin"/>
        </w:r>
        <w:r>
          <w:instrText>PAGE   \* MERGEFORMAT</w:instrText>
        </w:r>
        <w:r>
          <w:fldChar w:fldCharType="separate"/>
        </w:r>
        <w:r w:rsidR="000F5438" w:rsidRPr="000F5438">
          <w:rPr>
            <w:noProof/>
            <w:lang w:val="zh-CN"/>
          </w:rPr>
          <w:t>1</w:t>
        </w:r>
        <w:r>
          <w:fldChar w:fldCharType="end"/>
        </w:r>
      </w:p>
    </w:sdtContent>
  </w:sdt>
  <w:p w14:paraId="5EE48120" w14:textId="77777777" w:rsidR="00535591" w:rsidRDefault="0053559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AC55B" w14:textId="77777777" w:rsidR="00DF60A9" w:rsidRDefault="00DF60A9" w:rsidP="00535591">
      <w:r>
        <w:separator/>
      </w:r>
    </w:p>
  </w:footnote>
  <w:footnote w:type="continuationSeparator" w:id="0">
    <w:p w14:paraId="077227A5" w14:textId="77777777" w:rsidR="00DF60A9" w:rsidRDefault="00DF60A9" w:rsidP="0053559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AF9"/>
    <w:rsid w:val="00097696"/>
    <w:rsid w:val="000A2D98"/>
    <w:rsid w:val="000B606E"/>
    <w:rsid w:val="000F5438"/>
    <w:rsid w:val="001061BB"/>
    <w:rsid w:val="00110130"/>
    <w:rsid w:val="00125016"/>
    <w:rsid w:val="001632D2"/>
    <w:rsid w:val="00181F96"/>
    <w:rsid w:val="001A643D"/>
    <w:rsid w:val="001C4686"/>
    <w:rsid w:val="001E781A"/>
    <w:rsid w:val="001F4A6E"/>
    <w:rsid w:val="00222B62"/>
    <w:rsid w:val="002B755E"/>
    <w:rsid w:val="002D1334"/>
    <w:rsid w:val="00317D57"/>
    <w:rsid w:val="00363D10"/>
    <w:rsid w:val="003747A7"/>
    <w:rsid w:val="00380B9D"/>
    <w:rsid w:val="00395B0B"/>
    <w:rsid w:val="003D01BD"/>
    <w:rsid w:val="003F36D0"/>
    <w:rsid w:val="004014D7"/>
    <w:rsid w:val="004046EA"/>
    <w:rsid w:val="00413F93"/>
    <w:rsid w:val="00442E78"/>
    <w:rsid w:val="004700F3"/>
    <w:rsid w:val="004C1137"/>
    <w:rsid w:val="004E0001"/>
    <w:rsid w:val="004F7693"/>
    <w:rsid w:val="00535591"/>
    <w:rsid w:val="005427D4"/>
    <w:rsid w:val="005A4825"/>
    <w:rsid w:val="005A59BE"/>
    <w:rsid w:val="005B2369"/>
    <w:rsid w:val="005B3FF0"/>
    <w:rsid w:val="005D6AC0"/>
    <w:rsid w:val="00603EFE"/>
    <w:rsid w:val="006056F0"/>
    <w:rsid w:val="006104DE"/>
    <w:rsid w:val="006349F4"/>
    <w:rsid w:val="00661DC9"/>
    <w:rsid w:val="0069258A"/>
    <w:rsid w:val="006F4798"/>
    <w:rsid w:val="00767278"/>
    <w:rsid w:val="007F3517"/>
    <w:rsid w:val="00831987"/>
    <w:rsid w:val="00867B88"/>
    <w:rsid w:val="008B09C8"/>
    <w:rsid w:val="008B2C72"/>
    <w:rsid w:val="00963CBC"/>
    <w:rsid w:val="00966B08"/>
    <w:rsid w:val="00972C26"/>
    <w:rsid w:val="009A0FDE"/>
    <w:rsid w:val="009C1DD2"/>
    <w:rsid w:val="009C3338"/>
    <w:rsid w:val="00A80F80"/>
    <w:rsid w:val="00AD1BD8"/>
    <w:rsid w:val="00AE2C02"/>
    <w:rsid w:val="00AE78EF"/>
    <w:rsid w:val="00AF562B"/>
    <w:rsid w:val="00B3569F"/>
    <w:rsid w:val="00B50E06"/>
    <w:rsid w:val="00B57166"/>
    <w:rsid w:val="00B82422"/>
    <w:rsid w:val="00B90EB6"/>
    <w:rsid w:val="00BB0FFD"/>
    <w:rsid w:val="00BB7871"/>
    <w:rsid w:val="00BF6EFC"/>
    <w:rsid w:val="00C13E12"/>
    <w:rsid w:val="00C43E7D"/>
    <w:rsid w:val="00C80AC0"/>
    <w:rsid w:val="00C9076F"/>
    <w:rsid w:val="00CA38E6"/>
    <w:rsid w:val="00D2457E"/>
    <w:rsid w:val="00D353C3"/>
    <w:rsid w:val="00D45808"/>
    <w:rsid w:val="00D56A84"/>
    <w:rsid w:val="00D66298"/>
    <w:rsid w:val="00D726C2"/>
    <w:rsid w:val="00D87D86"/>
    <w:rsid w:val="00DB17C4"/>
    <w:rsid w:val="00DF5AF9"/>
    <w:rsid w:val="00DF60A9"/>
    <w:rsid w:val="00E45999"/>
    <w:rsid w:val="00E539C2"/>
    <w:rsid w:val="00E91E5C"/>
    <w:rsid w:val="00EB36B4"/>
    <w:rsid w:val="00EC020B"/>
    <w:rsid w:val="00EC5714"/>
    <w:rsid w:val="00EC6098"/>
    <w:rsid w:val="00EE19FC"/>
    <w:rsid w:val="00EE6787"/>
    <w:rsid w:val="00F2154A"/>
    <w:rsid w:val="00F21919"/>
    <w:rsid w:val="00F506D5"/>
    <w:rsid w:val="00F65DD4"/>
    <w:rsid w:val="00F837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934D2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10130"/>
    <w:pPr>
      <w:widowControl w:val="0"/>
      <w:jc w:val="both"/>
    </w:pPr>
    <w:rPr>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5591"/>
    <w:pPr>
      <w:tabs>
        <w:tab w:val="center" w:pos="4153"/>
        <w:tab w:val="right" w:pos="8306"/>
      </w:tabs>
      <w:snapToGrid w:val="0"/>
      <w:jc w:val="center"/>
    </w:pPr>
    <w:rPr>
      <w:sz w:val="18"/>
      <w:szCs w:val="18"/>
    </w:rPr>
  </w:style>
  <w:style w:type="character" w:customStyle="1" w:styleId="a4">
    <w:name w:val="页眉 字符"/>
    <w:basedOn w:val="a0"/>
    <w:link w:val="a3"/>
    <w:uiPriority w:val="99"/>
    <w:rsid w:val="00535591"/>
    <w:rPr>
      <w:sz w:val="18"/>
      <w:szCs w:val="18"/>
      <w14:ligatures w14:val="none"/>
    </w:rPr>
  </w:style>
  <w:style w:type="paragraph" w:styleId="a5">
    <w:name w:val="footer"/>
    <w:basedOn w:val="a"/>
    <w:link w:val="a6"/>
    <w:uiPriority w:val="99"/>
    <w:unhideWhenUsed/>
    <w:rsid w:val="00535591"/>
    <w:pPr>
      <w:tabs>
        <w:tab w:val="center" w:pos="4153"/>
        <w:tab w:val="right" w:pos="8306"/>
      </w:tabs>
      <w:snapToGrid w:val="0"/>
      <w:jc w:val="left"/>
    </w:pPr>
    <w:rPr>
      <w:sz w:val="18"/>
      <w:szCs w:val="18"/>
    </w:rPr>
  </w:style>
  <w:style w:type="character" w:customStyle="1" w:styleId="a6">
    <w:name w:val="页脚 字符"/>
    <w:basedOn w:val="a0"/>
    <w:link w:val="a5"/>
    <w:uiPriority w:val="99"/>
    <w:rsid w:val="00535591"/>
    <w:rPr>
      <w:sz w:val="18"/>
      <w:szCs w:val="18"/>
      <w14:ligatures w14:val="none"/>
    </w:rPr>
  </w:style>
  <w:style w:type="paragraph" w:styleId="a7">
    <w:name w:val="Revision"/>
    <w:hidden/>
    <w:uiPriority w:val="99"/>
    <w:semiHidden/>
    <w:rsid w:val="00EE6787"/>
    <w:rPr>
      <w14:ligatures w14:val="none"/>
    </w:rPr>
  </w:style>
  <w:style w:type="character" w:styleId="a8">
    <w:name w:val="Hyperlink"/>
    <w:basedOn w:val="a0"/>
    <w:uiPriority w:val="99"/>
    <w:unhideWhenUsed/>
    <w:rsid w:val="00317D57"/>
    <w:rPr>
      <w:color w:val="0563C1" w:themeColor="hyperlink"/>
      <w:u w:val="single"/>
    </w:rPr>
  </w:style>
  <w:style w:type="character" w:customStyle="1" w:styleId="1">
    <w:name w:val="未处理的提及1"/>
    <w:basedOn w:val="a0"/>
    <w:uiPriority w:val="99"/>
    <w:semiHidden/>
    <w:unhideWhenUsed/>
    <w:rsid w:val="00317D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1798</Words>
  <Characters>10250</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2023-11-17T18:56:00Z</dcterms:created>
  <dcterms:modified xsi:type="dcterms:W3CDTF">2023-11-20T10:57:00Z</dcterms:modified>
</cp:coreProperties>
</file>