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tbl>
      <w:tblPr>
        <w:tblStyle w:val="4"/>
        <w:tblpPr w:leftFromText="180" w:rightFromText="180" w:vertAnchor="text" w:tblpY="1"/>
        <w:tblOverlap w:val="never"/>
        <w:tblW w:w="9493" w:type="dxa"/>
        <w:tblInd w:w="0" w:type="dxa"/>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40"/>
        <w:gridCol w:w="1290"/>
        <w:gridCol w:w="2115"/>
        <w:gridCol w:w="3555"/>
        <w:gridCol w:w="993"/>
      </w:tblGrid>
      <w:tr>
        <w:tblPrEx>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0" w:type="dxa"/>
            <w:tcBorders>
              <w:bottom w:val="single" w:color="7E7E7E" w:themeColor="text1" w:themeTint="80" w:sz="4" w:space="0"/>
              <w:insideH w:val="single" w:sz="4" w:space="0"/>
            </w:tcBorders>
          </w:tcPr>
          <w:p>
            <w:pPr>
              <w:spacing w:line="480" w:lineRule="auto"/>
              <w:rPr>
                <w:rFonts w:hint="default" w:ascii="Times New Roman" w:hAnsi="Times New Roman" w:cs="Times New Roman"/>
                <w:b/>
                <w:bCs/>
                <w:sz w:val="22"/>
                <w:szCs w:val="22"/>
              </w:rPr>
            </w:pPr>
            <w:r>
              <w:rPr>
                <w:rFonts w:hint="default" w:ascii="Times New Roman" w:hAnsi="Times New Roman" w:cs="Times New Roman"/>
                <w:b/>
                <w:bCs/>
                <w:sz w:val="22"/>
                <w:szCs w:val="22"/>
              </w:rPr>
              <w:t>Type of vesicles</w:t>
            </w:r>
          </w:p>
        </w:tc>
        <w:tc>
          <w:tcPr>
            <w:tcW w:w="1290" w:type="dxa"/>
            <w:tcBorders>
              <w:bottom w:val="single" w:color="7E7E7E" w:themeColor="text1" w:themeTint="80" w:sz="4" w:space="0"/>
              <w:insideH w:val="single" w:sz="4" w:space="0"/>
            </w:tcBorders>
          </w:tcPr>
          <w:p>
            <w:pPr>
              <w:spacing w:line="480" w:lineRule="auto"/>
              <w:rPr>
                <w:rFonts w:hint="default" w:ascii="Times New Roman" w:hAnsi="Times New Roman" w:cs="Times New Roman"/>
                <w:b/>
                <w:bCs/>
                <w:sz w:val="22"/>
                <w:szCs w:val="22"/>
              </w:rPr>
            </w:pPr>
            <w:r>
              <w:rPr>
                <w:rFonts w:hint="default" w:ascii="Times New Roman" w:hAnsi="Times New Roman" w:cs="Times New Roman"/>
                <w:b/>
                <w:bCs/>
                <w:sz w:val="22"/>
                <w:szCs w:val="22"/>
              </w:rPr>
              <w:t>Model drug</w:t>
            </w:r>
          </w:p>
        </w:tc>
        <w:tc>
          <w:tcPr>
            <w:tcW w:w="2115" w:type="dxa"/>
            <w:tcBorders>
              <w:bottom w:val="single" w:color="7E7E7E" w:themeColor="text1" w:themeTint="80" w:sz="4" w:space="0"/>
              <w:insideH w:val="single" w:sz="4" w:space="0"/>
            </w:tcBorders>
          </w:tcPr>
          <w:p>
            <w:pPr>
              <w:spacing w:line="480" w:lineRule="auto"/>
              <w:rPr>
                <w:rFonts w:hint="default" w:ascii="Times New Roman" w:hAnsi="Times New Roman" w:cs="Times New Roman"/>
                <w:b/>
                <w:bCs/>
                <w:sz w:val="22"/>
                <w:szCs w:val="22"/>
              </w:rPr>
            </w:pPr>
            <w:r>
              <w:rPr>
                <w:rFonts w:hint="default" w:ascii="Times New Roman" w:hAnsi="Times New Roman" w:cs="Times New Roman"/>
                <w:b/>
                <w:bCs/>
                <w:sz w:val="22"/>
                <w:szCs w:val="22"/>
              </w:rPr>
              <w:t>Composition</w:t>
            </w:r>
          </w:p>
        </w:tc>
        <w:tc>
          <w:tcPr>
            <w:tcW w:w="3555" w:type="dxa"/>
            <w:tcBorders>
              <w:bottom w:val="single" w:color="7E7E7E" w:themeColor="text1" w:themeTint="80" w:sz="4" w:space="0"/>
              <w:insideH w:val="single" w:sz="4" w:space="0"/>
            </w:tcBorders>
          </w:tcPr>
          <w:p>
            <w:pPr>
              <w:spacing w:line="480" w:lineRule="auto"/>
              <w:rPr>
                <w:rFonts w:hint="default" w:ascii="Times New Roman" w:hAnsi="Times New Roman" w:cs="Times New Roman"/>
                <w:b/>
                <w:bCs/>
                <w:sz w:val="22"/>
                <w:szCs w:val="22"/>
              </w:rPr>
            </w:pPr>
            <w:r>
              <w:rPr>
                <w:rFonts w:hint="default" w:ascii="Times New Roman" w:hAnsi="Times New Roman" w:cs="Times New Roman"/>
                <w:b/>
                <w:bCs/>
                <w:sz w:val="22"/>
                <w:szCs w:val="22"/>
              </w:rPr>
              <w:t>Results</w:t>
            </w:r>
          </w:p>
        </w:tc>
        <w:tc>
          <w:tcPr>
            <w:tcW w:w="993" w:type="dxa"/>
            <w:tcBorders>
              <w:bottom w:val="single" w:color="7E7E7E" w:themeColor="text1" w:themeTint="80" w:sz="4" w:space="0"/>
              <w:insideH w:val="single" w:sz="4" w:space="0"/>
            </w:tcBorders>
          </w:tcPr>
          <w:p>
            <w:pPr>
              <w:spacing w:line="480" w:lineRule="auto"/>
              <w:jc w:val="both"/>
              <w:rPr>
                <w:rFonts w:hint="default" w:ascii="Times New Roman" w:hAnsi="Times New Roman" w:cs="Times New Roman"/>
                <w:b/>
                <w:bCs/>
                <w:sz w:val="22"/>
                <w:szCs w:val="22"/>
              </w:rPr>
            </w:pPr>
            <w:r>
              <w:rPr>
                <w:rFonts w:hint="default" w:ascii="Times New Roman" w:hAnsi="Times New Roman" w:cs="Times New Roman"/>
                <w:b/>
                <w:bCs/>
                <w:sz w:val="22"/>
                <w:szCs w:val="22"/>
              </w:rPr>
              <w:t>Reference</w:t>
            </w:r>
          </w:p>
        </w:tc>
      </w:tr>
      <w:tr>
        <w:tblPrEx>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0" w:type="dxa"/>
            <w:tcBorders>
              <w:top w:val="single" w:color="7E7E7E" w:themeColor="text1" w:themeTint="80" w:sz="4" w:space="0"/>
              <w:bottom w:val="single" w:color="7E7E7E" w:themeColor="text1" w:themeTint="80" w:sz="4" w:space="0"/>
            </w:tcBorders>
          </w:tcPr>
          <w:p>
            <w:pPr>
              <w:spacing w:line="480" w:lineRule="auto"/>
              <w:rPr>
                <w:rFonts w:hint="default" w:ascii="Times New Roman" w:hAnsi="Times New Roman" w:cs="Times New Roman"/>
                <w:b w:val="0"/>
                <w:bCs w:val="0"/>
                <w:sz w:val="22"/>
                <w:szCs w:val="22"/>
              </w:rPr>
            </w:pPr>
          </w:p>
        </w:tc>
        <w:tc>
          <w:tcPr>
            <w:tcW w:w="1290" w:type="dxa"/>
            <w:tcBorders>
              <w:top w:val="single" w:color="7E7E7E" w:themeColor="text1" w:themeTint="80" w:sz="4" w:space="0"/>
              <w:bottom w:val="single" w:color="7E7E7E" w:themeColor="text1" w:themeTint="80" w:sz="4" w:space="0"/>
            </w:tcBorders>
          </w:tcPr>
          <w:p>
            <w:pPr>
              <w:spacing w:line="480" w:lineRule="auto"/>
              <w:rPr>
                <w:rFonts w:hint="default" w:ascii="Times New Roman" w:hAnsi="Times New Roman" w:cs="Times New Roman"/>
                <w:sz w:val="22"/>
                <w:szCs w:val="22"/>
              </w:rPr>
            </w:pPr>
          </w:p>
        </w:tc>
        <w:tc>
          <w:tcPr>
            <w:tcW w:w="2115" w:type="dxa"/>
            <w:tcBorders>
              <w:top w:val="single" w:color="7E7E7E" w:themeColor="text1" w:themeTint="80" w:sz="4" w:space="0"/>
              <w:bottom w:val="single" w:color="7E7E7E" w:themeColor="text1" w:themeTint="80" w:sz="4" w:space="0"/>
            </w:tcBorders>
          </w:tcPr>
          <w:p>
            <w:pPr>
              <w:spacing w:line="480" w:lineRule="auto"/>
              <w:rPr>
                <w:rFonts w:hint="default" w:ascii="Times New Roman" w:hAnsi="Times New Roman" w:cs="Times New Roman"/>
                <w:sz w:val="22"/>
                <w:szCs w:val="22"/>
              </w:rPr>
            </w:pPr>
          </w:p>
        </w:tc>
        <w:tc>
          <w:tcPr>
            <w:tcW w:w="3555" w:type="dxa"/>
            <w:tcBorders>
              <w:top w:val="single" w:color="7E7E7E" w:themeColor="text1" w:themeTint="80" w:sz="4" w:space="0"/>
              <w:bottom w:val="single" w:color="7E7E7E" w:themeColor="text1" w:themeTint="80" w:sz="4" w:space="0"/>
            </w:tcBorders>
          </w:tcPr>
          <w:p>
            <w:pPr>
              <w:spacing w:line="480" w:lineRule="auto"/>
              <w:rPr>
                <w:rFonts w:hint="default" w:ascii="Times New Roman" w:hAnsi="Times New Roman" w:cs="Times New Roman"/>
                <w:sz w:val="22"/>
                <w:szCs w:val="22"/>
              </w:rPr>
            </w:pPr>
          </w:p>
        </w:tc>
        <w:tc>
          <w:tcPr>
            <w:tcW w:w="993" w:type="dxa"/>
            <w:tcBorders>
              <w:top w:val="single" w:color="7E7E7E" w:themeColor="text1" w:themeTint="80" w:sz="4" w:space="0"/>
              <w:bottom w:val="single" w:color="7E7E7E" w:themeColor="text1" w:themeTint="80" w:sz="4" w:space="0"/>
            </w:tcBorders>
          </w:tcPr>
          <w:p>
            <w:pPr>
              <w:spacing w:line="480" w:lineRule="auto"/>
              <w:jc w:val="both"/>
              <w:rPr>
                <w:rFonts w:hint="default" w:ascii="Times New Roman" w:hAnsi="Times New Roman" w:cs="Times New Roman"/>
                <w:sz w:val="22"/>
                <w:szCs w:val="22"/>
              </w:rPr>
            </w:pPr>
          </w:p>
        </w:tc>
      </w:tr>
      <w:tr>
        <w:tblPrEx>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0" w:type="dxa"/>
          </w:tcPr>
          <w:p>
            <w:pPr>
              <w:spacing w:line="480" w:lineRule="auto"/>
              <w:rPr>
                <w:rFonts w:hint="default" w:ascii="Times New Roman" w:hAnsi="Times New Roman" w:cs="Times New Roman"/>
                <w:b w:val="0"/>
                <w:bCs w:val="0"/>
                <w:sz w:val="22"/>
                <w:szCs w:val="22"/>
              </w:rPr>
            </w:pPr>
            <w:r>
              <w:rPr>
                <w:rFonts w:hint="default" w:ascii="Times New Roman" w:hAnsi="Times New Roman" w:cs="Times New Roman"/>
                <w:b/>
                <w:bCs/>
                <w:sz w:val="22"/>
                <w:szCs w:val="22"/>
              </w:rPr>
              <w:t>Liposomes</w:t>
            </w:r>
          </w:p>
        </w:tc>
        <w:tc>
          <w:tcPr>
            <w:tcW w:w="1290" w:type="dxa"/>
          </w:tcPr>
          <w:p>
            <w:pPr>
              <w:spacing w:line="480" w:lineRule="auto"/>
              <w:rPr>
                <w:rFonts w:hint="default" w:ascii="Times New Roman" w:hAnsi="Times New Roman" w:cs="Times New Roman"/>
                <w:sz w:val="22"/>
                <w:szCs w:val="22"/>
              </w:rPr>
            </w:pPr>
            <w:r>
              <w:rPr>
                <w:rFonts w:hint="default" w:ascii="Times New Roman" w:hAnsi="Times New Roman" w:cs="Times New Roman"/>
                <w:sz w:val="22"/>
                <w:szCs w:val="22"/>
              </w:rPr>
              <w:t xml:space="preserve"> Silybin (SLB)</w:t>
            </w:r>
          </w:p>
        </w:tc>
        <w:tc>
          <w:tcPr>
            <w:tcW w:w="2115" w:type="dxa"/>
          </w:tcPr>
          <w:p>
            <w:pPr>
              <w:spacing w:line="480" w:lineRule="auto"/>
              <w:rPr>
                <w:rFonts w:hint="default" w:ascii="Times New Roman" w:hAnsi="Times New Roman" w:cs="Times New Roman"/>
                <w:sz w:val="22"/>
                <w:szCs w:val="22"/>
              </w:rPr>
            </w:pPr>
            <w:r>
              <w:rPr>
                <w:rFonts w:hint="default" w:ascii="Times New Roman" w:hAnsi="Times New Roman" w:cs="Times New Roman"/>
                <w:sz w:val="22"/>
                <w:szCs w:val="22"/>
              </w:rPr>
              <w:t>HBVpreS/2-48myr (HBVP) conjugated to PEGylated liposomes (HBVP-Lip)</w:t>
            </w:r>
          </w:p>
        </w:tc>
        <w:tc>
          <w:tcPr>
            <w:tcW w:w="3555" w:type="dxa"/>
          </w:tcPr>
          <w:p>
            <w:pPr>
              <w:spacing w:line="480" w:lineRule="auto"/>
              <w:rPr>
                <w:rFonts w:hint="default" w:ascii="Times New Roman" w:hAnsi="Times New Roman" w:cs="Times New Roman"/>
                <w:sz w:val="22"/>
                <w:szCs w:val="22"/>
              </w:rPr>
            </w:pPr>
            <w:r>
              <w:rPr>
                <w:rFonts w:hint="default" w:ascii="Times New Roman" w:hAnsi="Times New Roman" w:cs="Times New Roman"/>
                <w:sz w:val="22"/>
                <w:szCs w:val="22"/>
              </w:rPr>
              <w:t xml:space="preserve">Through a receptor-mediated endocytosis gateway, a considerably more significant quantity of HBVP Lip was gobbled up by primary mouse hepatocytes. In vivo and in vitro, the system demonstrated a high level of specificity and efficacy in hepatic cell attacking. After intravenous injection of HBVP-Lip, interim safety studies indicated that neither acute immunotoxicity nor systemic toxicity was found. Altogether, the findings suggested that the HBVP-Lip might be a prospective ubiquitous and secure hepatotropic transporter for a wide range of compounds, opening up new possibilities for liver-specific delivery methods for bio-imaging agents, genes, and medications. </w:t>
            </w:r>
          </w:p>
        </w:tc>
        <w:tc>
          <w:tcPr>
            <w:tcW w:w="993" w:type="dxa"/>
          </w:tcPr>
          <w:p>
            <w:pPr>
              <w:spacing w:line="480" w:lineRule="auto"/>
              <w:jc w:val="both"/>
              <w:rPr>
                <w:rFonts w:hint="default" w:ascii="Times New Roman" w:hAnsi="Times New Roman" w:cs="Times New Roman"/>
                <w:sz w:val="22"/>
                <w:szCs w:val="22"/>
              </w:rPr>
            </w:pPr>
            <w:r>
              <w:rPr>
                <w:rFonts w:hint="default" w:ascii="Times New Roman" w:hAnsi="Times New Roman" w:cs="Times New Roman"/>
                <w:sz w:val="22"/>
                <w:szCs w:val="22"/>
              </w:rPr>
              <w:fldChar w:fldCharType="begin" w:fldLock="1"/>
            </w:r>
            <w:r>
              <w:rPr>
                <w:rFonts w:hint="default" w:ascii="Times New Roman" w:hAnsi="Times New Roman" w:cs="Times New Roman"/>
                <w:sz w:val="22"/>
                <w:szCs w:val="22"/>
              </w:rPr>
              <w:instrText xml:space="preserve">ADDIN CSL_CITATION {"citationItems":[{"id":"ITEM-1","itemData":{"DOI":"10.1016/j.biomaterials.2014.04.037","ISSN":"18785905","PMID":"24797877","abstract":"To enhance the liver-specific delivery, HBVpreS/2-48myr (HBVP), a synthetic HBVpreS-derived lipopeptide endowed with compelling liver tropism, was conjugated to PEGylated liposomes (HBVP-Lip) for hepatic cell-specific delivery. Compared with the non-targeted liposomes, a significantly higher amount of HBVP-Lip were taken up by the primary mice hepatocytes through a receptor-mediated endocytosis mechanism. The endocytosis inhibition assay demonstrated that the endocytosis of HBVP-Lip was mediated mainly by caveolin and clathrin. After systemic administration in mice, HBVP-Lip could be specifically internalized into hepatocytes efficaciously. Furthermore, the hepatoprotective effects of HBVP-Lip loaded with silybin (SLB) on carbon tetrachloride induced acute liver damage were remarkably stronger than the SLB solution and SLB loaded non-targeted liposomes. Preliminary safety results suggested that no acute systemic toxicity or immunotoxicity was observed after intravenous administration with HBVP-Lip. These results indicated that the HBVP-Lip could deliver the payloads to the hepatocytes with high specificity invitro and invivo, and raise new possibilities for liver-specific drug delivery systems, gene delivery systems, and bio-imaging systems. ©2014 Elsevier Ltd.","author":[{"dropping-particle":"","family":"Zhang","given":"Xuanmiao","non-dropping-particle":"","parse-names":false,"suffix":""},{"dropping-particle":"","family":"Zhang","given":"Quan","non-dropping-particle":"","parse-names":false,"suffix":""},{"dropping-particle":"","family":"Peng","given":"Qiang","non-dropping-particle":"","parse-names":false,"suffix":""},{"dropping-particle":"","family":"Zhou","given":"Jing","non-dropping-particle":"","parse-names":false,"suffix":""},{"dropping-particle":"","family":"Liao","given":"Longfei","non-dropping-particle":"","parse-names":false,"suffix":""},{"dropping-particle":"","family":"Sun","given":"Xun","non-dropping-particle":"","parse-names":false,"suffix":""},{"dropping-particle":"","family":"Zhang","given":"Ling","non-dropping-particle":"","parse-names":false,"suffix":""},{"dropping-particle":"","family":"Gong","given":"Tao","non-dropping-particle":"","parse-names":false,"suffix":""}],"container-title":"Biomaterials","id":"ITEM-1","issue":"23","issued":{"date-parts":[["2014"]]},"page":"6130-6141","publisher":"Elsevier Ltd","title":"Hepatitis B virus preS1-derived lipopeptide functionalized liposomes for targeting of hepatic cells","type":"article-journal","volume":"35"},"uris":["http://www.mendeley.com/documents/?uuid=322ab61d-5780-40d9-a9b8-804d2e075ef0"]}],"mendeley":{"formattedCitation":"[115]","plainTextFormattedCitation":"[115]","previouslyFormattedCitation":"[115]"},"properties":{"noteIndex":0},"schema":"https://github.com/citation-style-language/schema/raw/master/csl-citation.json"}</w:instrText>
            </w:r>
            <w:r>
              <w:rPr>
                <w:rFonts w:hint="default" w:ascii="Times New Roman" w:hAnsi="Times New Roman" w:cs="Times New Roman"/>
                <w:sz w:val="22"/>
                <w:szCs w:val="22"/>
              </w:rPr>
              <w:fldChar w:fldCharType="separate"/>
            </w:r>
            <w:r>
              <w:rPr>
                <w:rFonts w:hint="default" w:ascii="Times New Roman" w:hAnsi="Times New Roman" w:cs="Times New Roman"/>
                <w:sz w:val="22"/>
                <w:szCs w:val="22"/>
              </w:rPr>
              <w:t>[</w:t>
            </w:r>
            <w:r>
              <w:rPr>
                <w:rFonts w:hint="default" w:ascii="Times New Roman" w:hAnsi="Times New Roman" w:cs="Times New Roman"/>
                <w:sz w:val="22"/>
                <w:szCs w:val="22"/>
                <w:lang w:val="en-US"/>
              </w:rPr>
              <w:t>88</w:t>
            </w:r>
            <w:r>
              <w:rPr>
                <w:rFonts w:hint="default" w:ascii="Times New Roman" w:hAnsi="Times New Roman" w:cs="Times New Roman"/>
                <w:sz w:val="22"/>
                <w:szCs w:val="22"/>
              </w:rPr>
              <w:t>]</w:t>
            </w:r>
            <w:r>
              <w:rPr>
                <w:rFonts w:hint="default" w:ascii="Times New Roman" w:hAnsi="Times New Roman" w:cs="Times New Roman"/>
                <w:sz w:val="22"/>
                <w:szCs w:val="22"/>
              </w:rPr>
              <w:fldChar w:fldCharType="end"/>
            </w:r>
          </w:p>
        </w:tc>
      </w:tr>
      <w:tr>
        <w:tblPrEx>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0" w:type="dxa"/>
            <w:tcBorders>
              <w:top w:val="single" w:color="7E7E7E" w:themeColor="text1" w:themeTint="80" w:sz="4" w:space="0"/>
              <w:bottom w:val="single" w:color="7E7E7E" w:themeColor="text1" w:themeTint="80" w:sz="4" w:space="0"/>
            </w:tcBorders>
          </w:tcPr>
          <w:p>
            <w:pPr>
              <w:spacing w:line="480" w:lineRule="auto"/>
              <w:rPr>
                <w:rFonts w:hint="default" w:ascii="Times New Roman" w:hAnsi="Times New Roman" w:cs="Times New Roman"/>
                <w:b w:val="0"/>
                <w:bCs w:val="0"/>
                <w:sz w:val="22"/>
                <w:szCs w:val="22"/>
              </w:rPr>
            </w:pPr>
            <w:r>
              <w:rPr>
                <w:rFonts w:hint="default" w:ascii="Times New Roman" w:hAnsi="Times New Roman" w:cs="Times New Roman"/>
                <w:b/>
                <w:bCs/>
                <w:sz w:val="22"/>
                <w:szCs w:val="22"/>
              </w:rPr>
              <w:t>Liposomes</w:t>
            </w:r>
          </w:p>
        </w:tc>
        <w:tc>
          <w:tcPr>
            <w:tcW w:w="1290" w:type="dxa"/>
            <w:tcBorders>
              <w:top w:val="single" w:color="7E7E7E" w:themeColor="text1" w:themeTint="80" w:sz="4" w:space="0"/>
              <w:bottom w:val="single" w:color="7E7E7E" w:themeColor="text1" w:themeTint="80" w:sz="4" w:space="0"/>
            </w:tcBorders>
          </w:tcPr>
          <w:p>
            <w:pPr>
              <w:spacing w:line="480" w:lineRule="auto"/>
              <w:rPr>
                <w:rFonts w:hint="default" w:ascii="Times New Roman" w:hAnsi="Times New Roman" w:cs="Times New Roman"/>
                <w:sz w:val="22"/>
                <w:szCs w:val="22"/>
              </w:rPr>
            </w:pPr>
            <w:r>
              <w:rPr>
                <w:rFonts w:hint="default" w:ascii="Times New Roman" w:hAnsi="Times New Roman" w:cs="Times New Roman"/>
                <w:sz w:val="22"/>
                <w:szCs w:val="22"/>
              </w:rPr>
              <w:t>-</w:t>
            </w:r>
          </w:p>
        </w:tc>
        <w:tc>
          <w:tcPr>
            <w:tcW w:w="2115" w:type="dxa"/>
            <w:tcBorders>
              <w:top w:val="single" w:color="7E7E7E" w:themeColor="text1" w:themeTint="80" w:sz="4" w:space="0"/>
              <w:bottom w:val="single" w:color="7E7E7E" w:themeColor="text1" w:themeTint="80" w:sz="4" w:space="0"/>
            </w:tcBorders>
          </w:tcPr>
          <w:p>
            <w:pPr>
              <w:spacing w:line="480" w:lineRule="auto"/>
              <w:rPr>
                <w:rFonts w:hint="default" w:ascii="Times New Roman" w:hAnsi="Times New Roman" w:cs="Times New Roman"/>
                <w:sz w:val="22"/>
                <w:szCs w:val="22"/>
              </w:rPr>
            </w:pPr>
            <w:r>
              <w:rPr>
                <w:rFonts w:hint="default" w:ascii="Times New Roman" w:hAnsi="Times New Roman" w:cs="Times New Roman"/>
                <w:sz w:val="22"/>
                <w:szCs w:val="22"/>
              </w:rPr>
              <w:t>siRNAs/polyanion-containing hepatotropic lipoplexes modified with guanidinopropyl (GP)</w:t>
            </w:r>
          </w:p>
        </w:tc>
        <w:tc>
          <w:tcPr>
            <w:tcW w:w="3555" w:type="dxa"/>
            <w:tcBorders>
              <w:top w:val="single" w:color="7E7E7E" w:themeColor="text1" w:themeTint="80" w:sz="4" w:space="0"/>
              <w:bottom w:val="single" w:color="7E7E7E" w:themeColor="text1" w:themeTint="80" w:sz="4" w:space="0"/>
            </w:tcBorders>
          </w:tcPr>
          <w:p>
            <w:pPr>
              <w:spacing w:line="480" w:lineRule="auto"/>
              <w:rPr>
                <w:rFonts w:hint="default" w:ascii="Times New Roman" w:hAnsi="Times New Roman" w:cs="Times New Roman"/>
                <w:sz w:val="22"/>
                <w:szCs w:val="22"/>
              </w:rPr>
            </w:pPr>
            <w:r>
              <w:rPr>
                <w:rFonts w:hint="default" w:ascii="Times New Roman" w:hAnsi="Times New Roman" w:cs="Times New Roman"/>
                <w:sz w:val="22"/>
                <w:szCs w:val="22"/>
              </w:rPr>
              <w:t>The surface charge was found to be +65 mV, and a median diameter of 50–200 nm was discovered. Without showing any signs of toxicity, good suppression of viral replication indicators was detected. The system's effectiveness was greatly improved, whereas formulations containing chemically altered siRNAs became less immunostimulatory. HBVmRNA breakage happened in vivo at the anticipated target location, indicating that the process was RNAi-mediated. These findings suggested that the constructed system successfully silenced HBV replication in vivo and could treat HBV infection.</w:t>
            </w:r>
          </w:p>
        </w:tc>
        <w:tc>
          <w:tcPr>
            <w:tcW w:w="993" w:type="dxa"/>
            <w:tcBorders>
              <w:top w:val="single" w:color="7E7E7E" w:themeColor="text1" w:themeTint="80" w:sz="4" w:space="0"/>
              <w:bottom w:val="single" w:color="7E7E7E" w:themeColor="text1" w:themeTint="80" w:sz="4" w:space="0"/>
            </w:tcBorders>
          </w:tcPr>
          <w:p>
            <w:pPr>
              <w:spacing w:line="480" w:lineRule="auto"/>
              <w:jc w:val="both"/>
              <w:rPr>
                <w:rFonts w:hint="default" w:ascii="Times New Roman" w:hAnsi="Times New Roman" w:cs="Times New Roman"/>
                <w:sz w:val="22"/>
                <w:szCs w:val="22"/>
              </w:rPr>
            </w:pPr>
            <w:r>
              <w:rPr>
                <w:rFonts w:hint="default" w:ascii="Times New Roman" w:hAnsi="Times New Roman" w:cs="Times New Roman"/>
                <w:sz w:val="22"/>
                <w:szCs w:val="22"/>
              </w:rPr>
              <w:fldChar w:fldCharType="begin" w:fldLock="1"/>
            </w:r>
            <w:r>
              <w:rPr>
                <w:rFonts w:hint="default" w:ascii="Times New Roman" w:hAnsi="Times New Roman" w:cs="Times New Roman"/>
                <w:sz w:val="22"/>
                <w:szCs w:val="22"/>
              </w:rPr>
              <w:instrText xml:space="preserve">ADDIN CSL_CITATION {"citationItems":[{"id":"ITEM-1","itemData":{"DOI":"10.1016/j.jconrel.2015.04.042","ISSN":"18734995","PMID":"25937322","abstract":"Chronic infection with hepatitis B virus (HBV) occurs commonly and complications that arise from persistence of the virus are associated with high mortality. Available licensed drugs have modest curative efficacy and advancing new therapeutic strategies to eliminate the virus is therefore a priority. HBV is susceptible to inactivation by exogenous gene silencers that harness RNA interference (RNAi) and the approach has therapeutic potential. To advance RNAi-based treatment for HBV infection, use in vivo of hepatotropic lipoplexes containing siRNAs with guanidinopropyl (GP) modifications is reported here. Lipoplexes contained polyglutamate, which has previously been shown to facilitate formulation and improve efficiency of the non-viral vectors. GP moieties were included in a previously described anti-HBV siRNA that effectively targeted the conserved viral X sequence. Particles had physical properties that were suitable for use in vivo: average diameter was approximately 50-200 nm and surface charge (zeta potential) was + 65 mV. Efficient hepatotropic delivery of labeled siRNA was observed following systemic intravenous injection of the particles into HBV transgenic mice. Good inhibition of markers of viral replication was observed without evidence of toxicity. Efficacy of the GP-modified siRNAs was significantly more durable and formulations made up with chemically modified siRNAs were less immunostimulatory. An RNAi-mediated mechanism was confirmed by demonstrating that HBV mRNA cleavage occurred in vivo at the intended target site. Collectively these data indicate that GP-modified siRNAs formulated in anionic polymer-containing lipoplexes are effective silencers of HBV replication in vivo and have therapeutic potential.","author":[{"dropping-particle":"","family":"Marimani","given":"Musa D","non-dropping-particle":"","parse-names":false,"suffix":""},{"dropping-particle":"","family":"Ely","given":"Abdullah","non-dropping-particle":"","parse-names":false,"suffix":""},{"dropping-particle":"","family":"Buff","given":"Maximilian C R","non-dropping-particle":"","parse-names":false,"suffix":""},{"dropping-particle":"","family":"Bernhardt","given":"Stefan","non-dropping-particle":"","parse-names":false,"suffix":""},{"dropping-particle":"","family":"Engels","given":"Joachim W","non-dropping-particle":"","parse-names":false,"suffix":""},{"dropping-particle":"","family":"Scherman","given":"Daniel","non-dropping-particle":"","parse-names":false,"suffix":""},{"dropping-particle":"","family":"Escriou","given":"Virginie","non-dropping-particle":"","parse-names":false,"suffix":""},{"dropping-particle":"","family":"Arbuthnot","given":"Patrick","non-dropping-particle":"","parse-names":false,"suffix":""}],"container-title":"Journal of Controlled Release","id":"ITEM-1","issued":{"date-parts":[["2015"]]},"page":"198-206","publisher":"Elsevier B.V.","title":"Inhibition of replication of hepatitis B virus in transgenic mice following administration of hepatotropic lipoplexes containing guanidinopropyl-modified siRNAs","type":"article-journal","volume":"209"},"uris":["http://www.mendeley.com/documents/?uuid=d5daafe9-70f3-47f4-a921-b4f95a4a183c"]}],"mendeley":{"formattedCitation":"[116]","plainTextFormattedCitation":"[116]","previouslyFormattedCitation":"[116]"},"properties":{"noteIndex":0},"schema":"https://github.com/citation-style-language/schema/raw/master/csl-citation.json"}</w:instrText>
            </w:r>
            <w:r>
              <w:rPr>
                <w:rFonts w:hint="default" w:ascii="Times New Roman" w:hAnsi="Times New Roman" w:cs="Times New Roman"/>
                <w:sz w:val="22"/>
                <w:szCs w:val="22"/>
              </w:rPr>
              <w:fldChar w:fldCharType="separate"/>
            </w:r>
            <w:r>
              <w:rPr>
                <w:rFonts w:hint="default" w:ascii="Times New Roman" w:hAnsi="Times New Roman" w:cs="Times New Roman"/>
                <w:sz w:val="22"/>
                <w:szCs w:val="22"/>
              </w:rPr>
              <w:t>[</w:t>
            </w:r>
            <w:r>
              <w:rPr>
                <w:rFonts w:hint="default" w:ascii="Times New Roman" w:hAnsi="Times New Roman" w:cs="Times New Roman"/>
                <w:sz w:val="22"/>
                <w:szCs w:val="22"/>
                <w:lang w:val="en-US"/>
              </w:rPr>
              <w:t>89</w:t>
            </w:r>
            <w:r>
              <w:rPr>
                <w:rFonts w:hint="default" w:ascii="Times New Roman" w:hAnsi="Times New Roman" w:cs="Times New Roman"/>
                <w:sz w:val="22"/>
                <w:szCs w:val="22"/>
              </w:rPr>
              <w:t>]</w:t>
            </w:r>
            <w:r>
              <w:rPr>
                <w:rFonts w:hint="default" w:ascii="Times New Roman" w:hAnsi="Times New Roman" w:cs="Times New Roman"/>
                <w:sz w:val="22"/>
                <w:szCs w:val="22"/>
              </w:rPr>
              <w:fldChar w:fldCharType="end"/>
            </w:r>
          </w:p>
        </w:tc>
      </w:tr>
      <w:tr>
        <w:tblPrEx>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0" w:type="dxa"/>
          </w:tcPr>
          <w:p>
            <w:pPr>
              <w:spacing w:line="480" w:lineRule="auto"/>
              <w:rPr>
                <w:rFonts w:hint="default" w:ascii="Times New Roman" w:hAnsi="Times New Roman" w:cs="Times New Roman"/>
                <w:b w:val="0"/>
                <w:bCs w:val="0"/>
                <w:sz w:val="22"/>
                <w:szCs w:val="22"/>
              </w:rPr>
            </w:pPr>
            <w:r>
              <w:rPr>
                <w:rFonts w:hint="default" w:ascii="Times New Roman" w:hAnsi="Times New Roman" w:cs="Times New Roman"/>
                <w:b/>
                <w:bCs/>
                <w:sz w:val="22"/>
                <w:szCs w:val="22"/>
              </w:rPr>
              <w:t xml:space="preserve">Nanoparticles </w:t>
            </w:r>
          </w:p>
        </w:tc>
        <w:tc>
          <w:tcPr>
            <w:tcW w:w="1290" w:type="dxa"/>
          </w:tcPr>
          <w:p>
            <w:pPr>
              <w:spacing w:line="480" w:lineRule="auto"/>
              <w:rPr>
                <w:rFonts w:hint="default" w:ascii="Times New Roman" w:hAnsi="Times New Roman" w:cs="Times New Roman"/>
                <w:sz w:val="22"/>
                <w:szCs w:val="22"/>
              </w:rPr>
            </w:pPr>
            <w:r>
              <w:rPr>
                <w:rFonts w:hint="default" w:ascii="Times New Roman" w:hAnsi="Times New Roman" w:cs="Times New Roman"/>
                <w:sz w:val="22"/>
                <w:szCs w:val="22"/>
              </w:rPr>
              <w:t>-</w:t>
            </w:r>
          </w:p>
        </w:tc>
        <w:tc>
          <w:tcPr>
            <w:tcW w:w="2115" w:type="dxa"/>
          </w:tcPr>
          <w:p>
            <w:pPr>
              <w:spacing w:line="480" w:lineRule="auto"/>
              <w:rPr>
                <w:rFonts w:hint="default" w:ascii="Times New Roman" w:hAnsi="Times New Roman" w:cs="Times New Roman"/>
                <w:sz w:val="22"/>
                <w:szCs w:val="22"/>
              </w:rPr>
            </w:pPr>
            <w:r>
              <w:rPr>
                <w:rFonts w:hint="default" w:ascii="Times New Roman" w:hAnsi="Times New Roman" w:cs="Times New Roman"/>
                <w:sz w:val="22"/>
                <w:szCs w:val="22"/>
              </w:rPr>
              <w:t xml:space="preserve">Plasmonic gold NPs (AuNPs)/ layered double hydroxide self-assemblies (LDHs) (AuNPs/LDHs) </w:t>
            </w:r>
          </w:p>
        </w:tc>
        <w:tc>
          <w:tcPr>
            <w:tcW w:w="3555" w:type="dxa"/>
          </w:tcPr>
          <w:p>
            <w:pPr>
              <w:spacing w:line="480" w:lineRule="auto"/>
              <w:rPr>
                <w:rFonts w:hint="default" w:ascii="Times New Roman" w:hAnsi="Times New Roman" w:cs="Times New Roman"/>
                <w:sz w:val="22"/>
                <w:szCs w:val="22"/>
              </w:rPr>
            </w:pPr>
            <w:r>
              <w:rPr>
                <w:rFonts w:hint="default" w:ascii="Times New Roman" w:hAnsi="Times New Roman" w:cs="Times New Roman"/>
                <w:sz w:val="22"/>
                <w:szCs w:val="22"/>
              </w:rPr>
              <w:t>Several AuNPs/LDHs evaluated decreased the number of subviral and viral particles generated by cured cells by up to 80% and were cytocompatible. The less cytotoxic plasmonic and antiviral features of the framework nanocomposites suggest that they have the capability to be tuned as new effective treatment options for hepatitis B.</w:t>
            </w:r>
          </w:p>
        </w:tc>
        <w:tc>
          <w:tcPr>
            <w:tcW w:w="993" w:type="dxa"/>
          </w:tcPr>
          <w:p>
            <w:pPr>
              <w:spacing w:line="480" w:lineRule="auto"/>
              <w:jc w:val="both"/>
              <w:rPr>
                <w:rFonts w:hint="default" w:ascii="Times New Roman" w:hAnsi="Times New Roman" w:cs="Times New Roman"/>
                <w:sz w:val="22"/>
                <w:szCs w:val="22"/>
              </w:rPr>
            </w:pPr>
            <w:r>
              <w:rPr>
                <w:rFonts w:hint="default" w:ascii="Times New Roman" w:hAnsi="Times New Roman" w:cs="Times New Roman"/>
                <w:sz w:val="22"/>
                <w:szCs w:val="22"/>
              </w:rPr>
              <w:fldChar w:fldCharType="begin" w:fldLock="1"/>
            </w:r>
            <w:r>
              <w:rPr>
                <w:rFonts w:hint="default" w:ascii="Times New Roman" w:hAnsi="Times New Roman" w:cs="Times New Roman"/>
                <w:sz w:val="22"/>
                <w:szCs w:val="22"/>
              </w:rPr>
              <w:instrText xml:space="preserve">ADDIN CSL_CITATION {"citationItems":[{"id":"ITEM-1","itemData":{"DOI":"10.1007/s12274-015-0851-6","ISSN":"19980000","abstract":"Engineering complex nanocomposites that specifically target the hepatitis B virus (HBV) and overcome the limitations of current therapies such as limited efficacy and serious side effects is very challenging. Here, for the first time, the antiviral effect of engineered plasmonic gold and layered double hydroxide self-assemblies (AuNPs/LDHs) is demonstrated, using HBV as a model virus and hepatoma-derived HepG2.2.215 cells for viral replication, assembly, and secretion of infectious virions and subviral particles. AuNPs/LDHs were obtained by a simple, cost-effective procedure in which small AuNPs (~3.5 nm) were directly obtained and organized on the surface of larger LDH nanoparticles (~150 nm) by exploiting the capability of MgLDH, ZnLDH, and MgFeLDH to manifest their “structural memory” in the aqueous solution of Au(O2CCH3)3. The self-assembly approach of AuNPs and LDHs was assessed by transmission electron microscopy (TEM), X-ray photoelectron spectroscopy (XPS), powder X-ray diffraction (PXRD), and UV—Vis analysis (UV–Vis). All AuNPs/LDHs tested reduced the amount of viral and subviral particles released from treated cells by up to 80% and exhibited good cytocompatibility. AuNPs/MgFeLDH showed the highest antiviral HBV response with more than 90% inhibition of HBV secretion for the whole concentration range. Preliminary studies on the mechanism of HBV inhibition reveals that in the presence of AuNPs/LDHs, HBV particles are sequestered within the treated cells. The antiviral and low cytotoxic plasmonic properties of these Au/LDH nanocomposites indicate that they hold significant potential to be tailored as novel efficient therapeutics for the treatment of hepatitis B. [Figure not available: see fulltext.]","author":[{"dropping-particle":"","family":"Carja","given":"Gabriela","non-dropping-particle":"","parse-names":false,"suffix":""},{"dropping-particle":"","family":"Grosu","given":"Elena Florentina","non-dropping-particle":"","parse-names":false,"suffix":""},{"dropping-particle":"","family":"Petrarean","given":"Catalina","non-dropping-particle":"","parse-names":false,"suffix":""},{"dropping-particle":"","family":"Nichita","given":"Norica","non-dropping-particle":"","parse-names":false,"suffix":""}],"container-title":"Nano Research","id":"ITEM-1","issue":"11","issued":{"date-parts":[["2015"]]},"page":"3512-3523","title":"Self-assemblies of plasmonic gold/layered double hydroxides with highly efficient antiviral effect against the hepatitis B virus","type":"article-journal","volume":"8"},"uris":["http://www.mendeley.com/documents/?uuid=a20a342e-d68d-4bc1-92f8-e14ca2e9029f"]}],"mendeley":{"formattedCitation":"[117]","plainTextFormattedCitation":"[117]","previouslyFormattedCitation":"[117]"},"properties":{"noteIndex":0},"schema":"https://github.com/citation-style-language/schema/raw/master/csl-citation.json"}</w:instrText>
            </w:r>
            <w:r>
              <w:rPr>
                <w:rFonts w:hint="default" w:ascii="Times New Roman" w:hAnsi="Times New Roman" w:cs="Times New Roman"/>
                <w:sz w:val="22"/>
                <w:szCs w:val="22"/>
              </w:rPr>
              <w:fldChar w:fldCharType="separate"/>
            </w:r>
            <w:r>
              <w:rPr>
                <w:rFonts w:hint="default" w:ascii="Times New Roman" w:hAnsi="Times New Roman" w:cs="Times New Roman"/>
                <w:sz w:val="22"/>
                <w:szCs w:val="22"/>
              </w:rPr>
              <w:t>[</w:t>
            </w:r>
            <w:r>
              <w:rPr>
                <w:rFonts w:hint="default" w:ascii="Times New Roman" w:hAnsi="Times New Roman" w:cs="Times New Roman"/>
                <w:sz w:val="22"/>
                <w:szCs w:val="22"/>
                <w:lang w:val="en-US"/>
              </w:rPr>
              <w:t>90</w:t>
            </w:r>
            <w:r>
              <w:rPr>
                <w:rFonts w:hint="default" w:ascii="Times New Roman" w:hAnsi="Times New Roman" w:cs="Times New Roman"/>
                <w:sz w:val="22"/>
                <w:szCs w:val="22"/>
              </w:rPr>
              <w:t>]</w:t>
            </w:r>
            <w:r>
              <w:rPr>
                <w:rFonts w:hint="default" w:ascii="Times New Roman" w:hAnsi="Times New Roman" w:cs="Times New Roman"/>
                <w:sz w:val="22"/>
                <w:szCs w:val="22"/>
              </w:rPr>
              <w:fldChar w:fldCharType="end"/>
            </w:r>
          </w:p>
        </w:tc>
      </w:tr>
      <w:tr>
        <w:tblPrEx>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0" w:type="dxa"/>
            <w:tcBorders>
              <w:top w:val="single" w:color="7E7E7E" w:themeColor="text1" w:themeTint="80" w:sz="4" w:space="0"/>
              <w:bottom w:val="single" w:color="7E7E7E" w:themeColor="text1" w:themeTint="80" w:sz="4" w:space="0"/>
            </w:tcBorders>
          </w:tcPr>
          <w:p>
            <w:pPr>
              <w:spacing w:line="480" w:lineRule="auto"/>
              <w:rPr>
                <w:rFonts w:hint="default" w:ascii="Times New Roman" w:hAnsi="Times New Roman" w:cs="Times New Roman"/>
                <w:b w:val="0"/>
                <w:bCs w:val="0"/>
                <w:sz w:val="22"/>
                <w:szCs w:val="22"/>
              </w:rPr>
            </w:pPr>
            <w:r>
              <w:rPr>
                <w:rFonts w:hint="default" w:ascii="Times New Roman" w:hAnsi="Times New Roman" w:cs="Times New Roman"/>
                <w:b/>
                <w:bCs/>
                <w:sz w:val="22"/>
                <w:szCs w:val="22"/>
              </w:rPr>
              <w:t xml:space="preserve">Nanoparticles  </w:t>
            </w:r>
          </w:p>
        </w:tc>
        <w:tc>
          <w:tcPr>
            <w:tcW w:w="1290" w:type="dxa"/>
            <w:tcBorders>
              <w:top w:val="single" w:color="7E7E7E" w:themeColor="text1" w:themeTint="80" w:sz="4" w:space="0"/>
              <w:bottom w:val="single" w:color="7E7E7E" w:themeColor="text1" w:themeTint="80" w:sz="4" w:space="0"/>
            </w:tcBorders>
          </w:tcPr>
          <w:p>
            <w:pPr>
              <w:spacing w:line="480" w:lineRule="auto"/>
              <w:rPr>
                <w:rFonts w:hint="default" w:ascii="Times New Roman" w:hAnsi="Times New Roman" w:cs="Times New Roman"/>
                <w:sz w:val="22"/>
                <w:szCs w:val="22"/>
              </w:rPr>
            </w:pPr>
            <w:r>
              <w:rPr>
                <w:rFonts w:hint="default" w:ascii="Times New Roman" w:hAnsi="Times New Roman" w:cs="Times New Roman"/>
                <w:sz w:val="22"/>
                <w:szCs w:val="22"/>
              </w:rPr>
              <w:t>-</w:t>
            </w:r>
          </w:p>
        </w:tc>
        <w:tc>
          <w:tcPr>
            <w:tcW w:w="2115" w:type="dxa"/>
            <w:tcBorders>
              <w:top w:val="single" w:color="7E7E7E" w:themeColor="text1" w:themeTint="80" w:sz="4" w:space="0"/>
              <w:bottom w:val="single" w:color="7E7E7E" w:themeColor="text1" w:themeTint="80" w:sz="4" w:space="0"/>
            </w:tcBorders>
          </w:tcPr>
          <w:p>
            <w:pPr>
              <w:spacing w:line="480" w:lineRule="auto"/>
              <w:rPr>
                <w:rFonts w:hint="default" w:ascii="Times New Roman" w:hAnsi="Times New Roman" w:cs="Times New Roman"/>
                <w:sz w:val="22"/>
                <w:szCs w:val="22"/>
              </w:rPr>
            </w:pPr>
            <w:r>
              <w:rPr>
                <w:rFonts w:hint="default" w:ascii="Times New Roman" w:hAnsi="Times New Roman" w:cs="Times New Roman"/>
                <w:sz w:val="22"/>
                <w:szCs w:val="22"/>
              </w:rPr>
              <w:t xml:space="preserve">Cationic poly (D,L-lactic-co-glycolic acid) PLGA/ IFN-α coated HBsAg </w:t>
            </w:r>
          </w:p>
        </w:tc>
        <w:tc>
          <w:tcPr>
            <w:tcW w:w="3555" w:type="dxa"/>
            <w:tcBorders>
              <w:top w:val="single" w:color="7E7E7E" w:themeColor="text1" w:themeTint="80" w:sz="4" w:space="0"/>
              <w:bottom w:val="single" w:color="7E7E7E" w:themeColor="text1" w:themeTint="80" w:sz="4" w:space="0"/>
            </w:tcBorders>
          </w:tcPr>
          <w:p>
            <w:pPr>
              <w:spacing w:line="480" w:lineRule="auto"/>
              <w:rPr>
                <w:rFonts w:hint="default" w:ascii="Times New Roman" w:hAnsi="Times New Roman" w:cs="Times New Roman"/>
                <w:sz w:val="22"/>
                <w:szCs w:val="22"/>
              </w:rPr>
            </w:pPr>
            <w:r>
              <w:rPr>
                <w:rFonts w:hint="default" w:ascii="Times New Roman" w:hAnsi="Times New Roman" w:cs="Times New Roman"/>
                <w:sz w:val="22"/>
                <w:szCs w:val="22"/>
              </w:rPr>
              <w:t xml:space="preserve"> The results indicated that after 4 hours of administration, 75% of the radioactivity was retrieved in the liver, which was roughly 3-fold more than the ordinary PLGA nanoparticles. The bioavailability of IFN nanoparticles shows that they are resistant to RES and can propagate in the blood for a prolonged duration. The formulation's intravenous/subcutaneous delivery may enhance patient compliance by lowering dose frequency from traditional doses, resulting in healthier hepatitis B care. </w:t>
            </w:r>
          </w:p>
        </w:tc>
        <w:tc>
          <w:tcPr>
            <w:tcW w:w="993" w:type="dxa"/>
            <w:tcBorders>
              <w:top w:val="single" w:color="7E7E7E" w:themeColor="text1" w:themeTint="80" w:sz="4" w:space="0"/>
              <w:bottom w:val="single" w:color="7E7E7E" w:themeColor="text1" w:themeTint="80" w:sz="4" w:space="0"/>
            </w:tcBorders>
          </w:tcPr>
          <w:p>
            <w:pPr>
              <w:spacing w:line="480" w:lineRule="auto"/>
              <w:jc w:val="both"/>
              <w:rPr>
                <w:rFonts w:hint="default" w:ascii="Times New Roman" w:hAnsi="Times New Roman" w:cs="Times New Roman"/>
                <w:sz w:val="22"/>
                <w:szCs w:val="22"/>
              </w:rPr>
            </w:pPr>
            <w:r>
              <w:rPr>
                <w:rFonts w:hint="default" w:ascii="Times New Roman" w:hAnsi="Times New Roman" w:cs="Times New Roman"/>
                <w:sz w:val="22"/>
                <w:szCs w:val="22"/>
              </w:rPr>
              <w:fldChar w:fldCharType="begin" w:fldLock="1"/>
            </w:r>
            <w:r>
              <w:rPr>
                <w:rFonts w:hint="default" w:ascii="Times New Roman" w:hAnsi="Times New Roman" w:cs="Times New Roman"/>
                <w:sz w:val="22"/>
                <w:szCs w:val="22"/>
              </w:rPr>
              <w:instrText xml:space="preserve">ADDIN CSL_CITATION {"citationItems":[{"id":"ITEM-1","itemData":{"DOI":"10.1093/abbs/gmr082","ISSN":"16729145","PMID":"21914636","abstract":"The purpose of the present work was to develop hepatitis B surface antigen (HBsAg) surface-adsorbed cationic poly (d,l-lactic-co-glycolic acid) PLGA nanoparticles for interferon alpha (IFN$α$) delivery targeted to hepatocytes. Cationic PLGA nanoparticles loaded with IFN$α$ were prepared using the double emulsification technique. Delipidated HBsAg was passively adsorbed on the surface of nanoparticles by using the simple dipping and drying method. Surface morphology and size distribution of nanoparticles were analyzed by scanning electron microscopy and dynamic light-scattering method, respectively. The biodistribution behavior of plain and HBsAg-coated 99mTc-tagged PLGA nanoparticles was also examined followed by intravenous injection. The results revealed that ∼75 of the radioactivity was recovered in the liver after 4 h of injection that was nearly 3-fold greater in magnitude than the plain PLGA nanoparticles. These data demonstrated that the novel formulation of nanoparticles has potential application in hepatic-targeted drug delivery. ©The Author 2011. Published by ABBS Editorial Office in association with Oxford University Press on behalf of the Institute of Biochemistry and Cell Biology, Shanghai Institutes for Biological Sciences, Chinese Academy of Sciences.","author":[{"dropping-particle":"","family":"Giri","given":"Namita","non-dropping-particle":"","parse-names":false,"suffix":""},{"dropping-particle":"","family":"Tomar","given":"Priti","non-dropping-particle":"","parse-names":false,"suffix":""},{"dropping-particle":"","family":"Karwasara","given":"Vijai Singh","non-dropping-particle":"","parse-names":false,"suffix":""},{"dropping-particle":"","family":"Pandey","given":"Ravi S","non-dropping-particle":"","parse-names":false,"suffix":""},{"dropping-particle":"","family":"Dixit","given":"V K","non-dropping-particle":"","parse-names":false,"suffix":""}],"container-title":"Acta Biochimica et Biophysica Sinica","id":"ITEM-1","issue":"11","issued":{"date-parts":[["2011"]]},"page":"877-883","title":"Targeted novel surface-modified nanoparticles for interferon delivery for the treatment of hepatitis B","type":"article-journal","volume":"43"},"uris":["http://www.mendeley.com/documents/?uuid=03f5d9ee-fcef-4760-a94e-81ca20e2c3ac"]}],"mendeley":{"formattedCitation":"[118]","plainTextFormattedCitation":"[118]","previouslyFormattedCitation":"[118]"},"properties":{"noteIndex":0},"schema":"https://github.com/citation-style-language/schema/raw/master/csl-citation.json"}</w:instrText>
            </w:r>
            <w:r>
              <w:rPr>
                <w:rFonts w:hint="default" w:ascii="Times New Roman" w:hAnsi="Times New Roman" w:cs="Times New Roman"/>
                <w:sz w:val="22"/>
                <w:szCs w:val="22"/>
              </w:rPr>
              <w:fldChar w:fldCharType="separate"/>
            </w:r>
            <w:r>
              <w:rPr>
                <w:rFonts w:hint="default" w:ascii="Times New Roman" w:hAnsi="Times New Roman" w:cs="Times New Roman"/>
                <w:sz w:val="22"/>
                <w:szCs w:val="22"/>
              </w:rPr>
              <w:t>[</w:t>
            </w:r>
            <w:r>
              <w:rPr>
                <w:rFonts w:hint="default" w:ascii="Times New Roman" w:hAnsi="Times New Roman" w:cs="Times New Roman"/>
                <w:sz w:val="22"/>
                <w:szCs w:val="22"/>
                <w:lang w:val="en-US"/>
              </w:rPr>
              <w:t>91</w:t>
            </w:r>
            <w:r>
              <w:rPr>
                <w:rFonts w:hint="default" w:ascii="Times New Roman" w:hAnsi="Times New Roman" w:cs="Times New Roman"/>
                <w:sz w:val="22"/>
                <w:szCs w:val="22"/>
              </w:rPr>
              <w:t>]</w:t>
            </w:r>
            <w:r>
              <w:rPr>
                <w:rFonts w:hint="default" w:ascii="Times New Roman" w:hAnsi="Times New Roman" w:cs="Times New Roman"/>
                <w:sz w:val="22"/>
                <w:szCs w:val="22"/>
              </w:rPr>
              <w:fldChar w:fldCharType="end"/>
            </w:r>
          </w:p>
        </w:tc>
      </w:tr>
      <w:tr>
        <w:tblPrEx>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0" w:type="dxa"/>
          </w:tcPr>
          <w:p>
            <w:pPr>
              <w:spacing w:line="480" w:lineRule="auto"/>
              <w:rPr>
                <w:rFonts w:hint="default" w:ascii="Times New Roman" w:hAnsi="Times New Roman" w:cs="Times New Roman"/>
                <w:b w:val="0"/>
                <w:bCs w:val="0"/>
                <w:sz w:val="22"/>
                <w:szCs w:val="22"/>
              </w:rPr>
            </w:pPr>
            <w:r>
              <w:rPr>
                <w:rFonts w:hint="default" w:ascii="Times New Roman" w:hAnsi="Times New Roman" w:cs="Times New Roman"/>
                <w:b/>
                <w:bCs/>
                <w:sz w:val="22"/>
                <w:szCs w:val="22"/>
              </w:rPr>
              <w:t xml:space="preserve">Micelles </w:t>
            </w:r>
          </w:p>
        </w:tc>
        <w:tc>
          <w:tcPr>
            <w:tcW w:w="1290" w:type="dxa"/>
          </w:tcPr>
          <w:p>
            <w:pPr>
              <w:spacing w:line="480" w:lineRule="auto"/>
              <w:rPr>
                <w:rFonts w:hint="default" w:ascii="Times New Roman" w:hAnsi="Times New Roman" w:cs="Times New Roman"/>
                <w:sz w:val="22"/>
                <w:szCs w:val="22"/>
              </w:rPr>
            </w:pPr>
            <w:r>
              <w:rPr>
                <w:rFonts w:hint="default" w:ascii="Times New Roman" w:hAnsi="Times New Roman" w:cs="Times New Roman"/>
                <w:sz w:val="22"/>
                <w:szCs w:val="22"/>
              </w:rPr>
              <w:t>-</w:t>
            </w:r>
          </w:p>
        </w:tc>
        <w:tc>
          <w:tcPr>
            <w:tcW w:w="2115" w:type="dxa"/>
          </w:tcPr>
          <w:p>
            <w:pPr>
              <w:spacing w:line="480" w:lineRule="auto"/>
              <w:rPr>
                <w:rFonts w:hint="default" w:ascii="Times New Roman" w:hAnsi="Times New Roman" w:cs="Times New Roman"/>
                <w:sz w:val="22"/>
                <w:szCs w:val="22"/>
              </w:rPr>
            </w:pPr>
            <w:r>
              <w:rPr>
                <w:rFonts w:hint="default" w:ascii="Times New Roman" w:hAnsi="Times New Roman" w:cs="Times New Roman"/>
                <w:sz w:val="22"/>
                <w:szCs w:val="22"/>
              </w:rPr>
              <w:t>Stearic acid grafted chitosan oligosaccharide (CSSA)/ DrzBC (CSSA/DrzBC)</w:t>
            </w:r>
          </w:p>
        </w:tc>
        <w:tc>
          <w:tcPr>
            <w:tcW w:w="3555" w:type="dxa"/>
          </w:tcPr>
          <w:p>
            <w:pPr>
              <w:spacing w:line="480" w:lineRule="auto"/>
              <w:rPr>
                <w:rFonts w:hint="default" w:ascii="Times New Roman" w:hAnsi="Times New Roman" w:cs="Times New Roman"/>
                <w:sz w:val="22"/>
                <w:szCs w:val="22"/>
              </w:rPr>
            </w:pPr>
            <w:r>
              <w:rPr>
                <w:rFonts w:hint="default" w:ascii="Times New Roman" w:hAnsi="Times New Roman" w:cs="Times New Roman"/>
                <w:sz w:val="22"/>
                <w:szCs w:val="22"/>
              </w:rPr>
              <w:t>The system had a significantly reduced cytotoxicity and a better targeting capacity in subcellular organelles-cytoplasm. The system also exhibited a maximum IR  of  82.51 ± 1.28% at 72 hours. Across every concentration, DrzBC carried by CSSA micelles had a larger IR of HBeAg expression over DrzBC supplied by LipofectamineTM2000, which could lead to the molecular target in the cytoplasm.  Overall, the findings showed that the CSSA/DrzBC complicated nanoparticles could be helpful in anti-HBV gene therapy.</w:t>
            </w:r>
          </w:p>
        </w:tc>
        <w:tc>
          <w:tcPr>
            <w:tcW w:w="993" w:type="dxa"/>
          </w:tcPr>
          <w:p>
            <w:pPr>
              <w:spacing w:line="480" w:lineRule="auto"/>
              <w:jc w:val="both"/>
              <w:rPr>
                <w:rFonts w:hint="default" w:ascii="Times New Roman" w:hAnsi="Times New Roman" w:cs="Times New Roman"/>
                <w:sz w:val="22"/>
                <w:szCs w:val="22"/>
              </w:rPr>
            </w:pPr>
            <w:r>
              <w:rPr>
                <w:rFonts w:hint="default" w:ascii="Times New Roman" w:hAnsi="Times New Roman" w:cs="Times New Roman"/>
                <w:sz w:val="22"/>
                <w:szCs w:val="22"/>
              </w:rPr>
              <w:fldChar w:fldCharType="begin" w:fldLock="1"/>
            </w:r>
            <w:r>
              <w:rPr>
                <w:rFonts w:hint="default" w:ascii="Times New Roman" w:hAnsi="Times New Roman" w:cs="Times New Roman"/>
                <w:sz w:val="22"/>
                <w:szCs w:val="22"/>
              </w:rPr>
              <w:instrText xml:space="preserve">ADDIN CSL_CITATION {"citationItems":[{"id":"ITEM-1","itemData":{"DOI":"10.1016/j.carbpol.2011.09.022","ISSN":"01448617","abstract":"10-23 DNAzyme (DrzBC) could block the expression of HBV e-gene with application limit of dependence on exogenous delivery. Stearic acid grafted chitosan oligosaccharide (CSSA) could self-aggregate to form micelles in aqueous medium and bind with DrzBC by electrostatic interaction. Compared with Lipofectamine™ 2000, the CSSA micelles showed much lower cytotoxicity (412.5 $μ$g/mL) and advantaged target in subcellular organelles-cytoplasm. Both including DrzBC of 1 $μ$mol/L, Lipofectamine™ 2000/DrzBC complex showed maximum inhibition rate (IR) on HBeAg expression of 46.53 ± 2.00% at 48 h, and then decreased rapidly, while CSSA/DrzBC complex showed maximum IR of 82.51 ± 1.28% at 72 h, and hold on IR above 70% until 96 h. Moreover, within a concentration range of 0.1-2.0 $μ$mol/L, and equally incubating for 48 h, the IR of Lipofectamine™ 2000/DrzBC complex was from 23.20 ± 1.61% to 66.27 ± 1.96%, while the IR of CSSA/DrzBC complex increased from 40.23 ± 3.28% to 80.95 ± 1.69%. CSSA/DrzBC complex is a promising effective system for inhibiting HBeAg expression. ©2011 Elsevier Ltd. All rights reserved.","author":[{"dropping-particle":"","family":"Miao","given":"Jing","non-dropping-particle":"","parse-names":false,"suffix":""},{"dropping-particle":"","family":"Zhang","given":"Xing Guo","non-dropping-particle":"","parse-names":false,"suffix":""},{"dropping-particle":"","family":"Hong","given":"Yun","non-dropping-particle":"","parse-names":false,"suffix":""},{"dropping-particle":"","family":"Rao","given":"Yue Feng","non-dropping-particle":"","parse-names":false,"suffix":""},{"dropping-particle":"","family":"Li","given":"Qian","non-dropping-particle":"","parse-names":false,"suffix":""},{"dropping-particle":"","family":"Xie","given":"Xian Ji","non-dropping-particle":"","parse-names":false,"suffix":""},{"dropping-particle":"","family":"Wo","given":"Jian Er","non-dropping-particle":"","parse-names":false,"suffix":""},{"dropping-particle":"","family":"Li","given":"Min Wei","non-dropping-particle":"","parse-names":false,"suffix":""}],"container-title":"Carbohydrate Polymers","id":"ITEM-1","issue":"2","issued":{"date-parts":[["2012"]]},"page":"1342-1347","publisher":"Elsevier Ltd.","title":"Inhibition on hepatitis B virus e-gene expression of 10-23 DNAzyme delivered by novel chitosan oligosaccharide-stearic acid micelles","type":"article-journal","volume":"87"},"uris":["http://www.mendeley.com/documents/?uuid=816c6c24-52c4-4073-bd90-af85355c321b"]}],"mendeley":{"formattedCitation":"[119]","plainTextFormattedCitation":"[119]","previouslyFormattedCitation":"[119]"},"properties":{"noteIndex":0},"schema":"https://github.com/citation-style-language/schema/raw/master/csl-citation.json"}</w:instrText>
            </w:r>
            <w:r>
              <w:rPr>
                <w:rFonts w:hint="default" w:ascii="Times New Roman" w:hAnsi="Times New Roman" w:cs="Times New Roman"/>
                <w:sz w:val="22"/>
                <w:szCs w:val="22"/>
              </w:rPr>
              <w:fldChar w:fldCharType="separate"/>
            </w:r>
            <w:r>
              <w:rPr>
                <w:rFonts w:hint="default" w:ascii="Times New Roman" w:hAnsi="Times New Roman" w:cs="Times New Roman"/>
                <w:sz w:val="22"/>
                <w:szCs w:val="22"/>
              </w:rPr>
              <w:t>[</w:t>
            </w:r>
            <w:r>
              <w:rPr>
                <w:rFonts w:hint="default" w:ascii="Times New Roman" w:hAnsi="Times New Roman" w:cs="Times New Roman"/>
                <w:sz w:val="22"/>
                <w:szCs w:val="22"/>
                <w:lang w:val="en-US"/>
              </w:rPr>
              <w:t>92</w:t>
            </w:r>
            <w:r>
              <w:rPr>
                <w:rFonts w:hint="default" w:ascii="Times New Roman" w:hAnsi="Times New Roman" w:cs="Times New Roman"/>
                <w:sz w:val="22"/>
                <w:szCs w:val="22"/>
              </w:rPr>
              <w:t>]</w:t>
            </w:r>
            <w:r>
              <w:rPr>
                <w:rFonts w:hint="default" w:ascii="Times New Roman" w:hAnsi="Times New Roman" w:cs="Times New Roman"/>
                <w:sz w:val="22"/>
                <w:szCs w:val="22"/>
              </w:rPr>
              <w:fldChar w:fldCharType="end"/>
            </w:r>
          </w:p>
        </w:tc>
      </w:tr>
      <w:tr>
        <w:tblPrEx>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0" w:type="dxa"/>
            <w:tcBorders>
              <w:top w:val="single" w:color="7E7E7E" w:themeColor="text1" w:themeTint="80" w:sz="4" w:space="0"/>
              <w:bottom w:val="single" w:color="7E7E7E" w:themeColor="text1" w:themeTint="80" w:sz="4" w:space="0"/>
            </w:tcBorders>
          </w:tcPr>
          <w:p>
            <w:pPr>
              <w:spacing w:line="480" w:lineRule="auto"/>
              <w:rPr>
                <w:rFonts w:hint="default" w:ascii="Times New Roman" w:hAnsi="Times New Roman" w:cs="Times New Roman"/>
                <w:b w:val="0"/>
                <w:bCs w:val="0"/>
                <w:sz w:val="22"/>
                <w:szCs w:val="22"/>
              </w:rPr>
            </w:pPr>
            <w:r>
              <w:rPr>
                <w:rFonts w:hint="default" w:ascii="Times New Roman" w:hAnsi="Times New Roman" w:cs="Times New Roman"/>
                <w:b/>
                <w:bCs/>
                <w:sz w:val="22"/>
                <w:szCs w:val="22"/>
              </w:rPr>
              <w:t xml:space="preserve">Exosomes </w:t>
            </w:r>
          </w:p>
        </w:tc>
        <w:tc>
          <w:tcPr>
            <w:tcW w:w="1290" w:type="dxa"/>
            <w:tcBorders>
              <w:top w:val="single" w:color="7E7E7E" w:themeColor="text1" w:themeTint="80" w:sz="4" w:space="0"/>
              <w:bottom w:val="single" w:color="7E7E7E" w:themeColor="text1" w:themeTint="80" w:sz="4" w:space="0"/>
            </w:tcBorders>
          </w:tcPr>
          <w:p>
            <w:pPr>
              <w:spacing w:line="480" w:lineRule="auto"/>
              <w:rPr>
                <w:rFonts w:hint="default" w:ascii="Times New Roman" w:hAnsi="Times New Roman" w:cs="Times New Roman"/>
                <w:sz w:val="22"/>
                <w:szCs w:val="22"/>
              </w:rPr>
            </w:pPr>
            <w:r>
              <w:rPr>
                <w:rFonts w:hint="default" w:ascii="Times New Roman" w:hAnsi="Times New Roman" w:cs="Times New Roman"/>
                <w:sz w:val="22"/>
                <w:szCs w:val="22"/>
              </w:rPr>
              <w:t>-</w:t>
            </w:r>
          </w:p>
        </w:tc>
        <w:tc>
          <w:tcPr>
            <w:tcW w:w="2115" w:type="dxa"/>
            <w:tcBorders>
              <w:top w:val="single" w:color="7E7E7E" w:themeColor="text1" w:themeTint="80" w:sz="4" w:space="0"/>
              <w:bottom w:val="single" w:color="7E7E7E" w:themeColor="text1" w:themeTint="80" w:sz="4" w:space="0"/>
            </w:tcBorders>
          </w:tcPr>
          <w:p>
            <w:pPr>
              <w:spacing w:line="480" w:lineRule="auto"/>
              <w:rPr>
                <w:rFonts w:hint="default" w:ascii="Times New Roman" w:hAnsi="Times New Roman" w:cs="Times New Roman"/>
                <w:sz w:val="22"/>
                <w:szCs w:val="22"/>
              </w:rPr>
            </w:pPr>
            <w:r>
              <w:rPr>
                <w:rFonts w:hint="default" w:ascii="Times New Roman" w:hAnsi="Times New Roman" w:cs="Times New Roman"/>
                <w:sz w:val="22"/>
                <w:szCs w:val="22"/>
              </w:rPr>
              <w:t>HBx/ mRNA/ protein incorporated into exosomes</w:t>
            </w:r>
          </w:p>
        </w:tc>
        <w:tc>
          <w:tcPr>
            <w:tcW w:w="3555" w:type="dxa"/>
            <w:tcBorders>
              <w:top w:val="single" w:color="7E7E7E" w:themeColor="text1" w:themeTint="80" w:sz="4" w:space="0"/>
              <w:bottom w:val="single" w:color="7E7E7E" w:themeColor="text1" w:themeTint="80" w:sz="4" w:space="0"/>
            </w:tcBorders>
          </w:tcPr>
          <w:p>
            <w:pPr>
              <w:spacing w:line="480" w:lineRule="auto"/>
              <w:rPr>
                <w:rFonts w:hint="default" w:ascii="Times New Roman" w:hAnsi="Times New Roman" w:cs="Times New Roman"/>
                <w:sz w:val="22"/>
                <w:szCs w:val="22"/>
              </w:rPr>
            </w:pPr>
            <w:r>
              <w:rPr>
                <w:rFonts w:hint="default" w:ascii="Times New Roman" w:hAnsi="Times New Roman" w:cs="Times New Roman"/>
                <w:sz w:val="22"/>
                <w:szCs w:val="22"/>
              </w:rPr>
              <w:t xml:space="preserve">The HBx-expressing cells secreted more exosomes, according to the nanoparticle tracking study, and confocal examinations verified that HBx with CD63 and CD9 were co-localized. The exosomal cargo produced by HBx-expressing cells had a significant impact on receiving hepatic cells, enabling the establishment of a favorable environment for cellular transition. Exosomal regulation by HBx may also be therapeutically relevant because the detection of viral elements in exosomes obtained from the patient's serum can be utilized to determine the phase and severity of the disease. </w:t>
            </w:r>
          </w:p>
        </w:tc>
        <w:tc>
          <w:tcPr>
            <w:tcW w:w="993" w:type="dxa"/>
            <w:tcBorders>
              <w:top w:val="single" w:color="7E7E7E" w:themeColor="text1" w:themeTint="80" w:sz="4" w:space="0"/>
              <w:bottom w:val="single" w:color="7E7E7E" w:themeColor="text1" w:themeTint="80" w:sz="4" w:space="0"/>
            </w:tcBorders>
          </w:tcPr>
          <w:p>
            <w:pPr>
              <w:spacing w:line="480" w:lineRule="auto"/>
              <w:jc w:val="both"/>
              <w:rPr>
                <w:rFonts w:hint="default" w:ascii="Times New Roman" w:hAnsi="Times New Roman" w:cs="Times New Roman"/>
                <w:sz w:val="22"/>
                <w:szCs w:val="22"/>
              </w:rPr>
            </w:pPr>
            <w:r>
              <w:rPr>
                <w:rFonts w:hint="default" w:ascii="Times New Roman" w:hAnsi="Times New Roman" w:cs="Times New Roman"/>
                <w:sz w:val="22"/>
                <w:szCs w:val="22"/>
              </w:rPr>
              <w:fldChar w:fldCharType="begin" w:fldLock="1"/>
            </w:r>
            <w:r>
              <w:rPr>
                <w:rFonts w:hint="default" w:ascii="Times New Roman" w:hAnsi="Times New Roman" w:cs="Times New Roman"/>
                <w:sz w:val="22"/>
                <w:szCs w:val="22"/>
              </w:rPr>
              <w:instrText xml:space="preserve">ADDIN CSL_CITATION {"citationItems":[{"id":"ITEM-1","itemData":{"DOI":"10.1016/j.virusres.2017.08.009","ISSN":"18727492","PMID":"28847700","abstract":"The cellular secretory vesicles known as ‘exosomes' have emerged as key player in intercellular transport and communication between different eukaryotic in order to maintain body homeostasis. Many pathogenic viruses utilize exosome pathway to efficiently transfer bioactive components from infected cells to naïve cells. Here, we show that HBx can tweak the exosome biogenesis machinery both by enhancing neutral sphingomyelinase2 activity as well as by interacting with exosomal biomarkers such as neutral sphingomyelinase2, CD9 and CD81. The nano particle tracking analysis revealed enhanced secretion of exosomes by the HBx-expressing cells while confocal studies confirmed the co-localization of HBx with CD9 and CD63. Importantly, we observed the encapsulation of HBx mRNA and protein in these exosomes besides some other qualitative changes. The exosomal cargo secreted by HBx-expressing cells had a profound effect on the recipient hepatic cells including creation of a milieu conducive for cellular-transformation. Thus, the present study unfolds a novel role of HBx in intercellular communication by facilitating horizontal transfer of viral gene products and other host factors via exosomes in order to support viral spread and pathogenesis.","author":[{"dropping-particle":"","family":"Kapoor","given":"Neetu Rohit","non-dropping-particle":"","parse-names":false,"suffix":""},{"dropping-particle":"","family":"Chadha","given":"Radhika","non-dropping-particle":"","parse-names":false,"suffix":""},{"dropping-particle":"","family":"Kumar","given":"Saravanan","non-dropping-particle":"","parse-names":false,"suffix":""},{"dropping-particle":"","family":"Choedon","given":"Tenzin","non-dropping-particle":"","parse-names":false,"suffix":""},{"dropping-particle":"","family":"Reddy","given":"Vanga Siva","non-dropping-particle":"","parse-names":false,"suffix":""},{"dropping-particle":"","family":"Kumar","given":"Vijay","non-dropping-particle":"","parse-names":false,"suffix":""}],"container-title":"Virus Research","id":"ITEM-1","issue":"April","issued":{"date-parts":[["2017"]]},"page":"166-174","publisher":"Elsevier","title":"The HBx gene of hepatitis B virus can influence hepatic microenvironment via exosomes by transferring its mRNA and protein","type":"article-journal","volume":"240"},"uris":["http://www.mendeley.com/documents/?uuid=a6966b51-d6b0-4daf-acb7-18c551dc43f9"]}],"mendeley":{"formattedCitation":"[120]","plainTextFormattedCitation":"[120]","previouslyFormattedCitation":"[120]"},"properties":{"noteIndex":0},"schema":"https://github.com/citation-style-language/schema/raw/master/csl-citation.json"}</w:instrText>
            </w:r>
            <w:r>
              <w:rPr>
                <w:rFonts w:hint="default" w:ascii="Times New Roman" w:hAnsi="Times New Roman" w:cs="Times New Roman"/>
                <w:sz w:val="22"/>
                <w:szCs w:val="22"/>
              </w:rPr>
              <w:fldChar w:fldCharType="separate"/>
            </w:r>
            <w:r>
              <w:rPr>
                <w:rFonts w:hint="default" w:ascii="Times New Roman" w:hAnsi="Times New Roman" w:cs="Times New Roman"/>
                <w:sz w:val="22"/>
                <w:szCs w:val="22"/>
              </w:rPr>
              <w:t>[</w:t>
            </w:r>
            <w:r>
              <w:rPr>
                <w:rFonts w:hint="default" w:ascii="Times New Roman" w:hAnsi="Times New Roman" w:cs="Times New Roman"/>
                <w:sz w:val="22"/>
                <w:szCs w:val="22"/>
                <w:lang w:val="en-US"/>
              </w:rPr>
              <w:t>93</w:t>
            </w:r>
            <w:r>
              <w:rPr>
                <w:rFonts w:hint="default" w:ascii="Times New Roman" w:hAnsi="Times New Roman" w:cs="Times New Roman"/>
                <w:sz w:val="22"/>
                <w:szCs w:val="22"/>
              </w:rPr>
              <w:t>]</w:t>
            </w:r>
            <w:r>
              <w:rPr>
                <w:rFonts w:hint="default" w:ascii="Times New Roman" w:hAnsi="Times New Roman" w:cs="Times New Roman"/>
                <w:sz w:val="22"/>
                <w:szCs w:val="22"/>
              </w:rPr>
              <w:fldChar w:fldCharType="end"/>
            </w:r>
          </w:p>
        </w:tc>
      </w:tr>
      <w:tr>
        <w:tblPrEx>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0" w:type="dxa"/>
          </w:tcPr>
          <w:p>
            <w:pPr>
              <w:spacing w:line="480" w:lineRule="auto"/>
              <w:rPr>
                <w:rFonts w:hint="default" w:ascii="Times New Roman" w:hAnsi="Times New Roman" w:cs="Times New Roman"/>
                <w:b w:val="0"/>
                <w:bCs w:val="0"/>
                <w:sz w:val="22"/>
                <w:szCs w:val="22"/>
              </w:rPr>
            </w:pPr>
            <w:r>
              <w:rPr>
                <w:rFonts w:hint="default" w:ascii="Times New Roman" w:hAnsi="Times New Roman" w:cs="Times New Roman"/>
                <w:b/>
                <w:bCs/>
                <w:sz w:val="22"/>
                <w:szCs w:val="22"/>
              </w:rPr>
              <w:t xml:space="preserve">Nanoparticles </w:t>
            </w:r>
          </w:p>
        </w:tc>
        <w:tc>
          <w:tcPr>
            <w:tcW w:w="1290" w:type="dxa"/>
          </w:tcPr>
          <w:p>
            <w:pPr>
              <w:spacing w:line="480" w:lineRule="auto"/>
              <w:rPr>
                <w:rFonts w:hint="default" w:ascii="Times New Roman" w:hAnsi="Times New Roman" w:cs="Times New Roman"/>
                <w:sz w:val="22"/>
                <w:szCs w:val="22"/>
              </w:rPr>
            </w:pPr>
            <w:r>
              <w:rPr>
                <w:rFonts w:hint="default" w:ascii="Times New Roman" w:hAnsi="Times New Roman" w:cs="Times New Roman"/>
                <w:sz w:val="22"/>
                <w:szCs w:val="22"/>
              </w:rPr>
              <w:t>-</w:t>
            </w:r>
          </w:p>
        </w:tc>
        <w:tc>
          <w:tcPr>
            <w:tcW w:w="2115" w:type="dxa"/>
          </w:tcPr>
          <w:p>
            <w:pPr>
              <w:spacing w:line="480" w:lineRule="auto"/>
              <w:rPr>
                <w:rFonts w:hint="default" w:ascii="Times New Roman" w:hAnsi="Times New Roman" w:cs="Times New Roman"/>
                <w:sz w:val="22"/>
                <w:szCs w:val="22"/>
              </w:rPr>
            </w:pPr>
            <w:r>
              <w:rPr>
                <w:rFonts w:hint="default" w:ascii="Times New Roman" w:hAnsi="Times New Roman" w:cs="Times New Roman"/>
                <w:sz w:val="22"/>
                <w:szCs w:val="22"/>
              </w:rPr>
              <w:t xml:space="preserve">unmethylated cytosine-phosphate-guanosine oligodeoxynucleotides (CpG ODNs) from HBV genome (HBV-CpG)/ nanoparticles NP(HBV-CpG) </w:t>
            </w:r>
          </w:p>
        </w:tc>
        <w:tc>
          <w:tcPr>
            <w:tcW w:w="3555" w:type="dxa"/>
          </w:tcPr>
          <w:p>
            <w:pPr>
              <w:spacing w:line="480" w:lineRule="auto"/>
              <w:rPr>
                <w:rFonts w:hint="default" w:ascii="Times New Roman" w:hAnsi="Times New Roman" w:cs="Times New Roman"/>
                <w:sz w:val="22"/>
                <w:szCs w:val="22"/>
              </w:rPr>
            </w:pPr>
            <w:r>
              <w:rPr>
                <w:rFonts w:hint="default" w:ascii="Times New Roman" w:hAnsi="Times New Roman" w:cs="Times New Roman"/>
                <w:sz w:val="22"/>
                <w:szCs w:val="22"/>
              </w:rPr>
              <w:t xml:space="preserve">HBV-ODNs were able to suppress HBV CpG-induced IFN- α development. In mice inoculated with NP(HBV-CpG) and rHBsAg, the strategy boosted the immune response towards HBsAg and shifted it toward the Th1 axis. Furthermore, in HBV-bearing mice, the system-based treatment resulted in effective HBV clearance as well as an anti-HBsAg reaction. In conclusion, the system was a promising pharmacological tool for the management of CHB infection. </w:t>
            </w:r>
          </w:p>
        </w:tc>
        <w:tc>
          <w:tcPr>
            <w:tcW w:w="993" w:type="dxa"/>
          </w:tcPr>
          <w:p>
            <w:pPr>
              <w:spacing w:line="480" w:lineRule="auto"/>
              <w:jc w:val="both"/>
              <w:rPr>
                <w:rFonts w:hint="default" w:ascii="Times New Roman" w:hAnsi="Times New Roman" w:cs="Times New Roman"/>
                <w:sz w:val="22"/>
                <w:szCs w:val="22"/>
              </w:rPr>
            </w:pPr>
            <w:r>
              <w:rPr>
                <w:rFonts w:hint="default" w:ascii="Times New Roman" w:hAnsi="Times New Roman" w:cs="Times New Roman"/>
                <w:sz w:val="22"/>
                <w:szCs w:val="22"/>
              </w:rPr>
              <w:fldChar w:fldCharType="begin" w:fldLock="1"/>
            </w:r>
            <w:r>
              <w:rPr>
                <w:rFonts w:hint="default" w:ascii="Times New Roman" w:hAnsi="Times New Roman" w:cs="Times New Roman"/>
                <w:sz w:val="22"/>
                <w:szCs w:val="22"/>
              </w:rPr>
              <w:instrText xml:space="preserve">ADDIN CSL_CITATION {"citationItems":[{"id":"ITEM-1","itemData":{"DOI":"10.1002/hep.26654","ISSN":"02709139","PMID":"23907803","abstract":"Infection with hepatitis B virus (HBV) is the most common cause of liver disease worldwide. However, because the current interferon (IFN)-based treatments have toxic side effects and marginal efficacy, improved antivirals are essential. Here we report that unmethylated cytosine-phosphate-guanosine oligodeoxynucleotides (CpG ODNs) from the HBV genome (HBV-CpG) induced robust expression of IFN-$α$ by plasmacytoid dendritic cells (pDCs) in a Toll-like receptor 9 (TLR9)-dependent manner. We also identified inhibitory guanosine-rich ODNs in the HBV genome (HBV-ODN) that are capable of inhibiting HBV-CpG-induced IFN-$α$ production. Furthermore, nanoparticles containing HBV-CpG, termed NP(HBV-CpG), reversed the HBV-ODN-mediated suppression of IFN-$α$ production and also exerted a strong immunostimulatory effect on lymphocytes. Our results suggest that NP(HBV-CpG) can enhance the immune response to hepatitis B surface antigen (HBsAg) and skew this response toward the Th1 pathway in mice immunized with rHBsAg and NP(HBV-CpG). Moreover, NP(HBV-CpG)-based therapy led to the efficient clearance of HBV and induced an anti-HBsAg response in HBV carrier mice. Conclusion: Endogenous HBV-CpG ODNs from the HBV genome induce IFN-$α$ production so that nanoparticle-encapsulated HBV-CpG may act as an HBsAg vaccine adjuvant and may also represent a potent therapeutic agent for the treatment of chronic HBV infection. ©2013 by the American Association for the Study of Liver Diseases.","author":[{"dropping-particle":"","family":"Lv","given":"Shujuan","non-dropping-particle":"","parse-names":false,"suffix":""},{"dropping-particle":"","family":"Wang","given":"Jun","non-dropping-particle":"","parse-names":false,"suffix":""},{"dropping-particle":"","family":"Dou","given":"Shuang","non-dropping-particle":"","parse-names":false,"suffix":""},{"dropping-particle":"","family":"Yang","given":"Xianzhu","non-dropping-particle":"","parse-names":false,"suffix":""},{"dropping-particle":"","family":"Ni","given":"Xiang","non-dropping-particle":"","parse-names":false,"suffix":""},{"dropping-particle":"","family":"Sun","given":"Rui","non-dropping-particle":"","parse-names":false,"suffix":""},{"dropping-particle":"","family":"Tian","given":"Zhigang","non-dropping-particle":"","parse-names":false,"suffix":""},{"dropping-particle":"","family":"Wei","given":"Haiming","non-dropping-particle":"","parse-names":false,"suffix":""}],"container-title":"Hepatology","id":"ITEM-1","issue":"2","issued":{"date-parts":[["2014"]]},"page":"385-394","title":"Nanoparticles encapsulating hepatitis B virus cytosine-phosphate-guanosine induce therapeutic immunity against HBV infection","type":"article-journal","volume":"59"},"uris":["http://www.mendeley.com/documents/?uuid=f633631a-d95c-4641-b906-5325853c78d9"]}],"mendeley":{"formattedCitation":"[121]","plainTextFormattedCitation":"[121]","previouslyFormattedCitation":"[121]"},"properties":{"noteIndex":0},"schema":"https://github.com/citation-style-language/schema/raw/master/csl-citation.json"}</w:instrText>
            </w:r>
            <w:r>
              <w:rPr>
                <w:rFonts w:hint="default" w:ascii="Times New Roman" w:hAnsi="Times New Roman" w:cs="Times New Roman"/>
                <w:sz w:val="22"/>
                <w:szCs w:val="22"/>
              </w:rPr>
              <w:fldChar w:fldCharType="separate"/>
            </w:r>
            <w:r>
              <w:rPr>
                <w:rFonts w:hint="default" w:ascii="Times New Roman" w:hAnsi="Times New Roman" w:cs="Times New Roman"/>
                <w:sz w:val="22"/>
                <w:szCs w:val="22"/>
              </w:rPr>
              <w:t>[</w:t>
            </w:r>
            <w:r>
              <w:rPr>
                <w:rFonts w:hint="default" w:ascii="Times New Roman" w:hAnsi="Times New Roman" w:cs="Times New Roman"/>
                <w:sz w:val="22"/>
                <w:szCs w:val="22"/>
                <w:lang w:val="en-US"/>
              </w:rPr>
              <w:t>94</w:t>
            </w:r>
            <w:r>
              <w:rPr>
                <w:rFonts w:hint="default" w:ascii="Times New Roman" w:hAnsi="Times New Roman" w:cs="Times New Roman"/>
                <w:sz w:val="22"/>
                <w:szCs w:val="22"/>
              </w:rPr>
              <w:t>]</w:t>
            </w:r>
            <w:r>
              <w:rPr>
                <w:rFonts w:hint="default" w:ascii="Times New Roman" w:hAnsi="Times New Roman" w:cs="Times New Roman"/>
                <w:sz w:val="22"/>
                <w:szCs w:val="22"/>
              </w:rPr>
              <w:fldChar w:fldCharType="end"/>
            </w:r>
          </w:p>
        </w:tc>
      </w:tr>
    </w:tbl>
    <w:p>
      <w:pPr>
        <w:spacing w:line="480" w:lineRule="auto"/>
        <w:jc w:val="both"/>
        <w:rPr>
          <w:rFonts w:hint="default" w:ascii="Times New Roman" w:hAnsi="Times New Roman" w:cs="Times New Roman"/>
          <w:sz w:val="22"/>
          <w:szCs w:val="22"/>
          <w:lang w:val="en-US"/>
        </w:rPr>
      </w:pPr>
      <w:r>
        <w:rPr>
          <w:rFonts w:hint="default" w:ascii="Times New Roman" w:hAnsi="Times New Roman" w:cs="Times New Roman"/>
          <w:b/>
          <w:bCs/>
          <w:sz w:val="20"/>
          <w:szCs w:val="20"/>
          <w:lang w:val="en-US"/>
        </w:rPr>
        <w:t xml:space="preserve">Supplementary </w:t>
      </w:r>
      <w:r>
        <w:rPr>
          <w:rFonts w:hint="default" w:ascii="Times New Roman" w:hAnsi="Times New Roman" w:cs="Times New Roman"/>
          <w:b/>
          <w:bCs/>
          <w:sz w:val="20"/>
          <w:szCs w:val="20"/>
        </w:rPr>
        <w:t xml:space="preserve">Table </w:t>
      </w:r>
      <w:r>
        <w:rPr>
          <w:rFonts w:hint="default" w:ascii="Times New Roman" w:hAnsi="Times New Roman" w:cs="Times New Roman"/>
          <w:b/>
          <w:bCs/>
          <w:sz w:val="20"/>
          <w:szCs w:val="20"/>
          <w:lang w:val="en-US"/>
        </w:rPr>
        <w:t xml:space="preserve">I </w:t>
      </w:r>
      <w:r>
        <w:rPr>
          <w:rFonts w:hint="default" w:ascii="Times New Roman" w:hAnsi="Times New Roman" w:cs="Times New Roman"/>
          <w:sz w:val="22"/>
          <w:szCs w:val="22"/>
        </w:rPr>
        <w:t xml:space="preserve">Recent </w:t>
      </w:r>
      <w:r>
        <w:rPr>
          <w:rFonts w:hint="default" w:ascii="Times New Roman" w:hAnsi="Times New Roman" w:cs="Times New Roman"/>
          <w:sz w:val="22"/>
          <w:szCs w:val="22"/>
          <w:lang w:val="en-US"/>
        </w:rPr>
        <w:t>novel</w:t>
      </w:r>
      <w:r>
        <w:rPr>
          <w:rFonts w:hint="default" w:ascii="Times New Roman" w:hAnsi="Times New Roman" w:cs="Times New Roman"/>
          <w:sz w:val="22"/>
          <w:szCs w:val="22"/>
        </w:rPr>
        <w:t xml:space="preserve"> formulations </w:t>
      </w:r>
      <w:r>
        <w:rPr>
          <w:rFonts w:hint="default" w:ascii="Times New Roman" w:hAnsi="Times New Roman" w:cs="Times New Roman"/>
          <w:sz w:val="22"/>
          <w:szCs w:val="22"/>
          <w:lang w:val="en-US"/>
        </w:rPr>
        <w:t xml:space="preserve">including nano-drug delivery systems </w:t>
      </w:r>
      <w:r>
        <w:rPr>
          <w:rFonts w:hint="default" w:ascii="Times New Roman" w:hAnsi="Times New Roman" w:cs="Times New Roman"/>
          <w:sz w:val="22"/>
          <w:szCs w:val="22"/>
        </w:rPr>
        <w:t>for the therapy of Hepatitis B</w:t>
      </w:r>
      <w:r>
        <w:rPr>
          <w:rFonts w:hint="default" w:ascii="Times New Roman" w:hAnsi="Times New Roman" w:cs="Times New Roman"/>
          <w:sz w:val="22"/>
          <w:szCs w:val="22"/>
          <w:lang w:val="en-US"/>
        </w:rPr>
        <w:t xml:space="preserve"> [88-94].</w:t>
      </w:r>
      <w:bookmarkStart w:id="0" w:name="_GoBack"/>
      <w:bookmarkEnd w:id="0"/>
    </w:p>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D3133F"/>
    <w:rsid w:val="1CD313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table" w:customStyle="1" w:styleId="4">
    <w:name w:val="Plain Table 21"/>
    <w:basedOn w:val="3"/>
    <w:qFormat/>
    <w:uiPriority w:val="42"/>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Office_12.2.0.13359_F1E327BC-269C-435d-A152-05C5408002CA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2024-01-05T16:59:00Z</dcterms:created>
  <dc:creator>D. ASWIN</dc:creator>
  <cp:lastModifiedBy>D. ASWIN</cp:lastModifiedBy>
  <dcterms:modified xsi:type="dcterms:W3CDTF">2024-01-05T16:59:54Z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1033-12.2.0.13359</vt:lpwstr>
  </property>
  <property fmtid="{D5CDD505-2E9C-101B-9397-08002B2CF9AE}" pid="3" name="ICV">
    <vt:lpwstr>22FEDD153E3D4FDBA102D934A7085A54_11</vt:lpwstr>
  </property>
</Properties>
</file>