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F4808" w14:textId="7AF7CD4C" w:rsidR="006073D6" w:rsidRDefault="006073D6">
      <w:pPr>
        <w:pStyle w:val="Heading1"/>
        <w:rPr>
          <w:lang w:val="en-GB"/>
        </w:rPr>
      </w:pPr>
      <w:bookmarkStart w:id="0" w:name="_n4rfirdfkv0r" w:colFirst="0" w:colLast="0"/>
      <w:bookmarkEnd w:id="0"/>
      <w:r>
        <w:rPr>
          <w:lang w:val="en-GB"/>
        </w:rPr>
        <w:t>Online Resource 3</w:t>
      </w:r>
    </w:p>
    <w:p w14:paraId="00000001" w14:textId="676E59FE" w:rsidR="00973F33" w:rsidRPr="003F6BAB" w:rsidRDefault="00960B08">
      <w:pPr>
        <w:pStyle w:val="Heading1"/>
        <w:rPr>
          <w:lang w:val="en-GB"/>
        </w:rPr>
      </w:pPr>
      <w:proofErr w:type="spellStart"/>
      <w:r w:rsidRPr="003F6BAB">
        <w:rPr>
          <w:lang w:val="en-GB"/>
        </w:rPr>
        <w:t>Stratiomyidae</w:t>
      </w:r>
      <w:proofErr w:type="spellEnd"/>
      <w:r w:rsidRPr="003F6BAB">
        <w:rPr>
          <w:lang w:val="en-GB"/>
        </w:rPr>
        <w:t xml:space="preserve"> Drying Oven Temperature Experiments</w:t>
      </w:r>
    </w:p>
    <w:p w14:paraId="00000002" w14:textId="77777777" w:rsidR="00973F33" w:rsidRPr="003F6BAB" w:rsidRDefault="00960B08">
      <w:pPr>
        <w:pStyle w:val="Heading4"/>
        <w:rPr>
          <w:lang w:val="en-GB"/>
        </w:rPr>
      </w:pPr>
      <w:bookmarkStart w:id="1" w:name="_n5ycnbmwope5" w:colFirst="0" w:colLast="0"/>
      <w:bookmarkEnd w:id="1"/>
      <w:r w:rsidRPr="003F6BAB">
        <w:rPr>
          <w:lang w:val="en-GB"/>
        </w:rPr>
        <w:t>Methods</w:t>
      </w:r>
    </w:p>
    <w:p w14:paraId="00000004" w14:textId="3021A645" w:rsidR="00973F33" w:rsidRPr="003F6BAB" w:rsidRDefault="00960B08">
      <w:pPr>
        <w:ind w:firstLine="720"/>
        <w:rPr>
          <w:lang w:val="en-GB"/>
        </w:rPr>
      </w:pPr>
      <w:r w:rsidRPr="003F6BAB">
        <w:rPr>
          <w:lang w:val="en-GB"/>
        </w:rPr>
        <w:t xml:space="preserve">To test whether the temperature was an important factor in revival, we </w:t>
      </w:r>
      <w:r w:rsidR="0012206E" w:rsidRPr="003F6BAB">
        <w:rPr>
          <w:lang w:val="en-GB"/>
        </w:rPr>
        <w:t xml:space="preserve">first </w:t>
      </w:r>
      <w:r w:rsidRPr="003F6BAB">
        <w:rPr>
          <w:lang w:val="en-GB"/>
        </w:rPr>
        <w:t xml:space="preserve">conducted a microcosm experiment pairing conditions in a drying oven and ambient lab </w:t>
      </w:r>
      <w:r w:rsidRPr="003F6BAB">
        <w:rPr>
          <w:lang w:val="en-GB"/>
        </w:rPr>
        <w:t>conditions</w:t>
      </w:r>
      <w:r w:rsidR="00EC3C31" w:rsidRPr="003F6BAB">
        <w:rPr>
          <w:lang w:val="en-GB"/>
        </w:rPr>
        <w:t xml:space="preserve"> (Sep 2021)</w:t>
      </w:r>
      <w:r w:rsidRPr="003F6BAB">
        <w:rPr>
          <w:lang w:val="en-GB"/>
        </w:rPr>
        <w:t xml:space="preserve">. There were two temperature treatments: </w:t>
      </w:r>
      <w:proofErr w:type="spellStart"/>
      <w:r w:rsidRPr="003F6BAB">
        <w:rPr>
          <w:lang w:val="en-GB"/>
        </w:rPr>
        <w:t>i</w:t>
      </w:r>
      <w:proofErr w:type="spellEnd"/>
      <w:r w:rsidRPr="003F6BAB">
        <w:rPr>
          <w:lang w:val="en-GB"/>
        </w:rPr>
        <w:t xml:space="preserve">) summer temperature, </w:t>
      </w:r>
      <w:r w:rsidR="00855425" w:rsidRPr="003F6BAB">
        <w:rPr>
          <w:lang w:val="en-GB"/>
        </w:rPr>
        <w:t xml:space="preserve">in </w:t>
      </w:r>
      <w:r w:rsidRPr="003F6BAB">
        <w:rPr>
          <w:lang w:val="en-GB"/>
        </w:rPr>
        <w:t xml:space="preserve">which </w:t>
      </w:r>
      <w:proofErr w:type="spellStart"/>
      <w:r w:rsidR="00855425" w:rsidRPr="003F6BAB">
        <w:rPr>
          <w:i/>
          <w:iCs/>
          <w:lang w:val="en-GB"/>
        </w:rPr>
        <w:t>Odontomyia</w:t>
      </w:r>
      <w:proofErr w:type="spellEnd"/>
      <w:r w:rsidR="00855425" w:rsidRPr="003F6BAB">
        <w:rPr>
          <w:i/>
          <w:iCs/>
          <w:lang w:val="en-GB"/>
        </w:rPr>
        <w:t xml:space="preserve"> </w:t>
      </w:r>
      <w:proofErr w:type="spellStart"/>
      <w:r w:rsidR="00B10D9C">
        <w:rPr>
          <w:lang w:val="en-GB"/>
        </w:rPr>
        <w:t>Meigen</w:t>
      </w:r>
      <w:proofErr w:type="spellEnd"/>
      <w:r w:rsidR="00B10D9C">
        <w:rPr>
          <w:lang w:val="en-GB"/>
        </w:rPr>
        <w:t xml:space="preserve">, 1803 </w:t>
      </w:r>
      <w:r w:rsidR="00855425" w:rsidRPr="003F6BAB">
        <w:rPr>
          <w:lang w:val="en-GB"/>
        </w:rPr>
        <w:t xml:space="preserve">larvae </w:t>
      </w:r>
      <w:r w:rsidRPr="003F6BAB">
        <w:rPr>
          <w:lang w:val="en-GB"/>
        </w:rPr>
        <w:t xml:space="preserve">were placed in the drying oven at 40°C, and ii) winter temperature, </w:t>
      </w:r>
      <w:r w:rsidR="00855425" w:rsidRPr="003F6BAB">
        <w:rPr>
          <w:lang w:val="en-GB"/>
        </w:rPr>
        <w:t xml:space="preserve">in </w:t>
      </w:r>
      <w:r w:rsidRPr="003F6BAB">
        <w:rPr>
          <w:lang w:val="en-GB"/>
        </w:rPr>
        <w:t xml:space="preserve">which </w:t>
      </w:r>
      <w:proofErr w:type="spellStart"/>
      <w:r w:rsidR="00855425" w:rsidRPr="003F6BAB">
        <w:rPr>
          <w:i/>
          <w:iCs/>
          <w:lang w:val="en-GB"/>
        </w:rPr>
        <w:t>Odontomyia</w:t>
      </w:r>
      <w:proofErr w:type="spellEnd"/>
      <w:r w:rsidR="00855425" w:rsidRPr="003F6BAB">
        <w:rPr>
          <w:i/>
          <w:iCs/>
          <w:lang w:val="en-GB"/>
        </w:rPr>
        <w:t xml:space="preserve"> </w:t>
      </w:r>
      <w:r w:rsidR="00855425" w:rsidRPr="003F6BAB">
        <w:rPr>
          <w:lang w:val="en-GB"/>
        </w:rPr>
        <w:t xml:space="preserve">larvae </w:t>
      </w:r>
      <w:r w:rsidRPr="003F6BAB">
        <w:rPr>
          <w:lang w:val="en-GB"/>
        </w:rPr>
        <w:t xml:space="preserve">were left to naturally dry </w:t>
      </w:r>
      <w:r w:rsidR="00855425" w:rsidRPr="003F6BAB">
        <w:rPr>
          <w:lang w:val="en-GB"/>
        </w:rPr>
        <w:t xml:space="preserve">on a countertop </w:t>
      </w:r>
      <w:r w:rsidRPr="003F6BAB">
        <w:rPr>
          <w:lang w:val="en-GB"/>
        </w:rPr>
        <w:t xml:space="preserve">at </w:t>
      </w:r>
      <w:r w:rsidR="00855425" w:rsidRPr="003F6BAB">
        <w:rPr>
          <w:lang w:val="en-GB"/>
        </w:rPr>
        <w:t>the ambient air temperature</w:t>
      </w:r>
      <w:r w:rsidRPr="003F6BAB">
        <w:rPr>
          <w:lang w:val="en-GB"/>
        </w:rPr>
        <w:t xml:space="preserve"> </w:t>
      </w:r>
      <w:r w:rsidR="00855425" w:rsidRPr="003F6BAB">
        <w:rPr>
          <w:lang w:val="en-GB"/>
        </w:rPr>
        <w:t>(</w:t>
      </w:r>
      <w:r w:rsidRPr="003F6BAB">
        <w:rPr>
          <w:lang w:val="en-GB"/>
        </w:rPr>
        <w:t>23°C</w:t>
      </w:r>
      <w:r w:rsidR="00855425" w:rsidRPr="003F6BAB">
        <w:rPr>
          <w:lang w:val="en-GB"/>
        </w:rPr>
        <w:t>) in the lab</w:t>
      </w:r>
      <w:r w:rsidRPr="003F6BAB">
        <w:rPr>
          <w:lang w:val="en-GB"/>
        </w:rPr>
        <w:t xml:space="preserve">. Seven larvae from the small, medium, and large size groups </w:t>
      </w:r>
      <w:r w:rsidR="00855425" w:rsidRPr="003F6BAB">
        <w:rPr>
          <w:lang w:val="en-GB"/>
        </w:rPr>
        <w:t xml:space="preserve">(as described in Online Resource 2) </w:t>
      </w:r>
      <w:r w:rsidRPr="003F6BAB">
        <w:rPr>
          <w:lang w:val="en-GB"/>
        </w:rPr>
        <w:t>were used for each treatment (summer temperature treatment n=21; winter temperature treatment n=21). Eac</w:t>
      </w:r>
      <w:r w:rsidRPr="003F6BAB">
        <w:rPr>
          <w:lang w:val="en-GB"/>
        </w:rPr>
        <w:t xml:space="preserve">h individual larva was placed in its own </w:t>
      </w:r>
      <w:r w:rsidR="00855425" w:rsidRPr="003F6BAB">
        <w:rPr>
          <w:lang w:val="en-GB"/>
        </w:rPr>
        <w:t xml:space="preserve">20mL </w:t>
      </w:r>
      <w:r w:rsidRPr="003F6BAB">
        <w:rPr>
          <w:lang w:val="en-GB"/>
        </w:rPr>
        <w:t>scint</w:t>
      </w:r>
      <w:r w:rsidR="00855425" w:rsidRPr="003F6BAB">
        <w:rPr>
          <w:lang w:val="en-GB"/>
        </w:rPr>
        <w:t>illation</w:t>
      </w:r>
      <w:r w:rsidRPr="003F6BAB">
        <w:rPr>
          <w:lang w:val="en-GB"/>
        </w:rPr>
        <w:t xml:space="preserve"> vial with a mesh lid. The larvae began the drying cycle </w:t>
      </w:r>
      <w:r w:rsidR="00855425" w:rsidRPr="003F6BAB">
        <w:rPr>
          <w:lang w:val="en-GB"/>
        </w:rPr>
        <w:t xml:space="preserve">submerged </w:t>
      </w:r>
      <w:r w:rsidRPr="003F6BAB">
        <w:rPr>
          <w:lang w:val="en-GB"/>
        </w:rPr>
        <w:t>in 1mL of deionized water, remained dry for five days, and then were rehydrated using 5mL of deionized water and monitored for revival.</w:t>
      </w:r>
    </w:p>
    <w:p w14:paraId="00000005" w14:textId="5A7431C3" w:rsidR="00973F33" w:rsidRPr="003F6BAB" w:rsidRDefault="0012206E">
      <w:pPr>
        <w:ind w:firstLine="720"/>
        <w:rPr>
          <w:lang w:val="en-GB"/>
        </w:rPr>
      </w:pPr>
      <w:r w:rsidRPr="003F6BAB">
        <w:rPr>
          <w:lang w:val="en-GB"/>
        </w:rPr>
        <w:t xml:space="preserve">Next, a second oven experiment was conducted to test </w:t>
      </w:r>
      <w:proofErr w:type="spellStart"/>
      <w:r w:rsidRPr="003F6BAB">
        <w:rPr>
          <w:i/>
          <w:iCs/>
          <w:lang w:val="en-GB"/>
        </w:rPr>
        <w:t>Odontomyia</w:t>
      </w:r>
      <w:r w:rsidRPr="003F6BAB">
        <w:rPr>
          <w:lang w:val="en-GB"/>
        </w:rPr>
        <w:t>’s</w:t>
      </w:r>
      <w:proofErr w:type="spellEnd"/>
      <w:r w:rsidRPr="003F6BAB">
        <w:rPr>
          <w:lang w:val="en-GB"/>
        </w:rPr>
        <w:t xml:space="preserve"> ability to revive from drying at </w:t>
      </w:r>
      <w:r w:rsidR="00855425" w:rsidRPr="003F6BAB">
        <w:rPr>
          <w:lang w:val="en-GB"/>
        </w:rPr>
        <w:t xml:space="preserve">high </w:t>
      </w:r>
      <w:r w:rsidRPr="003F6BAB">
        <w:rPr>
          <w:lang w:val="en-GB"/>
        </w:rPr>
        <w:t>temperature</w:t>
      </w:r>
      <w:r w:rsidR="00855425" w:rsidRPr="003F6BAB">
        <w:rPr>
          <w:lang w:val="en-GB"/>
        </w:rPr>
        <w:t>s for longer periods of time</w:t>
      </w:r>
      <w:r w:rsidRPr="003F6BAB">
        <w:rPr>
          <w:lang w:val="en-GB"/>
        </w:rPr>
        <w:t>. Five 500mL mason jars were filled half-way with a mixture of sand and gravel substrate to provide similar substrate to what they would have for aestivation in their natural habitat. Ten larvae of the following sizes were placed in the jars: five small (4</w:t>
      </w:r>
      <w:r w:rsidR="00661C97" w:rsidRPr="000F6A42">
        <w:rPr>
          <w:rFonts w:ascii="Times New Roman" w:hAnsi="Times New Roman" w:cs="Times New Roman"/>
          <w:sz w:val="24"/>
        </w:rPr>
        <w:t>–</w:t>
      </w:r>
      <w:r w:rsidRPr="003F6BAB">
        <w:rPr>
          <w:lang w:val="en-GB"/>
        </w:rPr>
        <w:t>8</w:t>
      </w:r>
      <w:r w:rsidR="00661C97">
        <w:rPr>
          <w:lang w:val="en-GB"/>
        </w:rPr>
        <w:t xml:space="preserve"> </w:t>
      </w:r>
      <w:r w:rsidRPr="003F6BAB">
        <w:rPr>
          <w:lang w:val="en-GB"/>
        </w:rPr>
        <w:t>mm length), three medium (9</w:t>
      </w:r>
      <w:r w:rsidR="00661C97" w:rsidRPr="000F6A42">
        <w:rPr>
          <w:rFonts w:ascii="Times New Roman" w:hAnsi="Times New Roman" w:cs="Times New Roman"/>
          <w:sz w:val="24"/>
        </w:rPr>
        <w:t>–</w:t>
      </w:r>
      <w:r w:rsidRPr="003F6BAB">
        <w:rPr>
          <w:lang w:val="en-GB"/>
        </w:rPr>
        <w:t>12</w:t>
      </w:r>
      <w:r w:rsidR="00661C97">
        <w:rPr>
          <w:lang w:val="en-GB"/>
        </w:rPr>
        <w:t xml:space="preserve"> </w:t>
      </w:r>
      <w:r w:rsidRPr="003F6BAB">
        <w:rPr>
          <w:lang w:val="en-GB"/>
        </w:rPr>
        <w:t>mm), one large (13</w:t>
      </w:r>
      <w:r w:rsidR="00661C97" w:rsidRPr="000F6A42">
        <w:rPr>
          <w:rFonts w:ascii="Times New Roman" w:hAnsi="Times New Roman" w:cs="Times New Roman"/>
          <w:sz w:val="24"/>
        </w:rPr>
        <w:t>–</w:t>
      </w:r>
      <w:r w:rsidRPr="003F6BAB">
        <w:rPr>
          <w:lang w:val="en-GB"/>
        </w:rPr>
        <w:t>16</w:t>
      </w:r>
      <w:r w:rsidR="00661C97">
        <w:rPr>
          <w:lang w:val="en-GB"/>
        </w:rPr>
        <w:t xml:space="preserve"> </w:t>
      </w:r>
      <w:r w:rsidRPr="003F6BAB">
        <w:rPr>
          <w:lang w:val="en-GB"/>
        </w:rPr>
        <w:t xml:space="preserve">mm), and one </w:t>
      </w:r>
      <w:r w:rsidR="003656C5" w:rsidRPr="003F6BAB">
        <w:rPr>
          <w:lang w:val="en-GB"/>
        </w:rPr>
        <w:t>extra-large</w:t>
      </w:r>
      <w:r w:rsidRPr="003F6BAB">
        <w:rPr>
          <w:lang w:val="en-GB"/>
        </w:rPr>
        <w:t xml:space="preserve"> (17+</w:t>
      </w:r>
      <w:r w:rsidR="00661C97">
        <w:rPr>
          <w:lang w:val="en-GB"/>
        </w:rPr>
        <w:t xml:space="preserve"> </w:t>
      </w:r>
      <w:r w:rsidRPr="003F6BAB">
        <w:rPr>
          <w:lang w:val="en-GB"/>
        </w:rPr>
        <w:t>mm). For airflow, the jars were lidded with a mesh fabric square underneath the screw-on ring. The jars were placed in the drying oven at 32°C for one day to allow larvae to sense the temperature increasing, leaving the oven door open for the first few hours to allow acclimation. Then, the jars were dried for 17 days at 40°C. The substrate was moist (but not saturated) when larvae first were placed in the jars, and larvae were moving around on top of the substrate when the jars were placed in the drying oven. After 17 days, the jars were removed from the drying oven, and larvae were removed from the jars, rehydrated, and observed for potential revival.</w:t>
      </w:r>
    </w:p>
    <w:p w14:paraId="00000006" w14:textId="77777777" w:rsidR="00973F33" w:rsidRPr="003F6BAB" w:rsidRDefault="00960B08">
      <w:pPr>
        <w:pStyle w:val="Heading4"/>
        <w:rPr>
          <w:lang w:val="en-GB"/>
        </w:rPr>
      </w:pPr>
      <w:bookmarkStart w:id="2" w:name="_9ih63txtq41u" w:colFirst="0" w:colLast="0"/>
      <w:bookmarkEnd w:id="2"/>
      <w:r w:rsidRPr="003F6BAB">
        <w:rPr>
          <w:lang w:val="en-GB"/>
        </w:rPr>
        <w:t>Results</w:t>
      </w:r>
    </w:p>
    <w:p w14:paraId="00000007" w14:textId="310FCB3C" w:rsidR="00973F33" w:rsidRPr="003F6BAB" w:rsidRDefault="00960B08">
      <w:pPr>
        <w:rPr>
          <w:lang w:val="en-GB"/>
        </w:rPr>
      </w:pPr>
      <w:r w:rsidRPr="003F6BAB">
        <w:rPr>
          <w:lang w:val="en-GB"/>
        </w:rPr>
        <w:tab/>
        <w:t xml:space="preserve">No larvae survived the </w:t>
      </w:r>
      <w:r w:rsidR="0012206E" w:rsidRPr="003F6BAB">
        <w:rPr>
          <w:lang w:val="en-GB"/>
        </w:rPr>
        <w:t xml:space="preserve">first drying oven and lab experiment with </w:t>
      </w:r>
      <w:r w:rsidRPr="003F6BAB">
        <w:rPr>
          <w:lang w:val="en-GB"/>
        </w:rPr>
        <w:t>treatments of different seasonal temperatures</w:t>
      </w:r>
      <w:r w:rsidR="0012206E" w:rsidRPr="003F6BAB">
        <w:rPr>
          <w:lang w:val="en-GB"/>
        </w:rPr>
        <w:t xml:space="preserve"> where no substrate was added to the scintillation vials</w:t>
      </w:r>
      <w:r w:rsidRPr="003F6BAB">
        <w:rPr>
          <w:lang w:val="en-GB"/>
        </w:rPr>
        <w:t>. Larvae from both the summer and winter temperature vials became very brittle upon drying, often cracking into pieces. After complete desiccation and adding water, 0% of the larvae revived.</w:t>
      </w:r>
    </w:p>
    <w:p w14:paraId="00000008" w14:textId="2770BF09" w:rsidR="00973F33" w:rsidRPr="003F6BAB" w:rsidRDefault="00960B08">
      <w:pPr>
        <w:ind w:firstLine="720"/>
        <w:rPr>
          <w:lang w:val="en-GB"/>
        </w:rPr>
      </w:pPr>
      <w:r w:rsidRPr="003F6BAB">
        <w:rPr>
          <w:lang w:val="en-GB"/>
        </w:rPr>
        <w:t xml:space="preserve">At the beginning of </w:t>
      </w:r>
      <w:r w:rsidR="0012206E" w:rsidRPr="003F6BAB">
        <w:rPr>
          <w:lang w:val="en-GB"/>
        </w:rPr>
        <w:t>second drying oven</w:t>
      </w:r>
      <w:r w:rsidRPr="003F6BAB">
        <w:rPr>
          <w:lang w:val="en-GB"/>
        </w:rPr>
        <w:t xml:space="preserve"> experiment, </w:t>
      </w:r>
      <w:r w:rsidR="0012206E" w:rsidRPr="003F6BAB">
        <w:rPr>
          <w:lang w:val="en-GB"/>
        </w:rPr>
        <w:t xml:space="preserve">where substrate was added to the jars, </w:t>
      </w:r>
      <w:r w:rsidRPr="003F6BAB">
        <w:rPr>
          <w:lang w:val="en-GB"/>
        </w:rPr>
        <w:t xml:space="preserve">the larvae remained mobile for at least three hours (the duration that the oven door was left open). After the drying period, 92% of larvae were found on or just below the sediment surface, </w:t>
      </w:r>
      <w:r w:rsidRPr="003F6BAB">
        <w:rPr>
          <w:lang w:val="en-GB"/>
        </w:rPr>
        <w:lastRenderedPageBreak/>
        <w:t xml:space="preserve">with many in the interstices of surface gravels, indicating some burrowing activity during drying. </w:t>
      </w:r>
      <w:r w:rsidR="0012206E" w:rsidRPr="003F6BAB">
        <w:rPr>
          <w:lang w:val="en-GB"/>
        </w:rPr>
        <w:t>However, s</w:t>
      </w:r>
      <w:r w:rsidRPr="003F6BAB">
        <w:rPr>
          <w:lang w:val="en-GB"/>
        </w:rPr>
        <w:t xml:space="preserve">urvival </w:t>
      </w:r>
      <w:r w:rsidR="0012206E" w:rsidRPr="003F6BAB">
        <w:rPr>
          <w:lang w:val="en-GB"/>
        </w:rPr>
        <w:t xml:space="preserve">again </w:t>
      </w:r>
      <w:r w:rsidRPr="003F6BAB">
        <w:rPr>
          <w:lang w:val="en-GB"/>
        </w:rPr>
        <w:t xml:space="preserve">was low; only one larva was revived out of 50 (2% survival), and </w:t>
      </w:r>
      <w:r w:rsidR="0012206E" w:rsidRPr="003F6BAB">
        <w:rPr>
          <w:lang w:val="en-GB"/>
        </w:rPr>
        <w:t xml:space="preserve">this single survivor </w:t>
      </w:r>
      <w:r w:rsidRPr="003F6BAB">
        <w:rPr>
          <w:lang w:val="en-GB"/>
        </w:rPr>
        <w:t xml:space="preserve">was the largest </w:t>
      </w:r>
      <w:r w:rsidR="0012206E" w:rsidRPr="003F6BAB">
        <w:rPr>
          <w:lang w:val="en-GB"/>
        </w:rPr>
        <w:t xml:space="preserve">individual used </w:t>
      </w:r>
      <w:r w:rsidRPr="003F6BAB">
        <w:rPr>
          <w:lang w:val="en-GB"/>
        </w:rPr>
        <w:t>in the expe</w:t>
      </w:r>
      <w:r w:rsidRPr="003F6BAB">
        <w:rPr>
          <w:lang w:val="en-GB"/>
        </w:rPr>
        <w:t>riment.</w:t>
      </w:r>
    </w:p>
    <w:p w14:paraId="00000009" w14:textId="77777777" w:rsidR="00973F33" w:rsidRPr="003F6BAB" w:rsidRDefault="00960B08">
      <w:pPr>
        <w:pStyle w:val="Heading4"/>
        <w:rPr>
          <w:lang w:val="en-GB"/>
        </w:rPr>
      </w:pPr>
      <w:bookmarkStart w:id="3" w:name="_3vwctb32aqer" w:colFirst="0" w:colLast="0"/>
      <w:bookmarkEnd w:id="3"/>
      <w:r w:rsidRPr="003F6BAB">
        <w:rPr>
          <w:lang w:val="en-GB"/>
        </w:rPr>
        <w:t>Discussion</w:t>
      </w:r>
    </w:p>
    <w:p w14:paraId="0000000A" w14:textId="152100C6" w:rsidR="00973F33" w:rsidRPr="003F6BAB" w:rsidRDefault="0012206E">
      <w:pPr>
        <w:ind w:firstLine="720"/>
        <w:rPr>
          <w:lang w:val="en-GB"/>
        </w:rPr>
      </w:pPr>
      <w:r w:rsidRPr="003F6BAB">
        <w:rPr>
          <w:lang w:val="en-GB"/>
        </w:rPr>
        <w:t>Both drying oven experiments had very low survival (0</w:t>
      </w:r>
      <w:r w:rsidR="00661C97" w:rsidRPr="000F6A42">
        <w:rPr>
          <w:rFonts w:ascii="Times New Roman" w:hAnsi="Times New Roman" w:cs="Times New Roman"/>
          <w:sz w:val="24"/>
        </w:rPr>
        <w:t>–</w:t>
      </w:r>
      <w:r w:rsidRPr="003F6BAB">
        <w:rPr>
          <w:lang w:val="en-GB"/>
        </w:rPr>
        <w:t xml:space="preserve">2%). Although one larva survived aestivation in a 40°C drying oven for 17 days, the drying rates used were likely too fast or too intense for most larvae to successfully aestivate. Although </w:t>
      </w:r>
      <w:proofErr w:type="spellStart"/>
      <w:r w:rsidRPr="003F6BAB">
        <w:rPr>
          <w:lang w:val="en-GB"/>
        </w:rPr>
        <w:t>Stratiomyinae</w:t>
      </w:r>
      <w:proofErr w:type="spellEnd"/>
      <w:r w:rsidRPr="003F6BAB">
        <w:rPr>
          <w:lang w:val="en-GB"/>
        </w:rPr>
        <w:t xml:space="preserve"> larvae are known for their ability to survive in extreme environments and utilize heat shock protein gene expression to overcome temperature stress</w:t>
      </w:r>
      <w:r w:rsidR="00360264">
        <w:rPr>
          <w:lang w:val="en-GB"/>
        </w:rPr>
        <w:t xml:space="preserve"> </w:t>
      </w:r>
      <w:r w:rsidR="00360264">
        <w:rPr>
          <w:lang w:val="en-GB"/>
        </w:rPr>
        <w:fldChar w:fldCharType="begin"/>
      </w:r>
      <w:r w:rsidR="00360264">
        <w:rPr>
          <w:lang w:val="en-GB"/>
        </w:rPr>
        <w:instrText xml:space="preserve"> ADDIN ZOTERO_ITEM CSL_CITATION {"citationID":"bBtoSATM","properties":{"formattedCitation":"(Garbuz et al. 2008)","plainCitation":"(Garbuz et al. 2008)","noteIndex":0},"citationItems":[{"id":460,"uris":["http://zotero.org/users/7195623/items/2AYP42EK"],"itemData":{"id":460,"type":"article-journal","abstract":"A population of Stratiomys japonica, a species belonging to the family Stratiomyidae (Diptera), common name ‘soldier flies’, occurs in a hot volcanic spring, which is apparently among the most inhospitable environments for animals because of chemical and thermal conditions. Larvae of this species, which naturally often experience temperatures more than 40 °C, have constitutively high concentrations of the normally inducible heat-shock protein Hsp70, but very low level of corresponding mRNA. Larvae of three other species of the same family, Stratiomys singularior, Nemotelus bipunctatus and Oxycera pardalina, are confined to different type semi-aquatic habitats with contrasting thermal regime. However, all of them shared the same pattern of Hsp70 expression. Interestingly, heat-shock treatment of S. japonica larvae activates heat-shock factor and significantly induces Hsp70 synthesis, whereas larvae of O. pardalina, a species from constant cold environment, produce significantly less Hsp70 in response to heat shock. Adults of the four species also exhibit lower, but detectable levels of Hsp70 without heat shock. Larvae of all species studied have very high tolerance to temperature stress in comparison with other Diptera species investigated, probably representing an inherent adaptive feature of all Stratiomyidae enabling successful colonization of highly variable and extreme habitats.","container-title":"Molecular Ecology","DOI":"10.1111/j.1365-294X.2008.03947.x","ISSN":"1365-294X","issue":"21","language":"en","note":"_eprint: https://onlinelibrary.wiley.com/doi/pdf/10.1111/j.1365-294X.2008.03947.x","page":"4763-4777","source":"Wiley Online Library","title":"Larvae of related Diptera species from thermally contrasting habitats exhibit continuous up-regulation of heat shock proteins and high thermotolerance","volume":"17","author":[{"family":"Garbuz","given":"David G."},{"family":"Zatsepina","given":"Olga G."},{"family":"Przhiboro","given":"Andrey A."},{"family":"Yushenova","given":"Irina"},{"family":"Guzhova","given":"Irina V."},{"family":"Evgen’ev","given":"Michael B."}],"issued":{"date-parts":[["2008"]]}}}],"schema":"https://github.com/citation-style-language/schema/raw/master/csl-citation.json"} </w:instrText>
      </w:r>
      <w:r w:rsidR="00360264">
        <w:rPr>
          <w:lang w:val="en-GB"/>
        </w:rPr>
        <w:fldChar w:fldCharType="separate"/>
      </w:r>
      <w:r w:rsidR="00360264">
        <w:rPr>
          <w:noProof/>
          <w:lang w:val="en-GB"/>
        </w:rPr>
        <w:t>(Garbuz et al. 2008)</w:t>
      </w:r>
      <w:r w:rsidR="00360264">
        <w:rPr>
          <w:lang w:val="en-GB"/>
        </w:rPr>
        <w:fldChar w:fldCharType="end"/>
      </w:r>
      <w:r w:rsidRPr="003F6BAB">
        <w:rPr>
          <w:lang w:val="en-GB"/>
        </w:rPr>
        <w:t>, the rapid change in temperature in the drying oven may have limited these larvae’s ability to adjust. Larvae may have lost tissue water abnormally quickly, resulting in high mortality. Other aquatic insects use temperature to know when to disperse away from a drying environment</w:t>
      </w:r>
      <w:r w:rsidR="00360264">
        <w:rPr>
          <w:lang w:val="en-GB"/>
        </w:rPr>
        <w:t xml:space="preserve"> </w:t>
      </w:r>
      <w:r w:rsidR="00360264">
        <w:rPr>
          <w:lang w:val="en-GB"/>
        </w:rPr>
        <w:fldChar w:fldCharType="begin"/>
      </w:r>
      <w:r w:rsidR="00360264">
        <w:rPr>
          <w:lang w:val="en-GB"/>
        </w:rPr>
        <w:instrText xml:space="preserve"> ADDIN ZOTERO_ITEM CSL_CITATION {"citationID":"NddnC4oQ","properties":{"formattedCitation":"(Boersma et al. 2019)","plainCitation":"(Boersma et al. 2019)","noteIndex":0},"citationItems":[{"id":554,"uris":["http://zotero.org/users/7195623/items/7K5NEHPP"],"itemData":{"id":554,"type":"article-journal","abstract":"Aquatic insects are known to modify their behavior in response to environmental conditions, but manipulative experiments are necessary to distinguish which environmental cues trigger which behaviors. Understanding these responses is particularly important for arid-land aquatic taxa because ongoing climate change is predicted to make the current extreme abiotic environment even more extreme. Here we conducted a manipulative experiment to determine the behavioral responses of a widespread and common crawling water beetle, Haliplus punctatus (Coleoptera: Haliplidae), to three environmental cues, temperature, conductivity, and water level, and recorded two behaviors, dispersal and burial. We found that increasing water temperature caused animals to bury less and disperse more, but that neither conductivity nor water level affected beetle behaviors. These responses to temperature may have widespread consequences for natural populations.","container-title":"Journal of Insect Behavior","DOI":"10.1007/s10905-019-09732-x","ISSN":"1572-8889","issue":"3","journalAbbreviation":"J Insect Behav","language":"en","page":"236-242","source":"Springer Link","title":"Environmental Cues Induce Dispersal and Burial in Crawling Water Beetle, Haliplus punctatus (Coleoptera: Haliplidae)","title-short":"Environmental Cues Induce Dispersal and Burial in Crawling Water Beetle, Haliplus punctatus (Coleoptera","volume":"32","author":[{"family":"Boersma","given":"Kate S."},{"family":"Constancio","given":"Natalie"},{"family":"Dunkelberger","given":"Sophie"},{"family":"Musial","given":"Lauren"},{"family":"Ortiz","given":"Gabriela"},{"family":"Ruden","given":"Elizabeth","non-dropping-particle":"von"}],"issued":{"date-parts":[["2019",5,1]]}}}],"schema":"https://github.com/citation-style-language/schema/raw/master/csl-citation.json"} </w:instrText>
      </w:r>
      <w:r w:rsidR="00360264">
        <w:rPr>
          <w:lang w:val="en-GB"/>
        </w:rPr>
        <w:fldChar w:fldCharType="separate"/>
      </w:r>
      <w:r w:rsidR="00360264">
        <w:rPr>
          <w:noProof/>
          <w:lang w:val="en-GB"/>
        </w:rPr>
        <w:t>(Boersma et al. 2019)</w:t>
      </w:r>
      <w:r w:rsidR="00360264">
        <w:rPr>
          <w:lang w:val="en-GB"/>
        </w:rPr>
        <w:fldChar w:fldCharType="end"/>
      </w:r>
      <w:r w:rsidRPr="003F6BAB">
        <w:rPr>
          <w:lang w:val="en-GB"/>
        </w:rPr>
        <w:t>. However, the rapid change in temperature during these experiments could have been overwhelming, preventing the signal to aestivate and resulting in death. Additionally, increases in water conductivity during drying can cue invertebrates to aerially disperse to a new habitat</w:t>
      </w:r>
      <w:r w:rsidR="00360264">
        <w:rPr>
          <w:lang w:val="en-GB"/>
        </w:rPr>
        <w:t xml:space="preserve"> </w:t>
      </w:r>
      <w:r w:rsidR="00360264">
        <w:rPr>
          <w:lang w:val="en-GB"/>
        </w:rPr>
        <w:fldChar w:fldCharType="begin"/>
      </w:r>
      <w:r w:rsidR="00360264">
        <w:rPr>
          <w:lang w:val="en-GB"/>
        </w:rPr>
        <w:instrText xml:space="preserve"> ADDIN ZOTERO_ITEM CSL_CITATION {"citationID":"8xRaY29e","properties":{"formattedCitation":"(Bogan et al. 2015)","plainCitation":"(Bogan et al. 2015)","noteIndex":0},"citationItems":[{"id":284,"uris":["http://zotero.org/users/7195623/items/J5HLNEIY"],"itemData":{"id":284,"type":"article-journal","container-title":"Freshwater Biology","DOI":"https://doi.org/10.1111/fwb.12522","issue":"12","note":"publisher: Wiley Online Library","page":"2547–2558","title":"Resistance and resilience of invertebrate communities to seasonal and supraseasonal drought in arid-land headwater streams","volume":"60","author":[{"family":"Bogan","given":"Michael T."},{"family":"Boersma","given":"Kate S"},{"family":"Lytle","given":"David A"}],"issued":{"date-parts":[["2015"]]}}}],"schema":"https://github.com/citation-style-language/schema/raw/master/csl-citation.json"} </w:instrText>
      </w:r>
      <w:r w:rsidR="00360264">
        <w:rPr>
          <w:lang w:val="en-GB"/>
        </w:rPr>
        <w:fldChar w:fldCharType="separate"/>
      </w:r>
      <w:r w:rsidR="00360264">
        <w:rPr>
          <w:noProof/>
          <w:lang w:val="en-GB"/>
        </w:rPr>
        <w:t>(Bogan et al. 2015)</w:t>
      </w:r>
      <w:r w:rsidR="00360264">
        <w:rPr>
          <w:lang w:val="en-GB"/>
        </w:rPr>
        <w:fldChar w:fldCharType="end"/>
      </w:r>
      <w:r w:rsidRPr="003F6BAB">
        <w:rPr>
          <w:lang w:val="en-GB"/>
        </w:rPr>
        <w:t xml:space="preserve">. The extremely low levels of water and moisture in the vials and jars may have prohibited </w:t>
      </w:r>
      <w:proofErr w:type="spellStart"/>
      <w:r w:rsidRPr="003F6BAB">
        <w:rPr>
          <w:i/>
          <w:lang w:val="en-GB"/>
        </w:rPr>
        <w:t>Odontomyia</w:t>
      </w:r>
      <w:proofErr w:type="spellEnd"/>
      <w:r w:rsidRPr="003F6BAB">
        <w:rPr>
          <w:lang w:val="en-GB"/>
        </w:rPr>
        <w:t xml:space="preserve"> larvae from perceiving a conductivity cue to start aestivation, if they indeed use this cue. </w:t>
      </w:r>
    </w:p>
    <w:p w14:paraId="0000000B" w14:textId="77777777" w:rsidR="00973F33" w:rsidRPr="003F6BAB" w:rsidRDefault="00960B08">
      <w:pPr>
        <w:pStyle w:val="Heading4"/>
        <w:rPr>
          <w:lang w:val="en-GB"/>
        </w:rPr>
      </w:pPr>
      <w:bookmarkStart w:id="4" w:name="_18pyar5gax2" w:colFirst="0" w:colLast="0"/>
      <w:bookmarkEnd w:id="4"/>
      <w:r w:rsidRPr="003F6BAB">
        <w:rPr>
          <w:lang w:val="en-GB"/>
        </w:rPr>
        <w:t>References</w:t>
      </w:r>
    </w:p>
    <w:p w14:paraId="3AA51A7B" w14:textId="75BBF02D" w:rsidR="00360264" w:rsidRPr="00360264" w:rsidRDefault="00360264" w:rsidP="00360264">
      <w:pPr>
        <w:pStyle w:val="Bibliography"/>
      </w:pPr>
      <w:r>
        <w:rPr>
          <w:lang w:val="en-GB"/>
        </w:rPr>
        <w:fldChar w:fldCharType="begin"/>
      </w:r>
      <w:r>
        <w:rPr>
          <w:lang w:val="en-GB"/>
        </w:rPr>
        <w:instrText xml:space="preserve"> ADDIN ZOTERO_BIBL {"uncited":[],"omitted":[],"custom":[]} CSL_BIBLIOGRAPHY </w:instrText>
      </w:r>
      <w:r>
        <w:rPr>
          <w:lang w:val="en-GB"/>
        </w:rPr>
        <w:fldChar w:fldCharType="separate"/>
      </w:r>
      <w:r w:rsidRPr="00360264">
        <w:t xml:space="preserve">Boersma, K. S., Constancio, N., Dunkelberger, S., Musial, L., Ortiz, G., and von Ruden, E. (2019), </w:t>
      </w:r>
      <w:r>
        <w:t>'</w:t>
      </w:r>
      <w:r w:rsidRPr="00360264">
        <w:t>Environmental Cues Induce Dispersal and Burial in Crawling Water Beetle, Haliplus punctatus (Coleoptera: Haliplidae)</w:t>
      </w:r>
      <w:r>
        <w:t>'.</w:t>
      </w:r>
      <w:r w:rsidRPr="00360264">
        <w:t xml:space="preserve"> </w:t>
      </w:r>
      <w:r w:rsidRPr="00360264">
        <w:rPr>
          <w:i/>
          <w:iCs/>
        </w:rPr>
        <w:t>Journal of Insect Behavior</w:t>
      </w:r>
      <w:r w:rsidRPr="00360264">
        <w:t>, 32</w:t>
      </w:r>
      <w:r>
        <w:t>(</w:t>
      </w:r>
      <w:r w:rsidRPr="00360264">
        <w:t>3</w:t>
      </w:r>
      <w:r>
        <w:t>)</w:t>
      </w:r>
      <w:r w:rsidRPr="00360264">
        <w:t>, 236–242.</w:t>
      </w:r>
    </w:p>
    <w:p w14:paraId="6AF5B8F2" w14:textId="28751C85" w:rsidR="00360264" w:rsidRPr="00360264" w:rsidRDefault="00360264" w:rsidP="00360264">
      <w:pPr>
        <w:pStyle w:val="Bibliography"/>
      </w:pPr>
      <w:r w:rsidRPr="00360264">
        <w:t xml:space="preserve">Bogan, M. T., Boersma, K. S., and Lytle, D. A. (2015), </w:t>
      </w:r>
      <w:r>
        <w:t>'</w:t>
      </w:r>
      <w:r w:rsidRPr="00360264">
        <w:t>Resistance and resilience of invertebrate communities to seasonal and supraseasonal drought in arid-land headwater streams</w:t>
      </w:r>
      <w:r>
        <w:t>'.</w:t>
      </w:r>
      <w:r w:rsidRPr="00360264">
        <w:t xml:space="preserve"> </w:t>
      </w:r>
      <w:r w:rsidRPr="00360264">
        <w:rPr>
          <w:i/>
          <w:iCs/>
        </w:rPr>
        <w:t>Freshwater Biology</w:t>
      </w:r>
      <w:r w:rsidRPr="00360264">
        <w:t>, 60</w:t>
      </w:r>
      <w:r>
        <w:t>(</w:t>
      </w:r>
      <w:r w:rsidRPr="00360264">
        <w:t>12</w:t>
      </w:r>
      <w:r>
        <w:t>)</w:t>
      </w:r>
      <w:r w:rsidRPr="00360264">
        <w:t>, 2547–2558.</w:t>
      </w:r>
    </w:p>
    <w:p w14:paraId="6FC51B11" w14:textId="003257AB" w:rsidR="00360264" w:rsidRDefault="00360264" w:rsidP="00360264">
      <w:pPr>
        <w:pStyle w:val="Bibliography"/>
      </w:pPr>
      <w:r w:rsidRPr="00360264">
        <w:t xml:space="preserve">Garbuz, D. G., Zatsepina, O. G., Przhiboro, A. A., Yushenova, I., Guzhova, I. V., and Evgen’ev, M. B. (2008), </w:t>
      </w:r>
      <w:r>
        <w:t>'</w:t>
      </w:r>
      <w:r w:rsidRPr="00360264">
        <w:t>Larvae of related Diptera species from thermally contrasting habitats exhibit continuous up-regulation of heat shock proteins and high thermotolerance</w:t>
      </w:r>
      <w:r>
        <w:t>'.</w:t>
      </w:r>
      <w:r w:rsidRPr="00360264">
        <w:t xml:space="preserve"> </w:t>
      </w:r>
      <w:r w:rsidRPr="00360264">
        <w:rPr>
          <w:i/>
          <w:iCs/>
        </w:rPr>
        <w:t>Molecular Ecology</w:t>
      </w:r>
      <w:r w:rsidRPr="00360264">
        <w:t>, 17</w:t>
      </w:r>
      <w:r>
        <w:t>(</w:t>
      </w:r>
      <w:r w:rsidRPr="00360264">
        <w:t>21</w:t>
      </w:r>
      <w:r>
        <w:t>)</w:t>
      </w:r>
      <w:r w:rsidRPr="00360264">
        <w:t>, 4763–4777.</w:t>
      </w:r>
    </w:p>
    <w:p w14:paraId="61E71476" w14:textId="77777777" w:rsidR="00B10D9C" w:rsidRDefault="00B10D9C" w:rsidP="00B10D9C">
      <w:r w:rsidRPr="009130AA">
        <w:t xml:space="preserve">Meigen, J.W. (1803), 'Versuch einer neuen Gattungs Eintheilung der europäischen </w:t>
      </w:r>
    </w:p>
    <w:p w14:paraId="7908D6E5" w14:textId="37F9C527" w:rsidR="00B10D9C" w:rsidRPr="009130AA" w:rsidRDefault="00B10D9C" w:rsidP="00B10D9C">
      <w:pPr>
        <w:ind w:firstLine="720"/>
      </w:pPr>
      <w:r w:rsidRPr="009130AA">
        <w:t xml:space="preserve">zweiflügligen Insekten'. </w:t>
      </w:r>
      <w:r w:rsidRPr="009130AA">
        <w:rPr>
          <w:i/>
          <w:iCs/>
        </w:rPr>
        <w:t>Magazin für Insektenkunde</w:t>
      </w:r>
      <w:r w:rsidRPr="009130AA">
        <w:t>, 2, 259</w:t>
      </w:r>
      <w:r w:rsidR="00661C97" w:rsidRPr="000F6A42">
        <w:rPr>
          <w:rFonts w:ascii="Times New Roman" w:hAnsi="Times New Roman" w:cs="Times New Roman"/>
          <w:sz w:val="24"/>
        </w:rPr>
        <w:t>–</w:t>
      </w:r>
      <w:r w:rsidRPr="009130AA">
        <w:t>281.</w:t>
      </w:r>
    </w:p>
    <w:p w14:paraId="6328FBD6" w14:textId="77777777" w:rsidR="00B10D9C" w:rsidRPr="009130AA" w:rsidRDefault="00B10D9C" w:rsidP="00B10D9C">
      <w:pPr>
        <w:spacing w:line="240" w:lineRule="auto"/>
        <w:ind w:left="720" w:hanging="720"/>
      </w:pPr>
    </w:p>
    <w:p w14:paraId="5BC2F969" w14:textId="77777777" w:rsidR="00B10D9C" w:rsidRPr="00B10D9C" w:rsidRDefault="00B10D9C" w:rsidP="00B10D9C"/>
    <w:p w14:paraId="00000011" w14:textId="25E4DBE8" w:rsidR="00973F33" w:rsidRPr="003F6BAB" w:rsidRDefault="00360264">
      <w:pPr>
        <w:rPr>
          <w:lang w:val="en-GB"/>
        </w:rPr>
      </w:pPr>
      <w:r>
        <w:rPr>
          <w:lang w:val="en-GB"/>
        </w:rPr>
        <w:fldChar w:fldCharType="end"/>
      </w:r>
    </w:p>
    <w:sectPr w:rsidR="00973F33" w:rsidRPr="003F6BAB">
      <w:footerReference w:type="even" r:id="rId6"/>
      <w:footerReference w:type="default" r:id="rId7"/>
      <w:footerReference w:type="firs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56A80" w14:textId="77777777" w:rsidR="00960B08" w:rsidRDefault="00960B08" w:rsidP="00960B08">
      <w:pPr>
        <w:spacing w:line="240" w:lineRule="auto"/>
      </w:pPr>
      <w:r>
        <w:separator/>
      </w:r>
    </w:p>
  </w:endnote>
  <w:endnote w:type="continuationSeparator" w:id="0">
    <w:p w14:paraId="091A366E" w14:textId="77777777" w:rsidR="00960B08" w:rsidRDefault="00960B08" w:rsidP="00960B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7C52" w14:textId="0BFC96B6" w:rsidR="00960B08" w:rsidRDefault="00960B08">
    <w:pPr>
      <w:pStyle w:val="Footer"/>
    </w:pPr>
    <w:r>
      <w:rPr>
        <w:noProof/>
      </w:rPr>
      <mc:AlternateContent>
        <mc:Choice Requires="wps">
          <w:drawing>
            <wp:anchor distT="0" distB="0" distL="0" distR="0" simplePos="0" relativeHeight="251659264" behindDoc="0" locked="0" layoutInCell="1" allowOverlap="1" wp14:anchorId="742E775E" wp14:editId="6C3A7AF5">
              <wp:simplePos x="635" y="635"/>
              <wp:positionH relativeFrom="page">
                <wp:align>left</wp:align>
              </wp:positionH>
              <wp:positionV relativeFrom="page">
                <wp:align>bottom</wp:align>
              </wp:positionV>
              <wp:extent cx="443865" cy="443865"/>
              <wp:effectExtent l="0" t="0" r="9525" b="0"/>
              <wp:wrapNone/>
              <wp:docPr id="1091115180" name="Text Box 2"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EA40D6" w14:textId="05C5FD94" w:rsidR="00960B08" w:rsidRPr="00960B08" w:rsidRDefault="00960B08" w:rsidP="00960B08">
                          <w:pPr>
                            <w:rPr>
                              <w:rFonts w:ascii="Rockwell" w:eastAsia="Rockwell" w:hAnsi="Rockwell" w:cs="Rockwell"/>
                              <w:noProof/>
                              <w:color w:val="0078D7"/>
                              <w:sz w:val="18"/>
                              <w:szCs w:val="18"/>
                            </w:rPr>
                          </w:pPr>
                          <w:r w:rsidRPr="00960B08">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42E775E"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10EA40D6" w14:textId="05C5FD94" w:rsidR="00960B08" w:rsidRPr="00960B08" w:rsidRDefault="00960B08" w:rsidP="00960B08">
                    <w:pPr>
                      <w:rPr>
                        <w:rFonts w:ascii="Rockwell" w:eastAsia="Rockwell" w:hAnsi="Rockwell" w:cs="Rockwell"/>
                        <w:noProof/>
                        <w:color w:val="0078D7"/>
                        <w:sz w:val="18"/>
                        <w:szCs w:val="18"/>
                      </w:rPr>
                    </w:pPr>
                    <w:r w:rsidRPr="00960B08">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F799" w14:textId="076FBD6B" w:rsidR="00960B08" w:rsidRDefault="00960B08">
    <w:pPr>
      <w:pStyle w:val="Footer"/>
    </w:pPr>
    <w:r>
      <w:rPr>
        <w:noProof/>
      </w:rPr>
      <mc:AlternateContent>
        <mc:Choice Requires="wps">
          <w:drawing>
            <wp:anchor distT="0" distB="0" distL="0" distR="0" simplePos="0" relativeHeight="251660288" behindDoc="0" locked="0" layoutInCell="1" allowOverlap="1" wp14:anchorId="64C26844" wp14:editId="7B42A651">
              <wp:simplePos x="914400" y="9439275"/>
              <wp:positionH relativeFrom="page">
                <wp:align>left</wp:align>
              </wp:positionH>
              <wp:positionV relativeFrom="page">
                <wp:align>bottom</wp:align>
              </wp:positionV>
              <wp:extent cx="443865" cy="443865"/>
              <wp:effectExtent l="0" t="0" r="9525" b="0"/>
              <wp:wrapNone/>
              <wp:docPr id="895183430" name="Text Box 3"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21F63F" w14:textId="4BF0AAC0" w:rsidR="00960B08" w:rsidRPr="00960B08" w:rsidRDefault="00960B08" w:rsidP="00960B08">
                          <w:pPr>
                            <w:rPr>
                              <w:rFonts w:ascii="Rockwell" w:eastAsia="Rockwell" w:hAnsi="Rockwell" w:cs="Rockwell"/>
                              <w:noProof/>
                              <w:color w:val="0078D7"/>
                              <w:sz w:val="18"/>
                              <w:szCs w:val="18"/>
                            </w:rPr>
                          </w:pPr>
                          <w:r w:rsidRPr="00960B08">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4C26844"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6221F63F" w14:textId="4BF0AAC0" w:rsidR="00960B08" w:rsidRPr="00960B08" w:rsidRDefault="00960B08" w:rsidP="00960B08">
                    <w:pPr>
                      <w:rPr>
                        <w:rFonts w:ascii="Rockwell" w:eastAsia="Rockwell" w:hAnsi="Rockwell" w:cs="Rockwell"/>
                        <w:noProof/>
                        <w:color w:val="0078D7"/>
                        <w:sz w:val="18"/>
                        <w:szCs w:val="18"/>
                      </w:rPr>
                    </w:pPr>
                    <w:r w:rsidRPr="00960B08">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B6959" w14:textId="4F87DE3B" w:rsidR="00960B08" w:rsidRDefault="00960B08">
    <w:pPr>
      <w:pStyle w:val="Footer"/>
    </w:pPr>
    <w:r>
      <w:rPr>
        <w:noProof/>
      </w:rPr>
      <mc:AlternateContent>
        <mc:Choice Requires="wps">
          <w:drawing>
            <wp:anchor distT="0" distB="0" distL="0" distR="0" simplePos="0" relativeHeight="251658240" behindDoc="0" locked="0" layoutInCell="1" allowOverlap="1" wp14:anchorId="2A655B8C" wp14:editId="6C910EF1">
              <wp:simplePos x="635" y="635"/>
              <wp:positionH relativeFrom="page">
                <wp:align>left</wp:align>
              </wp:positionH>
              <wp:positionV relativeFrom="page">
                <wp:align>bottom</wp:align>
              </wp:positionV>
              <wp:extent cx="443865" cy="443865"/>
              <wp:effectExtent l="0" t="0" r="9525" b="0"/>
              <wp:wrapNone/>
              <wp:docPr id="416581844" name="Text Box 1"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1BC4CC" w14:textId="11599C0E" w:rsidR="00960B08" w:rsidRPr="00960B08" w:rsidRDefault="00960B08" w:rsidP="00960B08">
                          <w:pPr>
                            <w:rPr>
                              <w:rFonts w:ascii="Rockwell" w:eastAsia="Rockwell" w:hAnsi="Rockwell" w:cs="Rockwell"/>
                              <w:noProof/>
                              <w:color w:val="0078D7"/>
                              <w:sz w:val="18"/>
                              <w:szCs w:val="18"/>
                            </w:rPr>
                          </w:pPr>
                          <w:r w:rsidRPr="00960B08">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655B8C"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311BC4CC" w14:textId="11599C0E" w:rsidR="00960B08" w:rsidRPr="00960B08" w:rsidRDefault="00960B08" w:rsidP="00960B08">
                    <w:pPr>
                      <w:rPr>
                        <w:rFonts w:ascii="Rockwell" w:eastAsia="Rockwell" w:hAnsi="Rockwell" w:cs="Rockwell"/>
                        <w:noProof/>
                        <w:color w:val="0078D7"/>
                        <w:sz w:val="18"/>
                        <w:szCs w:val="18"/>
                      </w:rPr>
                    </w:pPr>
                    <w:r w:rsidRPr="00960B08">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2A91" w14:textId="77777777" w:rsidR="00960B08" w:rsidRDefault="00960B08" w:rsidP="00960B08">
      <w:pPr>
        <w:spacing w:line="240" w:lineRule="auto"/>
      </w:pPr>
      <w:r>
        <w:separator/>
      </w:r>
    </w:p>
  </w:footnote>
  <w:footnote w:type="continuationSeparator" w:id="0">
    <w:p w14:paraId="51C0F114" w14:textId="77777777" w:rsidR="00960B08" w:rsidRDefault="00960B08" w:rsidP="00960B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F33"/>
    <w:rsid w:val="0012206E"/>
    <w:rsid w:val="00360264"/>
    <w:rsid w:val="003656C5"/>
    <w:rsid w:val="003F6BAB"/>
    <w:rsid w:val="006073D6"/>
    <w:rsid w:val="00661C97"/>
    <w:rsid w:val="00855425"/>
    <w:rsid w:val="00960B08"/>
    <w:rsid w:val="00973F33"/>
    <w:rsid w:val="00B10D9C"/>
    <w:rsid w:val="00EC3C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1658"/>
  <w15:docId w15:val="{00627717-B398-42E6-8F84-9FD87731A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855425"/>
    <w:pPr>
      <w:spacing w:line="240" w:lineRule="auto"/>
    </w:pPr>
  </w:style>
  <w:style w:type="character" w:styleId="CommentReference">
    <w:name w:val="annotation reference"/>
    <w:basedOn w:val="DefaultParagraphFont"/>
    <w:uiPriority w:val="99"/>
    <w:semiHidden/>
    <w:unhideWhenUsed/>
    <w:rsid w:val="00855425"/>
    <w:rPr>
      <w:sz w:val="16"/>
      <w:szCs w:val="16"/>
    </w:rPr>
  </w:style>
  <w:style w:type="paragraph" w:styleId="CommentText">
    <w:name w:val="annotation text"/>
    <w:basedOn w:val="Normal"/>
    <w:link w:val="CommentTextChar"/>
    <w:uiPriority w:val="99"/>
    <w:semiHidden/>
    <w:unhideWhenUsed/>
    <w:rsid w:val="00855425"/>
    <w:pPr>
      <w:spacing w:line="240" w:lineRule="auto"/>
    </w:pPr>
    <w:rPr>
      <w:sz w:val="20"/>
      <w:szCs w:val="20"/>
    </w:rPr>
  </w:style>
  <w:style w:type="character" w:customStyle="1" w:styleId="CommentTextChar">
    <w:name w:val="Comment Text Char"/>
    <w:basedOn w:val="DefaultParagraphFont"/>
    <w:link w:val="CommentText"/>
    <w:uiPriority w:val="99"/>
    <w:semiHidden/>
    <w:rsid w:val="00855425"/>
    <w:rPr>
      <w:sz w:val="20"/>
      <w:szCs w:val="20"/>
    </w:rPr>
  </w:style>
  <w:style w:type="paragraph" w:styleId="CommentSubject">
    <w:name w:val="annotation subject"/>
    <w:basedOn w:val="CommentText"/>
    <w:next w:val="CommentText"/>
    <w:link w:val="CommentSubjectChar"/>
    <w:uiPriority w:val="99"/>
    <w:semiHidden/>
    <w:unhideWhenUsed/>
    <w:rsid w:val="00855425"/>
    <w:rPr>
      <w:b/>
      <w:bCs/>
    </w:rPr>
  </w:style>
  <w:style w:type="character" w:customStyle="1" w:styleId="CommentSubjectChar">
    <w:name w:val="Comment Subject Char"/>
    <w:basedOn w:val="CommentTextChar"/>
    <w:link w:val="CommentSubject"/>
    <w:uiPriority w:val="99"/>
    <w:semiHidden/>
    <w:rsid w:val="00855425"/>
    <w:rPr>
      <w:b/>
      <w:bCs/>
      <w:sz w:val="20"/>
      <w:szCs w:val="20"/>
    </w:rPr>
  </w:style>
  <w:style w:type="paragraph" w:styleId="Bibliography">
    <w:name w:val="Bibliography"/>
    <w:basedOn w:val="Normal"/>
    <w:next w:val="Normal"/>
    <w:uiPriority w:val="37"/>
    <w:unhideWhenUsed/>
    <w:rsid w:val="00360264"/>
    <w:pPr>
      <w:spacing w:line="240" w:lineRule="auto"/>
      <w:ind w:left="720" w:hanging="720"/>
    </w:pPr>
  </w:style>
  <w:style w:type="paragraph" w:styleId="Footer">
    <w:name w:val="footer"/>
    <w:basedOn w:val="Normal"/>
    <w:link w:val="FooterChar"/>
    <w:uiPriority w:val="99"/>
    <w:unhideWhenUsed/>
    <w:rsid w:val="00960B08"/>
    <w:pPr>
      <w:tabs>
        <w:tab w:val="center" w:pos="4513"/>
        <w:tab w:val="right" w:pos="9026"/>
      </w:tabs>
      <w:spacing w:line="240" w:lineRule="auto"/>
    </w:pPr>
  </w:style>
  <w:style w:type="character" w:customStyle="1" w:styleId="FooterChar">
    <w:name w:val="Footer Char"/>
    <w:basedOn w:val="DefaultParagraphFont"/>
    <w:link w:val="Footer"/>
    <w:uiPriority w:val="99"/>
    <w:rsid w:val="00960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1622</Words>
  <Characters>9248</Characters>
  <Application>Microsoft Office Word</Application>
  <DocSecurity>0</DocSecurity>
  <Lines>77</Lines>
  <Paragraphs>21</Paragraphs>
  <ScaleCrop>false</ScaleCrop>
  <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Chango</dc:creator>
  <cp:lastModifiedBy>Griffiths-Brown, Sara</cp:lastModifiedBy>
  <cp:revision>2</cp:revision>
  <dcterms:created xsi:type="dcterms:W3CDTF">2024-01-31T14:23:00Z</dcterms:created>
  <dcterms:modified xsi:type="dcterms:W3CDTF">2024-01-31T14:23:00Z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id="I8tPX3AE"/&gt;&lt;style id="http://www.zotero.org/styles/journal-and-proceedings-of-the-royal-society-of-new-south-wales" hasBibliography="1" bibliographyStyleHasBeenSet="1"/&gt;&lt;prefs&gt;&lt;pref name="fieldTy</vt:lpwstr>
  </property>
  <property fmtid="{D5CDD505-2E9C-101B-9397-08002B2CF9AE}" pid="3" name="ZOTERO_PREF_2">
    <vt:lpwstr>pe" value="Field"/&gt;&lt;/prefs&gt;&lt;/data&gt;</vt:lpwstr>
  </property>
  <property fmtid="{D5CDD505-2E9C-101B-9397-08002B2CF9AE}" pid="4" name="ClassificationContentMarkingFooterShapeIds">
    <vt:lpwstr>18d488d4,410918ac,355b6a46</vt:lpwstr>
  </property>
  <property fmtid="{D5CDD505-2E9C-101B-9397-08002B2CF9AE}" pid="5" name="ClassificationContentMarkingFooterFontProps">
    <vt:lpwstr>#0078d7,9,Rockwell</vt:lpwstr>
  </property>
  <property fmtid="{D5CDD505-2E9C-101B-9397-08002B2CF9AE}" pid="6" name="ClassificationContentMarkingFooterText">
    <vt:lpwstr>Information Classification: General</vt:lpwstr>
  </property>
  <property fmtid="{D5CDD505-2E9C-101B-9397-08002B2CF9AE}" pid="7" name="MSIP_Label_2bbab825-a111-45e4-86a1-18cee0005896_Enabled">
    <vt:lpwstr>true</vt:lpwstr>
  </property>
  <property fmtid="{D5CDD505-2E9C-101B-9397-08002B2CF9AE}" pid="8" name="MSIP_Label_2bbab825-a111-45e4-86a1-18cee0005896_SetDate">
    <vt:lpwstr>2024-01-31T14:23:52Z</vt:lpwstr>
  </property>
  <property fmtid="{D5CDD505-2E9C-101B-9397-08002B2CF9AE}" pid="9" name="MSIP_Label_2bbab825-a111-45e4-86a1-18cee0005896_Method">
    <vt:lpwstr>Standard</vt:lpwstr>
  </property>
  <property fmtid="{D5CDD505-2E9C-101B-9397-08002B2CF9AE}" pid="10" name="MSIP_Label_2bbab825-a111-45e4-86a1-18cee0005896_Name">
    <vt:lpwstr>2bbab825-a111-45e4-86a1-18cee0005896</vt:lpwstr>
  </property>
  <property fmtid="{D5CDD505-2E9C-101B-9397-08002B2CF9AE}" pid="11" name="MSIP_Label_2bbab825-a111-45e4-86a1-18cee0005896_SiteId">
    <vt:lpwstr>2567d566-604c-408a-8a60-55d0dc9d9d6b</vt:lpwstr>
  </property>
  <property fmtid="{D5CDD505-2E9C-101B-9397-08002B2CF9AE}" pid="12" name="MSIP_Label_2bbab825-a111-45e4-86a1-18cee0005896_ActionId">
    <vt:lpwstr>b2c166d1-02db-4f87-8ce2-8fde6f89e349</vt:lpwstr>
  </property>
  <property fmtid="{D5CDD505-2E9C-101B-9397-08002B2CF9AE}" pid="13" name="MSIP_Label_2bbab825-a111-45e4-86a1-18cee0005896_ContentBits">
    <vt:lpwstr>2</vt:lpwstr>
  </property>
</Properties>
</file>