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44DC" w:rsidRPr="005D7638" w:rsidRDefault="00F744DC" w:rsidP="00F744D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Supplemental materials</w:t>
      </w:r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We collect a total of 65 questionnaires </w:t>
      </w:r>
      <w:r>
        <w:rPr>
          <w:rFonts w:ascii="Times New Roman" w:hAnsi="Times New Roman" w:cs="Times New Roman" w:hint="eastAsia"/>
          <w:sz w:val="21"/>
          <w:szCs w:val="21"/>
        </w:rPr>
        <w:t>from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</w:rPr>
        <w:t>visitors</w:t>
      </w:r>
      <w:r>
        <w:rPr>
          <w:rFonts w:ascii="Times New Roman" w:hAnsi="Times New Roman" w:cs="Times New Roman"/>
          <w:sz w:val="21"/>
          <w:szCs w:val="21"/>
        </w:rPr>
        <w:t xml:space="preserve"> to Suzhou</w:t>
      </w:r>
      <w:r w:rsidRPr="001E64BA">
        <w:rPr>
          <w:rFonts w:ascii="Times New Roman" w:hAnsi="Times New Roman" w:cs="Times New Roman"/>
          <w:sz w:val="21"/>
          <w:szCs w:val="21"/>
        </w:rPr>
        <w:t>. The first question assess</w:t>
      </w:r>
      <w:r>
        <w:rPr>
          <w:rFonts w:ascii="Times New Roman" w:hAnsi="Times New Roman" w:cs="Times New Roman" w:hint="eastAsia"/>
          <w:sz w:val="21"/>
          <w:szCs w:val="21"/>
        </w:rPr>
        <w:t>es</w:t>
      </w:r>
      <w:r w:rsidRPr="001E64BA">
        <w:rPr>
          <w:rFonts w:ascii="Times New Roman" w:hAnsi="Times New Roman" w:cs="Times New Roman"/>
          <w:sz w:val="21"/>
          <w:szCs w:val="21"/>
        </w:rPr>
        <w:t xml:space="preserve"> the respondents’ familiarity with gardens, and this variable serve</w:t>
      </w:r>
      <w:r>
        <w:rPr>
          <w:rFonts w:ascii="Times New Roman" w:hAnsi="Times New Roman" w:cs="Times New Roman" w:hint="eastAsia"/>
          <w:sz w:val="21"/>
          <w:szCs w:val="21"/>
        </w:rPr>
        <w:t>s</w:t>
      </w:r>
      <w:r w:rsidRPr="001E64BA">
        <w:rPr>
          <w:rFonts w:ascii="Times New Roman" w:hAnsi="Times New Roman" w:cs="Times New Roman"/>
          <w:sz w:val="21"/>
          <w:szCs w:val="21"/>
        </w:rPr>
        <w:t xml:space="preserve"> as a reference for weighting in subsequent data analysis.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1E64BA">
        <w:rPr>
          <w:rFonts w:ascii="Times New Roman" w:hAnsi="Times New Roman" w:cs="Times New Roman"/>
          <w:sz w:val="21"/>
          <w:szCs w:val="21"/>
        </w:rPr>
        <w:t xml:space="preserve">We divide the familiarity into five levels, ranging from 1(very unfamiliar) to 5(very familiar), with the number of respondents for each level shown in Table </w:t>
      </w:r>
      <w:r>
        <w:rPr>
          <w:rFonts w:ascii="Times New Roman" w:hAnsi="Times New Roman" w:cs="Times New Roman" w:hint="eastAsia"/>
          <w:sz w:val="21"/>
          <w:szCs w:val="21"/>
        </w:rPr>
        <w:t>A1</w:t>
      </w:r>
      <w:r w:rsidRPr="001E64BA">
        <w:rPr>
          <w:rFonts w:ascii="Times New Roman" w:hAnsi="Times New Roman" w:cs="Times New Roman"/>
          <w:sz w:val="21"/>
          <w:szCs w:val="21"/>
        </w:rPr>
        <w:t xml:space="preserve">. Accordingly, we propose the null hypothesis 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 w:val="21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 w:val="21"/>
                <w:szCs w:val="21"/>
              </w:rPr>
              <m:t>0</m:t>
            </m:r>
          </m:sub>
        </m:sSub>
      </m:oMath>
      <w:r w:rsidRPr="001E64BA">
        <w:rPr>
          <w:rFonts w:ascii="Times New Roman" w:hAnsi="Times New Roman" w:cs="Times New Roman"/>
          <w:sz w:val="21"/>
          <w:szCs w:val="21"/>
        </w:rPr>
        <w:t xml:space="preserve">, </w:t>
      </w:r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hAnsi="Cambria Math" w:cs="Times New Roman" w:hint="eastAsia"/>
                  <w:sz w:val="21"/>
                  <w:szCs w:val="21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1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 w:val="21"/>
              <w:szCs w:val="21"/>
            </w:rPr>
            <m:t>: The respondents’ familiarity with gardens follows a normal distribution.</m:t>
          </m:r>
        </m:oMath>
      </m:oMathPara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 w:hint="eastAsia"/>
          <w:sz w:val="21"/>
          <w:szCs w:val="21"/>
        </w:rPr>
        <w:t>and</w:t>
      </w:r>
      <w:r w:rsidRPr="001E64BA">
        <w:rPr>
          <w:rFonts w:ascii="Times New Roman" w:hAnsi="Times New Roman" w:cs="Times New Roman"/>
          <w:sz w:val="21"/>
          <w:szCs w:val="21"/>
        </w:rPr>
        <w:t xml:space="preserve"> </w:t>
      </w:r>
      <w:r w:rsidRPr="001E64BA">
        <w:rPr>
          <w:rFonts w:ascii="Times New Roman" w:hAnsi="Times New Roman" w:cs="Times New Roman" w:hint="eastAsia"/>
          <w:sz w:val="21"/>
          <w:szCs w:val="21"/>
        </w:rPr>
        <w:t>conduct</w:t>
      </w:r>
      <w:r w:rsidRPr="001E64BA">
        <w:rPr>
          <w:rFonts w:ascii="Times New Roman" w:hAnsi="Times New Roman" w:cs="Times New Roman"/>
          <w:sz w:val="21"/>
          <w:szCs w:val="21"/>
        </w:rPr>
        <w:t xml:space="preserve"> a chi-square test on the results, yielding the following outcomes:</w:t>
      </w:r>
    </w:p>
    <w:p w:rsidR="00F744DC" w:rsidRPr="001E64BA" w:rsidRDefault="00F744DC" w:rsidP="00F744DC">
      <w:pPr>
        <w:jc w:val="both"/>
        <w:rPr>
          <w:rFonts w:ascii="Times New Roman" w:hAnsi="Times New Roman" w:cs="Times New Roman"/>
          <w:i/>
          <w:sz w:val="21"/>
          <w:szCs w:val="21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SupPr>
            <m:e>
              <m:r>
                <w:rPr>
                  <w:rFonts w:ascii="Cambria Math" w:hAnsi="Cambria Math" w:cs="Times New Roman"/>
                  <w:sz w:val="21"/>
                  <w:szCs w:val="21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sz w:val="21"/>
                  <w:szCs w:val="21"/>
                </w:rPr>
                <m:t>2</m:t>
              </m:r>
            </m:sup>
          </m:sSup>
          <m:r>
            <w:rPr>
              <w:rFonts w:ascii="Cambria Math" w:hAnsi="Cambria Math" w:cs="Times New Roman"/>
              <w:sz w:val="21"/>
              <w:szCs w:val="21"/>
            </w:rPr>
            <m:t xml:space="preserve">=2.1939   </m:t>
          </m:r>
          <m:r>
            <w:rPr>
              <w:rFonts w:ascii="Cambria Math" w:hAnsi="Cambria Math" w:cs="Times New Roman" w:hint="eastAsia"/>
              <w:sz w:val="21"/>
              <w:szCs w:val="21"/>
            </w:rPr>
            <m:t>p</m:t>
          </m:r>
          <m:r>
            <w:rPr>
              <w:rFonts w:ascii="Cambria Math" w:hAnsi="Cambria Math" w:cs="Times New Roman"/>
              <w:sz w:val="21"/>
              <w:szCs w:val="21"/>
            </w:rPr>
            <m:t>-value=0.7002</m:t>
          </m:r>
        </m:oMath>
      </m:oMathPara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Since the </w:t>
      </w:r>
      <m:oMath>
        <m:r>
          <w:rPr>
            <w:rFonts w:ascii="Cambria Math" w:hAnsi="Cambria Math" w:cs="Times New Roman" w:hint="eastAsia"/>
            <w:sz w:val="21"/>
            <w:szCs w:val="21"/>
          </w:rPr>
          <m:t>p</m:t>
        </m:r>
        <m:r>
          <w:rPr>
            <w:rFonts w:ascii="Cambria Math" w:hAnsi="Cambria Math" w:cs="Times New Roman"/>
            <w:sz w:val="21"/>
            <w:szCs w:val="21"/>
          </w:rPr>
          <m:t>-value</m:t>
        </m:r>
      </m:oMath>
      <w:r w:rsidRPr="001E64BA">
        <w:rPr>
          <w:rFonts w:ascii="Times New Roman" w:hAnsi="Times New Roman" w:cs="Times New Roman"/>
          <w:sz w:val="21"/>
          <w:szCs w:val="21"/>
        </w:rPr>
        <w:t xml:space="preserve"> is significantly greater than 0.05, the null hypothesis 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 w:val="21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 w:val="21"/>
                <w:szCs w:val="21"/>
              </w:rPr>
              <m:t>0</m:t>
            </m:r>
          </m:sub>
        </m:sSub>
      </m:oMath>
      <w:r w:rsidRPr="001E64BA">
        <w:rPr>
          <w:rFonts w:ascii="Times New Roman" w:hAnsi="Times New Roman" w:cs="Times New Roman"/>
          <w:sz w:val="21"/>
          <w:szCs w:val="21"/>
        </w:rPr>
        <w:t xml:space="preserve"> cannot be rejected, indicating that the differences between the observed data and the expected distribution are </w:t>
      </w:r>
      <w:r>
        <w:rPr>
          <w:rFonts w:ascii="Times New Roman" w:hAnsi="Times New Roman" w:cs="Times New Roman" w:hint="eastAsia"/>
          <w:sz w:val="21"/>
          <w:szCs w:val="21"/>
        </w:rPr>
        <w:t>in</w:t>
      </w:r>
      <w:r w:rsidRPr="001E64BA">
        <w:rPr>
          <w:rFonts w:ascii="Times New Roman" w:hAnsi="Times New Roman" w:cs="Times New Roman"/>
          <w:sz w:val="21"/>
          <w:szCs w:val="21"/>
        </w:rPr>
        <w:t>significant. This suggests that the data may follow a normal distribution. To some extent, this validates the questionnaire design’s rationality and the sample’s diversity, further ensuring the reliability of the data analysis.</w:t>
      </w:r>
    </w:p>
    <w:p w:rsidR="00F744DC" w:rsidRPr="001E64BA" w:rsidRDefault="00F744DC" w:rsidP="00F744DC">
      <w:pPr>
        <w:pStyle w:val="p1"/>
        <w:ind w:firstLine="420"/>
        <w:jc w:val="both"/>
        <w:rPr>
          <w:rFonts w:ascii="Times New Roman" w:hAnsi="Times New Roman" w:cs="Times New Roman"/>
        </w:rPr>
      </w:pPr>
      <w:r w:rsidRPr="006000E0">
        <w:rPr>
          <w:rFonts w:ascii="Times New Roman" w:hAnsi="Times New Roman" w:cs="Times New Roman"/>
        </w:rPr>
        <w:t>The experts in garden art have categorized the elements within the garden into six major types: buildings, windows, water and rockery, inscriptions, paving, and plants.</w:t>
      </w:r>
      <w:r>
        <w:rPr>
          <w:rFonts w:ascii="Times New Roman" w:hAnsi="Times New Roman" w:cs="Times New Roman" w:hint="eastAsia"/>
          <w:color w:val="auto"/>
        </w:rPr>
        <w:t xml:space="preserve"> </w:t>
      </w:r>
      <w:r w:rsidRPr="001E64BA">
        <w:rPr>
          <w:rFonts w:ascii="Times New Roman" w:hAnsi="Times New Roman" w:cs="Times New Roman" w:hint="eastAsia"/>
        </w:rPr>
        <w:t>Respondents</w:t>
      </w:r>
      <w:r w:rsidRPr="001E64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are</w:t>
      </w:r>
      <w:r w:rsidRPr="001E64BA">
        <w:rPr>
          <w:rFonts w:ascii="Times New Roman" w:hAnsi="Times New Roman" w:cs="Times New Roman" w:hint="eastAsia"/>
        </w:rPr>
        <w:t xml:space="preserve"> asked</w:t>
      </w:r>
      <w:r w:rsidRPr="001E64BA">
        <w:rPr>
          <w:rFonts w:ascii="Times New Roman" w:hAnsi="Times New Roman" w:cs="Times New Roman"/>
        </w:rPr>
        <w:t xml:space="preserve"> to rank the </w:t>
      </w:r>
      <w:r>
        <w:rPr>
          <w:rFonts w:ascii="Times New Roman" w:hAnsi="Times New Roman" w:cs="Times New Roman" w:hint="eastAsia"/>
        </w:rPr>
        <w:t>six</w:t>
      </w:r>
      <w:r w:rsidRPr="001E64BA">
        <w:rPr>
          <w:rFonts w:ascii="Times New Roman" w:hAnsi="Times New Roman" w:cs="Times New Roman"/>
        </w:rPr>
        <w:t xml:space="preserve"> types of </w:t>
      </w:r>
      <w:r>
        <w:rPr>
          <w:rFonts w:ascii="Times New Roman" w:hAnsi="Times New Roman" w:cs="Times New Roman" w:hint="eastAsia"/>
        </w:rPr>
        <w:t>elements</w:t>
      </w:r>
      <w:r w:rsidRPr="001E64BA">
        <w:rPr>
          <w:rFonts w:ascii="Times New Roman" w:hAnsi="Times New Roman" w:cs="Times New Roman"/>
        </w:rPr>
        <w:t xml:space="preserve"> to examine the perceived strength of their association with Suzhou Classical Gardens. The results are presented in Table </w:t>
      </w:r>
      <w:r>
        <w:rPr>
          <w:rFonts w:ascii="Times New Roman" w:hAnsi="Times New Roman" w:cs="Times New Roman" w:hint="eastAsia"/>
        </w:rPr>
        <w:t>A2</w:t>
      </w:r>
      <w:r w:rsidRPr="001E64BA">
        <w:rPr>
          <w:rFonts w:ascii="Times New Roman" w:hAnsi="Times New Roman" w:cs="Times New Roman"/>
        </w:rPr>
        <w:t>.</w:t>
      </w:r>
      <w:r w:rsidRPr="001E64BA">
        <w:rPr>
          <w:rFonts w:ascii="Times New Roman" w:hAnsi="Times New Roman" w:cs="Times New Roman" w:hint="eastAsia"/>
        </w:rPr>
        <w:t xml:space="preserve"> </w:t>
      </w:r>
      <w:r w:rsidRPr="001E64BA">
        <w:rPr>
          <w:rFonts w:ascii="Times New Roman" w:hAnsi="Times New Roman" w:cs="Times New Roman"/>
        </w:rPr>
        <w:t>The</w:t>
      </w:r>
      <w:r w:rsidRPr="001E64BA">
        <w:rPr>
          <w:rFonts w:ascii="Times New Roman" w:hAnsi="Times New Roman" w:cs="Times New Roman" w:hint="eastAsia"/>
        </w:rPr>
        <w:t>ir</w:t>
      </w:r>
      <w:r w:rsidRPr="001E64BA">
        <w:rPr>
          <w:rFonts w:ascii="Times New Roman" w:hAnsi="Times New Roman" w:cs="Times New Roman"/>
        </w:rPr>
        <w:t xml:space="preserve"> ranking remain</w:t>
      </w:r>
      <w:r>
        <w:rPr>
          <w:rFonts w:ascii="Times New Roman" w:hAnsi="Times New Roman" w:cs="Times New Roman" w:hint="eastAsia"/>
        </w:rPr>
        <w:t>s</w:t>
      </w:r>
      <w:r w:rsidRPr="001E64BA">
        <w:rPr>
          <w:rFonts w:ascii="Times New Roman" w:hAnsi="Times New Roman" w:cs="Times New Roman"/>
        </w:rPr>
        <w:t xml:space="preserve"> unchanged after weighting by familiarity. However, the gap between the first-ranked “buildings” and the second-ranked “windows” narrow</w:t>
      </w:r>
      <w:r>
        <w:rPr>
          <w:rFonts w:ascii="Times New Roman" w:hAnsi="Times New Roman" w:cs="Times New Roman" w:hint="eastAsia"/>
        </w:rPr>
        <w:t>s</w:t>
      </w:r>
      <w:r w:rsidRPr="001E64BA">
        <w:rPr>
          <w:rFonts w:ascii="Times New Roman" w:hAnsi="Times New Roman" w:cs="Times New Roman"/>
        </w:rPr>
        <w:t>. This indicates that among</w:t>
      </w:r>
      <w:r w:rsidRPr="001E64BA">
        <w:rPr>
          <w:rFonts w:ascii="Times New Roman" w:hAnsi="Times New Roman" w:cs="Times New Roman" w:hint="eastAsia"/>
        </w:rPr>
        <w:t xml:space="preserve"> </w:t>
      </w:r>
      <w:r w:rsidRPr="001E64BA">
        <w:rPr>
          <w:rFonts w:ascii="Times New Roman" w:hAnsi="Times New Roman" w:cs="Times New Roman"/>
        </w:rPr>
        <w:t>those</w:t>
      </w:r>
      <w:r w:rsidRPr="001E64BA">
        <w:rPr>
          <w:rFonts w:ascii="Times New Roman" w:hAnsi="Times New Roman" w:cs="Times New Roman" w:hint="eastAsia"/>
        </w:rPr>
        <w:t xml:space="preserve"> </w:t>
      </w:r>
      <w:r w:rsidRPr="001E64BA">
        <w:rPr>
          <w:rFonts w:ascii="Times New Roman" w:hAnsi="Times New Roman" w:cs="Times New Roman"/>
        </w:rPr>
        <w:t xml:space="preserve">who are more familiar with Suzhou </w:t>
      </w:r>
      <w:r w:rsidRPr="001E64BA">
        <w:rPr>
          <w:rFonts w:ascii="Times New Roman" w:hAnsi="Times New Roman" w:cs="Times New Roman" w:hint="eastAsia"/>
        </w:rPr>
        <w:t>C</w:t>
      </w:r>
      <w:r w:rsidRPr="001E64BA">
        <w:rPr>
          <w:rFonts w:ascii="Times New Roman" w:hAnsi="Times New Roman" w:cs="Times New Roman"/>
        </w:rPr>
        <w:t xml:space="preserve">lassical </w:t>
      </w:r>
      <w:r w:rsidRPr="001E64BA">
        <w:rPr>
          <w:rFonts w:ascii="Times New Roman" w:hAnsi="Times New Roman" w:cs="Times New Roman" w:hint="eastAsia"/>
        </w:rPr>
        <w:t>G</w:t>
      </w:r>
      <w:r w:rsidRPr="001E64BA">
        <w:rPr>
          <w:rFonts w:ascii="Times New Roman" w:hAnsi="Times New Roman" w:cs="Times New Roman"/>
        </w:rPr>
        <w:t xml:space="preserve">ardens, a higher proportion perceive windows as culturally representative. </w:t>
      </w:r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To explore this further, we focus on which shapes of windows are considered more culturally representative, and the results are shown in Table </w:t>
      </w:r>
      <w:r>
        <w:rPr>
          <w:rFonts w:ascii="Times New Roman" w:hAnsi="Times New Roman" w:cs="Times New Roman" w:hint="eastAsia"/>
          <w:sz w:val="21"/>
          <w:szCs w:val="21"/>
        </w:rPr>
        <w:t>A3</w:t>
      </w:r>
      <w:r w:rsidRPr="001E64BA">
        <w:rPr>
          <w:rFonts w:ascii="Times New Roman" w:hAnsi="Times New Roman" w:cs="Times New Roman"/>
          <w:sz w:val="21"/>
          <w:szCs w:val="21"/>
        </w:rPr>
        <w:t>.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1E64BA">
        <w:rPr>
          <w:rFonts w:ascii="Times New Roman" w:hAnsi="Times New Roman" w:cs="Times New Roman"/>
          <w:sz w:val="21"/>
          <w:szCs w:val="21"/>
        </w:rPr>
        <w:t xml:space="preserve">The scores before and after weighting are highly similar, indicating that regardless of familiarity with Suzhou </w:t>
      </w:r>
      <w:r w:rsidRPr="001E64BA">
        <w:rPr>
          <w:rFonts w:ascii="Times New Roman" w:hAnsi="Times New Roman" w:cs="Times New Roman" w:hint="eastAsia"/>
          <w:sz w:val="21"/>
          <w:szCs w:val="21"/>
        </w:rPr>
        <w:t>C</w:t>
      </w:r>
      <w:r w:rsidRPr="001E64BA">
        <w:rPr>
          <w:rFonts w:ascii="Times New Roman" w:hAnsi="Times New Roman" w:cs="Times New Roman"/>
          <w:sz w:val="21"/>
          <w:szCs w:val="21"/>
        </w:rPr>
        <w:t xml:space="preserve">lassical </w:t>
      </w:r>
      <w:r w:rsidRPr="001E64BA">
        <w:rPr>
          <w:rFonts w:ascii="Times New Roman" w:hAnsi="Times New Roman" w:cs="Times New Roman" w:hint="eastAsia"/>
          <w:sz w:val="21"/>
          <w:szCs w:val="21"/>
        </w:rPr>
        <w:t>G</w:t>
      </w:r>
      <w:r w:rsidRPr="001E64BA">
        <w:rPr>
          <w:rFonts w:ascii="Times New Roman" w:hAnsi="Times New Roman" w:cs="Times New Roman"/>
          <w:sz w:val="21"/>
          <w:szCs w:val="21"/>
        </w:rPr>
        <w:t>ardens, people generally consider windows of the “artifact” type to be more culturally representative, which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1E64BA">
        <w:rPr>
          <w:rFonts w:ascii="Times New Roman" w:hAnsi="Times New Roman" w:cs="Times New Roman"/>
          <w:sz w:val="21"/>
          <w:szCs w:val="21"/>
        </w:rPr>
        <w:t xml:space="preserve">mainly includes shapes such as fan-shaped and porcelain-shaped windows. </w:t>
      </w:r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>Additionally, we survey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1E64BA">
        <w:rPr>
          <w:rFonts w:ascii="Times New Roman" w:hAnsi="Times New Roman" w:cs="Times New Roman"/>
          <w:sz w:val="21"/>
          <w:szCs w:val="21"/>
        </w:rPr>
        <w:t>the color perception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1E64BA">
        <w:rPr>
          <w:rFonts w:ascii="Times New Roman" w:hAnsi="Times New Roman" w:cs="Times New Roman"/>
          <w:sz w:val="21"/>
          <w:szCs w:val="21"/>
        </w:rPr>
        <w:t>of</w:t>
      </w:r>
      <w:r w:rsidRPr="001E64BA">
        <w:rPr>
          <w:rFonts w:ascii="Times New Roman" w:hAnsi="Times New Roman" w:cs="Times New Roman" w:hint="eastAsia"/>
          <w:sz w:val="21"/>
          <w:szCs w:val="21"/>
        </w:rPr>
        <w:t xml:space="preserve"> Suzhou Classical Gardens</w:t>
      </w:r>
      <w:r w:rsidRPr="001E64BA">
        <w:rPr>
          <w:rFonts w:ascii="Times New Roman" w:hAnsi="Times New Roman" w:cs="Times New Roman"/>
          <w:sz w:val="21"/>
          <w:szCs w:val="21"/>
        </w:rPr>
        <w:t xml:space="preserve">. As seen in Table </w:t>
      </w:r>
      <w:r>
        <w:rPr>
          <w:rFonts w:ascii="Times New Roman" w:hAnsi="Times New Roman" w:cs="Times New Roman" w:hint="eastAsia"/>
          <w:sz w:val="21"/>
          <w:szCs w:val="21"/>
        </w:rPr>
        <w:t>A4</w:t>
      </w:r>
      <w:r w:rsidRPr="001E64BA">
        <w:rPr>
          <w:rFonts w:ascii="Times New Roman" w:hAnsi="Times New Roman" w:cs="Times New Roman"/>
          <w:sz w:val="21"/>
          <w:szCs w:val="21"/>
        </w:rPr>
        <w:t xml:space="preserve">, green, white, and cyan </w:t>
      </w:r>
      <w:r>
        <w:rPr>
          <w:rFonts w:ascii="Times New Roman" w:hAnsi="Times New Roman" w:cs="Times New Roman" w:hint="eastAsia"/>
          <w:sz w:val="21"/>
          <w:szCs w:val="21"/>
        </w:rPr>
        <w:t>are</w:t>
      </w:r>
      <w:r w:rsidRPr="001E64BA">
        <w:rPr>
          <w:rFonts w:ascii="Times New Roman" w:hAnsi="Times New Roman" w:cs="Times New Roman"/>
          <w:sz w:val="21"/>
          <w:szCs w:val="21"/>
        </w:rPr>
        <w:t xml:space="preserve"> identified as the most </w:t>
      </w:r>
      <w:r w:rsidRPr="001E64BA">
        <w:rPr>
          <w:rFonts w:ascii="Times New Roman" w:hAnsi="Times New Roman" w:cs="Times New Roman" w:hint="eastAsia"/>
          <w:sz w:val="21"/>
          <w:szCs w:val="21"/>
        </w:rPr>
        <w:t>representative</w:t>
      </w:r>
      <w:r w:rsidRPr="001E64BA">
        <w:rPr>
          <w:rFonts w:ascii="Times New Roman" w:hAnsi="Times New Roman" w:cs="Times New Roman"/>
          <w:sz w:val="21"/>
          <w:szCs w:val="21"/>
        </w:rPr>
        <w:t xml:space="preserve"> colors of </w:t>
      </w:r>
      <w:r w:rsidRPr="001E64BA">
        <w:rPr>
          <w:rFonts w:ascii="Times New Roman" w:hAnsi="Times New Roman" w:cs="Times New Roman" w:hint="eastAsia"/>
          <w:sz w:val="21"/>
          <w:szCs w:val="21"/>
        </w:rPr>
        <w:t>it</w:t>
      </w:r>
      <w:r w:rsidRPr="001E64BA">
        <w:rPr>
          <w:rFonts w:ascii="Times New Roman" w:hAnsi="Times New Roman" w:cs="Times New Roman"/>
          <w:sz w:val="21"/>
          <w:szCs w:val="21"/>
        </w:rPr>
        <w:t>.</w:t>
      </w:r>
    </w:p>
    <w:p w:rsidR="00F744DC" w:rsidRPr="001E64BA" w:rsidRDefault="00F744DC" w:rsidP="00F744DC">
      <w:pPr>
        <w:ind w:firstLine="420"/>
        <w:jc w:val="both"/>
        <w:rPr>
          <w:rFonts w:ascii="Times New Roman" w:hAnsi="Times New Roman" w:cs="Times New Roman"/>
          <w:sz w:val="21"/>
          <w:szCs w:val="21"/>
        </w:rPr>
      </w:pPr>
    </w:p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Table </w:t>
      </w:r>
      <w:r>
        <w:rPr>
          <w:rFonts w:ascii="Times New Roman" w:hAnsi="Times New Roman" w:cs="Times New Roman"/>
          <w:sz w:val="21"/>
          <w:szCs w:val="21"/>
        </w:rPr>
        <w:t>A1</w:t>
      </w:r>
      <w:r w:rsidRPr="001E64BA">
        <w:rPr>
          <w:rFonts w:ascii="Times New Roman" w:hAnsi="Times New Roman" w:cs="Times New Roman"/>
          <w:sz w:val="21"/>
          <w:szCs w:val="21"/>
        </w:rPr>
        <w:t xml:space="preserve">. The respondents’ familiarity with Suzhou </w:t>
      </w:r>
      <w:r w:rsidRPr="001E64BA">
        <w:rPr>
          <w:rFonts w:ascii="Times New Roman" w:hAnsi="Times New Roman" w:cs="Times New Roman" w:hint="eastAsia"/>
          <w:sz w:val="21"/>
          <w:szCs w:val="21"/>
        </w:rPr>
        <w:t>C</w:t>
      </w:r>
      <w:r w:rsidRPr="001E64BA">
        <w:rPr>
          <w:rFonts w:ascii="Times New Roman" w:hAnsi="Times New Roman" w:cs="Times New Roman"/>
          <w:sz w:val="21"/>
          <w:szCs w:val="21"/>
        </w:rPr>
        <w:t xml:space="preserve">lassical </w:t>
      </w:r>
      <w:r w:rsidRPr="001E64BA">
        <w:rPr>
          <w:rFonts w:ascii="Times New Roman" w:hAnsi="Times New Roman" w:cs="Times New Roman" w:hint="eastAsia"/>
          <w:sz w:val="21"/>
          <w:szCs w:val="21"/>
        </w:rPr>
        <w:t>G</w:t>
      </w:r>
      <w:r w:rsidRPr="001E64BA">
        <w:rPr>
          <w:rFonts w:ascii="Times New Roman" w:hAnsi="Times New Roman" w:cs="Times New Roman"/>
          <w:sz w:val="21"/>
          <w:szCs w:val="21"/>
        </w:rPr>
        <w:t>ardens.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1476"/>
        <w:gridCol w:w="1372"/>
        <w:gridCol w:w="1365"/>
        <w:gridCol w:w="1366"/>
        <w:gridCol w:w="1366"/>
      </w:tblGrid>
      <w:tr w:rsidR="00F744DC" w:rsidRPr="001E64BA" w:rsidTr="006000E0">
        <w:tc>
          <w:tcPr>
            <w:tcW w:w="1276" w:type="dxa"/>
            <w:tcBorders>
              <w:bottom w:val="single" w:sz="8" w:space="0" w:color="000000"/>
              <w:right w:val="nil"/>
            </w:tcBorders>
            <w:vAlign w:val="center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Familiarity</w:t>
            </w:r>
          </w:p>
        </w:tc>
        <w:tc>
          <w:tcPr>
            <w:tcW w:w="1490" w:type="dxa"/>
            <w:tcBorders>
              <w:left w:val="nil"/>
              <w:bottom w:val="single" w:sz="8" w:space="0" w:color="000000"/>
              <w:right w:val="nil"/>
            </w:tcBorders>
          </w:tcPr>
          <w:p w:rsidR="00F744DC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1</w:t>
            </w:r>
          </w:p>
          <w:p w:rsidR="00F744DC" w:rsidRPr="00CA1A49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1A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very unfamiliar</w:t>
            </w:r>
          </w:p>
        </w:tc>
        <w:tc>
          <w:tcPr>
            <w:tcW w:w="1383" w:type="dxa"/>
            <w:tcBorders>
              <w:left w:val="nil"/>
              <w:bottom w:val="single" w:sz="8" w:space="0" w:color="000000"/>
              <w:right w:val="nil"/>
            </w:tcBorders>
          </w:tcPr>
          <w:p w:rsidR="00F744DC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</w:t>
            </w:r>
          </w:p>
          <w:p w:rsidR="00F744DC" w:rsidRPr="00CA1A49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1A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unfamiliar</w:t>
            </w:r>
          </w:p>
        </w:tc>
        <w:tc>
          <w:tcPr>
            <w:tcW w:w="1383" w:type="dxa"/>
            <w:tcBorders>
              <w:left w:val="nil"/>
              <w:bottom w:val="single" w:sz="8" w:space="0" w:color="000000"/>
              <w:right w:val="nil"/>
            </w:tcBorders>
          </w:tcPr>
          <w:p w:rsidR="00F744DC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</w:t>
            </w:r>
          </w:p>
          <w:p w:rsidR="00F744DC" w:rsidRPr="00CA1A49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1A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neutral</w:t>
            </w:r>
          </w:p>
        </w:tc>
        <w:tc>
          <w:tcPr>
            <w:tcW w:w="1383" w:type="dxa"/>
            <w:tcBorders>
              <w:left w:val="nil"/>
              <w:bottom w:val="single" w:sz="8" w:space="0" w:color="000000"/>
              <w:right w:val="nil"/>
            </w:tcBorders>
          </w:tcPr>
          <w:p w:rsidR="00F744DC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</w:t>
            </w:r>
          </w:p>
          <w:p w:rsidR="00F744DC" w:rsidRPr="00CA1A49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1A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familiar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744DC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</w:t>
            </w:r>
          </w:p>
          <w:p w:rsidR="00F744DC" w:rsidRPr="00CA1A49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r w:rsidRPr="00CA1A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ery familiar</w:t>
            </w:r>
          </w:p>
        </w:tc>
      </w:tr>
      <w:tr w:rsidR="00F744DC" w:rsidRPr="001E64BA" w:rsidTr="006000E0">
        <w:tc>
          <w:tcPr>
            <w:tcW w:w="1276" w:type="dxa"/>
            <w:tcBorders>
              <w:top w:val="single" w:sz="8" w:space="0" w:color="000000"/>
              <w:righ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</w:t>
            </w: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espondents</w:t>
            </w:r>
          </w:p>
        </w:tc>
        <w:tc>
          <w:tcPr>
            <w:tcW w:w="1490" w:type="dxa"/>
            <w:tcBorders>
              <w:top w:val="single" w:sz="8" w:space="0" w:color="000000"/>
              <w:left w:val="nil"/>
              <w:righ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righ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righ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righ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</w:tbl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Table </w:t>
      </w:r>
      <w:r>
        <w:rPr>
          <w:rFonts w:ascii="Times New Roman" w:hAnsi="Times New Roman" w:cs="Times New Roman"/>
          <w:sz w:val="21"/>
          <w:szCs w:val="21"/>
        </w:rPr>
        <w:t>A2</w:t>
      </w:r>
      <w:r w:rsidRPr="001E64BA">
        <w:rPr>
          <w:rFonts w:ascii="Times New Roman" w:hAnsi="Times New Roman" w:cs="Times New Roman"/>
          <w:sz w:val="21"/>
          <w:szCs w:val="21"/>
        </w:rPr>
        <w:t xml:space="preserve">. The </w:t>
      </w:r>
      <w:r>
        <w:rPr>
          <w:rFonts w:ascii="Times New Roman" w:hAnsi="Times New Roman" w:cs="Times New Roman" w:hint="eastAsia"/>
          <w:sz w:val="21"/>
          <w:szCs w:val="21"/>
        </w:rPr>
        <w:t>cultural representativeness of different</w:t>
      </w:r>
      <w:r w:rsidRPr="001E64B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</w:rPr>
        <w:t>garden</w:t>
      </w:r>
      <w:r w:rsidRPr="001E64B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elements</w:t>
      </w:r>
      <w:r w:rsidRPr="001E64B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</w:rPr>
        <w:t>in</w:t>
      </w:r>
      <w:r w:rsidRPr="001E64BA">
        <w:rPr>
          <w:rFonts w:ascii="Times New Roman" w:hAnsi="Times New Roman" w:cs="Times New Roman"/>
          <w:sz w:val="21"/>
          <w:szCs w:val="21"/>
        </w:rPr>
        <w:t xml:space="preserve"> Suzhou </w:t>
      </w:r>
      <w:r w:rsidRPr="001E64BA">
        <w:rPr>
          <w:rFonts w:ascii="Times New Roman" w:hAnsi="Times New Roman" w:cs="Times New Roman" w:hint="eastAsia"/>
          <w:sz w:val="21"/>
          <w:szCs w:val="21"/>
        </w:rPr>
        <w:t>C</w:t>
      </w:r>
      <w:r w:rsidRPr="001E64BA">
        <w:rPr>
          <w:rFonts w:ascii="Times New Roman" w:hAnsi="Times New Roman" w:cs="Times New Roman"/>
          <w:sz w:val="21"/>
          <w:szCs w:val="21"/>
        </w:rPr>
        <w:t xml:space="preserve">lassical </w:t>
      </w:r>
      <w:r w:rsidRPr="001E64BA">
        <w:rPr>
          <w:rFonts w:ascii="Times New Roman" w:hAnsi="Times New Roman" w:cs="Times New Roman" w:hint="eastAsia"/>
          <w:sz w:val="21"/>
          <w:szCs w:val="21"/>
        </w:rPr>
        <w:t>G</w:t>
      </w:r>
      <w:r w:rsidRPr="001E64BA">
        <w:rPr>
          <w:rFonts w:ascii="Times New Roman" w:hAnsi="Times New Roman" w:cs="Times New Roman"/>
          <w:sz w:val="21"/>
          <w:szCs w:val="21"/>
        </w:rPr>
        <w:t>ardens.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69"/>
        <w:gridCol w:w="2766"/>
      </w:tblGrid>
      <w:tr w:rsidR="00F744DC" w:rsidRPr="001E64BA" w:rsidTr="006000E0">
        <w:tc>
          <w:tcPr>
            <w:tcW w:w="3261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Type</w:t>
            </w: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of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Pr="006000E0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21"/>
                <w:szCs w:val="21"/>
              </w:rPr>
              <w:t>elements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Composite score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Weighted score</w:t>
            </w:r>
          </w:p>
        </w:tc>
      </w:tr>
      <w:tr w:rsidR="00F744DC" w:rsidRPr="001E64BA" w:rsidTr="006000E0">
        <w:tc>
          <w:tcPr>
            <w:tcW w:w="3261" w:type="dxa"/>
            <w:tcBorders>
              <w:top w:val="single" w:sz="8" w:space="0" w:color="000000"/>
            </w:tcBorders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Buildings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6.02</w:t>
            </w:r>
          </w:p>
        </w:tc>
        <w:tc>
          <w:tcPr>
            <w:tcW w:w="2766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5.53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Windows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5.43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5.473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Water and rockery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5.14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5.136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nscription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4.28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4.199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Paving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3.2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3.603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Plants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2.94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3.059</w:t>
            </w:r>
          </w:p>
        </w:tc>
      </w:tr>
    </w:tbl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 w:val="21"/>
          <w:szCs w:val="21"/>
        </w:rPr>
        <w:t>A3</w:t>
      </w:r>
      <w:r w:rsidRPr="001E64BA">
        <w:rPr>
          <w:rFonts w:ascii="Times New Roman" w:hAnsi="Times New Roman" w:cs="Times New Roman"/>
          <w:sz w:val="21"/>
          <w:szCs w:val="21"/>
        </w:rPr>
        <w:t>. The cultural representativeness of different window shapes.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69"/>
        <w:gridCol w:w="2766"/>
      </w:tblGrid>
      <w:tr w:rsidR="00F744DC" w:rsidRPr="001E64BA" w:rsidTr="006000E0">
        <w:tc>
          <w:tcPr>
            <w:tcW w:w="3261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Shape of windows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Composite score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Weighted score</w:t>
            </w:r>
          </w:p>
        </w:tc>
      </w:tr>
      <w:tr w:rsidR="00F744DC" w:rsidRPr="001E64BA" w:rsidTr="006000E0">
        <w:tc>
          <w:tcPr>
            <w:tcW w:w="3261" w:type="dxa"/>
            <w:tcBorders>
              <w:top w:val="single" w:sz="8" w:space="0" w:color="000000"/>
            </w:tcBorders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Artifacts (fan, porcelain, …)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4.09</w:t>
            </w:r>
          </w:p>
        </w:tc>
        <w:tc>
          <w:tcPr>
            <w:tcW w:w="2766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4.074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Plants (</w:t>
            </w: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crabapple</w:t>
            </w: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, leaves, …)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3.57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3.610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Polygons (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octagon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hexagon, …</w:t>
            </w: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)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3.40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3.447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 w:hint="eastAsia"/>
                <w:sz w:val="21"/>
                <w:szCs w:val="21"/>
              </w:rPr>
              <w:t>Sun</w:t>
            </w: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 xml:space="preserve"> and Moon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(round, crescent, …)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2.94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2.869</w:t>
            </w:r>
          </w:p>
        </w:tc>
      </w:tr>
    </w:tbl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F744DC" w:rsidRPr="001E64BA" w:rsidRDefault="00F744DC" w:rsidP="00F744DC">
      <w:pPr>
        <w:jc w:val="both"/>
        <w:rPr>
          <w:rFonts w:ascii="Times New Roman" w:hAnsi="Times New Roman" w:cs="Times New Roman"/>
          <w:sz w:val="21"/>
          <w:szCs w:val="21"/>
        </w:rPr>
      </w:pPr>
      <w:r w:rsidRPr="001E64BA">
        <w:rPr>
          <w:rFonts w:ascii="Times New Roman" w:hAnsi="Times New Roman" w:cs="Times New Roman"/>
          <w:sz w:val="21"/>
          <w:szCs w:val="21"/>
        </w:rPr>
        <w:t xml:space="preserve">Table </w:t>
      </w:r>
      <w:r>
        <w:rPr>
          <w:rFonts w:ascii="Times New Roman" w:hAnsi="Times New Roman" w:cs="Times New Roman"/>
          <w:sz w:val="21"/>
          <w:szCs w:val="21"/>
        </w:rPr>
        <w:t>A4</w:t>
      </w:r>
      <w:r w:rsidRPr="001E64BA">
        <w:rPr>
          <w:rFonts w:ascii="Times New Roman" w:hAnsi="Times New Roman" w:cs="Times New Roman"/>
          <w:sz w:val="21"/>
          <w:szCs w:val="21"/>
        </w:rPr>
        <w:t>. The cultural representativeness of different</w:t>
      </w:r>
      <w:r>
        <w:rPr>
          <w:rFonts w:ascii="Times New Roman" w:hAnsi="Times New Roman" w:cs="Times New Roman"/>
          <w:sz w:val="21"/>
          <w:szCs w:val="21"/>
        </w:rPr>
        <w:t xml:space="preserve"> colors</w:t>
      </w:r>
      <w:r w:rsidRPr="001E64BA">
        <w:rPr>
          <w:rFonts w:ascii="Times New Roman" w:hAnsi="Times New Roman" w:cs="Times New Roman"/>
          <w:sz w:val="21"/>
          <w:szCs w:val="21"/>
        </w:rPr>
        <w:t>.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69"/>
        <w:gridCol w:w="2766"/>
      </w:tblGrid>
      <w:tr w:rsidR="00F744DC" w:rsidRPr="001E64BA" w:rsidTr="006000E0">
        <w:tc>
          <w:tcPr>
            <w:tcW w:w="3261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Color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Composite score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Weighted score</w:t>
            </w:r>
          </w:p>
        </w:tc>
      </w:tr>
      <w:tr w:rsidR="00F744DC" w:rsidRPr="001E64BA" w:rsidTr="006000E0">
        <w:tc>
          <w:tcPr>
            <w:tcW w:w="3261" w:type="dxa"/>
            <w:tcBorders>
              <w:top w:val="single" w:sz="8" w:space="0" w:color="000000"/>
            </w:tcBorders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Green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6.0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766" w:type="dxa"/>
            <w:tcBorders>
              <w:top w:val="single" w:sz="8" w:space="0" w:color="000000"/>
            </w:tcBorders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6.608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White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6.00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6.029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Cyan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.32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5.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821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Black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 w:hint="eastAsia"/>
                <w:sz w:val="21"/>
                <w:szCs w:val="21"/>
              </w:rPr>
              <w:t>4.</w:t>
            </w: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3.856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Red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1.97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0.972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Blue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1.34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1.865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Yellow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0.85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0.298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Orange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0.38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0.197</w:t>
            </w:r>
          </w:p>
        </w:tc>
      </w:tr>
      <w:tr w:rsidR="00F744DC" w:rsidRPr="001E64BA" w:rsidTr="006000E0">
        <w:tc>
          <w:tcPr>
            <w:tcW w:w="3261" w:type="dxa"/>
          </w:tcPr>
          <w:p w:rsidR="00F744DC" w:rsidRPr="006000E0" w:rsidRDefault="00F744DC" w:rsidP="006000E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000E0">
              <w:rPr>
                <w:rFonts w:ascii="Times New Roman" w:hAnsi="Times New Roman" w:cs="Times New Roman"/>
                <w:sz w:val="21"/>
                <w:szCs w:val="21"/>
              </w:rPr>
              <w:t>Purple</w:t>
            </w:r>
          </w:p>
        </w:tc>
        <w:tc>
          <w:tcPr>
            <w:tcW w:w="2269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0.29</w:t>
            </w:r>
          </w:p>
        </w:tc>
        <w:tc>
          <w:tcPr>
            <w:tcW w:w="2766" w:type="dxa"/>
          </w:tcPr>
          <w:p w:rsidR="00F744DC" w:rsidRPr="001E64BA" w:rsidRDefault="00F744DC" w:rsidP="006000E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64BA">
              <w:rPr>
                <w:rFonts w:ascii="Times New Roman" w:hAnsi="Times New Roman" w:cs="Times New Roman"/>
                <w:sz w:val="21"/>
                <w:szCs w:val="21"/>
              </w:rPr>
              <w:t>0.584</w:t>
            </w:r>
          </w:p>
        </w:tc>
      </w:tr>
    </w:tbl>
    <w:p w:rsidR="00F744DC" w:rsidRPr="001D251F" w:rsidRDefault="00F744DC" w:rsidP="00F744DC"/>
    <w:p w:rsidR="00F744DC" w:rsidRDefault="00F744DC"/>
    <w:sectPr w:rsidR="00F74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.AppleSystemUIFont">
    <w:altName w:val="Cambria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DC"/>
    <w:rsid w:val="00BF1E6F"/>
    <w:rsid w:val="00C70C53"/>
    <w:rsid w:val="00F7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71E3B"/>
  <w15:chartTrackingRefBased/>
  <w15:docId w15:val="{B046A54C-9DAB-F54B-87A5-C14A1546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4DC"/>
    <w:pPr>
      <w:spacing w:after="0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744DC"/>
    <w:pPr>
      <w:keepNext/>
      <w:keepLines/>
      <w:widowControl w:val="0"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4DC"/>
    <w:pPr>
      <w:keepNext/>
      <w:keepLines/>
      <w:widowControl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44DC"/>
    <w:pPr>
      <w:keepNext/>
      <w:keepLines/>
      <w:widowControl w:val="0"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4DC"/>
    <w:pPr>
      <w:keepNext/>
      <w:keepLines/>
      <w:widowControl w:val="0"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44DC"/>
    <w:pPr>
      <w:keepNext/>
      <w:keepLines/>
      <w:widowControl w:val="0"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44DC"/>
    <w:pPr>
      <w:keepNext/>
      <w:keepLines/>
      <w:widowControl w:val="0"/>
      <w:spacing w:before="40" w:line="278" w:lineRule="auto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44DC"/>
    <w:pPr>
      <w:keepNext/>
      <w:keepLines/>
      <w:widowControl w:val="0"/>
      <w:spacing w:before="4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44DC"/>
    <w:pPr>
      <w:keepNext/>
      <w:keepLines/>
      <w:widowControl w:val="0"/>
      <w:spacing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44DC"/>
    <w:pPr>
      <w:keepNext/>
      <w:keepLines/>
      <w:widowControl w:val="0"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744D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744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744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744D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744D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744D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744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744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744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744DC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74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44DC"/>
    <w:pPr>
      <w:widowControl w:val="0"/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744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44DC"/>
    <w:pPr>
      <w:widowControl w:val="0"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744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44DC"/>
    <w:pPr>
      <w:widowControl w:val="0"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744D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744DC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744D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744DC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F7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F744DC"/>
    <w:rPr>
      <w:rFonts w:ascii=".AppleSystemUIFont" w:hAnsi=".AppleSystemUIFont"/>
      <w:color w:val="0E0E0E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向</dc:creator>
  <cp:keywords/>
  <dc:description/>
  <cp:lastModifiedBy>娟 向</cp:lastModifiedBy>
  <cp:revision>1</cp:revision>
  <dcterms:created xsi:type="dcterms:W3CDTF">2025-02-07T07:59:00Z</dcterms:created>
  <dcterms:modified xsi:type="dcterms:W3CDTF">2025-02-07T08:00:00Z</dcterms:modified>
</cp:coreProperties>
</file>