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002" w:rsidRDefault="00BE11F4">
      <w:pPr>
        <w:pStyle w:val="BodyA"/>
        <w:spacing w:line="480" w:lineRule="auto"/>
        <w:rPr>
          <w:rFonts w:ascii="Times New Roman" w:eastAsia="Times New Roman" w:hAnsi="Times New Roman" w:cs="Times New Roman"/>
          <w:b/>
          <w:bCs/>
          <w:sz w:val="24"/>
          <w:szCs w:val="24"/>
        </w:rPr>
      </w:pPr>
      <w:bookmarkStart w:id="0" w:name="_GoBack"/>
      <w:bookmarkEnd w:id="0"/>
      <w:r>
        <w:rPr>
          <w:rFonts w:ascii="Times New Roman" w:hAnsi="Times New Roman"/>
          <w:b/>
          <w:bCs/>
          <w:sz w:val="24"/>
          <w:szCs w:val="24"/>
        </w:rPr>
        <w:t>Supplementary Figure Legends</w:t>
      </w:r>
    </w:p>
    <w:p w:rsidR="009F7002" w:rsidRDefault="009F7002">
      <w:pPr>
        <w:pStyle w:val="CaptionA"/>
        <w:tabs>
          <w:tab w:val="clear" w:pos="1150"/>
          <w:tab w:val="left" w:pos="1473"/>
          <w:tab w:val="left" w:pos="2946"/>
          <w:tab w:val="left" w:pos="4419"/>
          <w:tab w:val="left" w:pos="5892"/>
          <w:tab w:val="left" w:pos="7365"/>
          <w:tab w:val="left" w:pos="8838"/>
        </w:tabs>
        <w:suppressAutoHyphens/>
        <w:spacing w:line="480" w:lineRule="auto"/>
        <w:outlineLvl w:val="0"/>
        <w:rPr>
          <w:rFonts w:ascii="Times New Roman" w:eastAsia="Times New Roman" w:hAnsi="Times New Roman" w:cs="Times New Roman"/>
          <w:caps w:val="0"/>
          <w:sz w:val="24"/>
          <w:szCs w:val="24"/>
        </w:rPr>
      </w:pPr>
    </w:p>
    <w:p w:rsidR="009F7002" w:rsidRDefault="00BE11F4">
      <w:pPr>
        <w:pStyle w:val="CaptionA"/>
        <w:tabs>
          <w:tab w:val="clear" w:pos="1150"/>
          <w:tab w:val="left" w:pos="1473"/>
          <w:tab w:val="left" w:pos="2946"/>
          <w:tab w:val="left" w:pos="4419"/>
          <w:tab w:val="left" w:pos="5892"/>
          <w:tab w:val="left" w:pos="7365"/>
          <w:tab w:val="left" w:pos="8838"/>
        </w:tabs>
        <w:suppressAutoHyphens/>
        <w:spacing w:line="480" w:lineRule="auto"/>
        <w:outlineLvl w:val="0"/>
        <w:rPr>
          <w:rFonts w:ascii="Times New Roman" w:eastAsia="Times New Roman" w:hAnsi="Times New Roman" w:cs="Times New Roman"/>
          <w:b w:val="0"/>
          <w:bCs w:val="0"/>
          <w:caps w:val="0"/>
          <w:sz w:val="24"/>
          <w:szCs w:val="24"/>
        </w:rPr>
      </w:pPr>
      <w:r>
        <w:rPr>
          <w:rFonts w:ascii="Times New Roman" w:hAnsi="Times New Roman"/>
          <w:caps w:val="0"/>
          <w:sz w:val="24"/>
          <w:szCs w:val="24"/>
        </w:rPr>
        <w:t>Figure S1</w:t>
      </w:r>
      <w:r>
        <w:rPr>
          <w:rFonts w:ascii="Times New Roman" w:hAnsi="Times New Roman"/>
          <w:b w:val="0"/>
          <w:bCs w:val="0"/>
          <w:caps w:val="0"/>
          <w:sz w:val="24"/>
          <w:szCs w:val="24"/>
        </w:rPr>
        <w:t>.</w:t>
      </w:r>
      <w:r>
        <w:rPr>
          <w:rFonts w:ascii="Times New Roman" w:hAnsi="Times New Roman"/>
          <w:b w:val="0"/>
          <w:bCs w:val="0"/>
          <w:caps w:val="0"/>
          <w:sz w:val="24"/>
          <w:szCs w:val="24"/>
          <w:lang w:val="zh-TW" w:eastAsia="zh-TW"/>
        </w:rPr>
        <w:t xml:space="preserve"> </w:t>
      </w:r>
      <w:r>
        <w:rPr>
          <w:rFonts w:ascii="Times New Roman" w:hAnsi="Times New Roman"/>
          <w:b w:val="0"/>
          <w:bCs w:val="0"/>
          <w:caps w:val="0"/>
          <w:sz w:val="24"/>
          <w:szCs w:val="24"/>
        </w:rPr>
        <w:t>HepAD38 cells were grown with tetracycline (Tet</w:t>
      </w:r>
      <w:r>
        <w:rPr>
          <w:rFonts w:ascii="Times New Roman" w:hAnsi="Times New Roman"/>
          <w:b w:val="0"/>
          <w:bCs w:val="0"/>
          <w:caps w:val="0"/>
          <w:sz w:val="24"/>
          <w:szCs w:val="24"/>
          <w:vertAlign w:val="superscript"/>
        </w:rPr>
        <w:t>+</w:t>
      </w:r>
      <w:r>
        <w:rPr>
          <w:rFonts w:ascii="Times New Roman" w:hAnsi="Times New Roman"/>
          <w:b w:val="0"/>
          <w:bCs w:val="0"/>
          <w:caps w:val="0"/>
          <w:sz w:val="24"/>
          <w:szCs w:val="24"/>
        </w:rPr>
        <w:t>), then the cells were incubated with medium with tetracycline (Tet</w:t>
      </w:r>
      <w:r>
        <w:rPr>
          <w:rFonts w:ascii="Times New Roman" w:hAnsi="Times New Roman"/>
          <w:b w:val="0"/>
          <w:bCs w:val="0"/>
          <w:caps w:val="0"/>
          <w:sz w:val="24"/>
          <w:szCs w:val="24"/>
          <w:vertAlign w:val="superscript"/>
        </w:rPr>
        <w:t>+</w:t>
      </w:r>
      <w:r>
        <w:rPr>
          <w:rFonts w:ascii="Times New Roman" w:hAnsi="Times New Roman"/>
          <w:b w:val="0"/>
          <w:bCs w:val="0"/>
          <w:caps w:val="0"/>
          <w:sz w:val="24"/>
          <w:szCs w:val="24"/>
        </w:rPr>
        <w:t>) or medium without tetracycline (Tet</w:t>
      </w:r>
      <w:r>
        <w:rPr>
          <w:rFonts w:ascii="Times New Roman" w:hAnsi="Times New Roman"/>
          <w:b w:val="0"/>
          <w:bCs w:val="0"/>
          <w:caps w:val="0"/>
          <w:sz w:val="24"/>
          <w:szCs w:val="24"/>
          <w:vertAlign w:val="superscript"/>
        </w:rPr>
        <w:t>-</w:t>
      </w:r>
      <w:r>
        <w:rPr>
          <w:rFonts w:ascii="Times New Roman" w:hAnsi="Times New Roman"/>
          <w:b w:val="0"/>
          <w:bCs w:val="0"/>
          <w:caps w:val="0"/>
          <w:sz w:val="24"/>
          <w:szCs w:val="24"/>
        </w:rPr>
        <w:t>, induction of HBV replication) at the indicated times. The cells were analyzed by immunoblot with the indicated antibodies (</w:t>
      </w:r>
      <w:r>
        <w:rPr>
          <w:rFonts w:ascii="Times New Roman" w:hAnsi="Times New Roman"/>
          <w:caps w:val="0"/>
          <w:sz w:val="24"/>
          <w:szCs w:val="24"/>
        </w:rPr>
        <w:t>A</w:t>
      </w:r>
      <w:r>
        <w:rPr>
          <w:rFonts w:ascii="Times New Roman" w:hAnsi="Times New Roman"/>
          <w:b w:val="0"/>
          <w:bCs w:val="0"/>
          <w:caps w:val="0"/>
          <w:sz w:val="24"/>
          <w:szCs w:val="24"/>
        </w:rPr>
        <w:t xml:space="preserve">). To determine the replication rate of HBV, the supernatant was collected per every 12 </w:t>
      </w:r>
      <w:proofErr w:type="spellStart"/>
      <w:r>
        <w:rPr>
          <w:rFonts w:ascii="Times New Roman" w:hAnsi="Times New Roman"/>
          <w:b w:val="0"/>
          <w:bCs w:val="0"/>
          <w:caps w:val="0"/>
          <w:sz w:val="24"/>
          <w:szCs w:val="24"/>
        </w:rPr>
        <w:t>h as</w:t>
      </w:r>
      <w:proofErr w:type="spellEnd"/>
      <w:r>
        <w:rPr>
          <w:rFonts w:ascii="Times New Roman" w:hAnsi="Times New Roman"/>
          <w:b w:val="0"/>
          <w:bCs w:val="0"/>
          <w:caps w:val="0"/>
          <w:sz w:val="24"/>
          <w:szCs w:val="24"/>
        </w:rPr>
        <w:t xml:space="preserve"> indicated (0-12 h, 12-24 h, 24-36 h, 36-48 h and 60-72 h), and were subjected to real-time PCR for analysis of HBV DNA (</w:t>
      </w:r>
      <w:r>
        <w:rPr>
          <w:rFonts w:ascii="Times New Roman" w:hAnsi="Times New Roman"/>
          <w:caps w:val="0"/>
          <w:sz w:val="24"/>
          <w:szCs w:val="24"/>
        </w:rPr>
        <w:t>B</w:t>
      </w:r>
      <w:r>
        <w:rPr>
          <w:rFonts w:ascii="Times New Roman" w:hAnsi="Times New Roman"/>
          <w:b w:val="0"/>
          <w:bCs w:val="0"/>
          <w:caps w:val="0"/>
          <w:sz w:val="24"/>
          <w:szCs w:val="24"/>
        </w:rPr>
        <w:t>).</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Figure S2</w:t>
      </w:r>
      <w:r>
        <w:rPr>
          <w:sz w:val="24"/>
          <w:szCs w:val="24"/>
        </w:rPr>
        <w:t xml:space="preserve">. HBV-infected liver tissues have higher levels of PRKAA phosphorylation. The </w:t>
      </w:r>
      <w:bookmarkStart w:id="1" w:name="_ENREF_42"/>
      <w:r>
        <w:rPr>
          <w:sz w:val="24"/>
          <w:szCs w:val="24"/>
        </w:rPr>
        <w:t>phosphorylation levels of PRKAA (Thr172)</w:t>
      </w:r>
      <w:bookmarkEnd w:id="1"/>
      <w:r>
        <w:rPr>
          <w:sz w:val="24"/>
          <w:szCs w:val="24"/>
        </w:rPr>
        <w:t xml:space="preserve"> in HBV-infected (HBV</w:t>
      </w:r>
      <w:r>
        <w:rPr>
          <w:sz w:val="24"/>
          <w:szCs w:val="24"/>
          <w:vertAlign w:val="superscript"/>
        </w:rPr>
        <w:t>+</w:t>
      </w:r>
      <w:r>
        <w:rPr>
          <w:sz w:val="24"/>
          <w:szCs w:val="24"/>
        </w:rPr>
        <w:t xml:space="preserve">) and HBV </w:t>
      </w:r>
      <w:proofErr w:type="spellStart"/>
      <w:r>
        <w:rPr>
          <w:sz w:val="24"/>
          <w:szCs w:val="24"/>
        </w:rPr>
        <w:t>noninfected</w:t>
      </w:r>
      <w:proofErr w:type="spellEnd"/>
      <w:r>
        <w:rPr>
          <w:sz w:val="24"/>
          <w:szCs w:val="24"/>
        </w:rPr>
        <w:t xml:space="preserve"> (HBV</w:t>
      </w:r>
      <w:r>
        <w:rPr>
          <w:sz w:val="24"/>
          <w:szCs w:val="24"/>
          <w:vertAlign w:val="superscript"/>
        </w:rPr>
        <w:t>-</w:t>
      </w:r>
      <w:r>
        <w:rPr>
          <w:sz w:val="24"/>
          <w:szCs w:val="24"/>
        </w:rPr>
        <w:t>) liver samples were analyzed by immunoblotting and a representative blot is shown. *, nonspecific band.</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S3. </w:t>
      </w:r>
      <w:r>
        <w:rPr>
          <w:sz w:val="24"/>
          <w:szCs w:val="24"/>
        </w:rPr>
        <w:t>HBV replication induces the production of mitochondrial ROS.</w:t>
      </w:r>
      <w:r>
        <w:rPr>
          <w:b/>
          <w:bCs/>
          <w:sz w:val="24"/>
          <w:szCs w:val="24"/>
        </w:rPr>
        <w:t xml:space="preserve"> </w:t>
      </w:r>
      <w:r>
        <w:rPr>
          <w:sz w:val="24"/>
          <w:szCs w:val="24"/>
        </w:rPr>
        <w:t>(</w:t>
      </w:r>
      <w:r>
        <w:rPr>
          <w:b/>
          <w:bCs/>
          <w:sz w:val="24"/>
          <w:szCs w:val="24"/>
        </w:rPr>
        <w:t>A</w:t>
      </w:r>
      <w:r>
        <w:rPr>
          <w:sz w:val="24"/>
          <w:szCs w:val="24"/>
        </w:rPr>
        <w:t>)</w:t>
      </w:r>
      <w:r>
        <w:rPr>
          <w:b/>
          <w:bCs/>
          <w:sz w:val="24"/>
          <w:szCs w:val="24"/>
        </w:rPr>
        <w:t xml:space="preserve"> </w:t>
      </w:r>
      <w:r>
        <w:rPr>
          <w:sz w:val="24"/>
          <w:szCs w:val="24"/>
        </w:rPr>
        <w:t xml:space="preserve">HepG2.2.15 or HepAD38 cells were treated with NAC (10 </w:t>
      </w:r>
      <w:proofErr w:type="spellStart"/>
      <w:r>
        <w:rPr>
          <w:sz w:val="24"/>
          <w:szCs w:val="24"/>
        </w:rPr>
        <w:t>mM</w:t>
      </w:r>
      <w:proofErr w:type="spellEnd"/>
      <w:r>
        <w:rPr>
          <w:sz w:val="24"/>
          <w:szCs w:val="24"/>
        </w:rPr>
        <w:t xml:space="preserve">), </w:t>
      </w:r>
      <w:proofErr w:type="spellStart"/>
      <w:r>
        <w:rPr>
          <w:sz w:val="24"/>
          <w:szCs w:val="24"/>
        </w:rPr>
        <w:t>aponycin</w:t>
      </w:r>
      <w:proofErr w:type="spellEnd"/>
      <w:r>
        <w:rPr>
          <w:sz w:val="24"/>
          <w:szCs w:val="24"/>
        </w:rPr>
        <w:t xml:space="preserve"> (10 </w:t>
      </w:r>
      <w:proofErr w:type="spellStart"/>
      <w:r>
        <w:rPr>
          <w:sz w:val="24"/>
          <w:szCs w:val="24"/>
        </w:rPr>
        <w:t>μM</w:t>
      </w:r>
      <w:proofErr w:type="spellEnd"/>
      <w:r>
        <w:rPr>
          <w:sz w:val="24"/>
          <w:szCs w:val="24"/>
        </w:rPr>
        <w:t xml:space="preserve">), NDGA (10 </w:t>
      </w:r>
      <w:proofErr w:type="spellStart"/>
      <w:r>
        <w:rPr>
          <w:sz w:val="24"/>
          <w:szCs w:val="24"/>
        </w:rPr>
        <w:t>μM</w:t>
      </w:r>
      <w:proofErr w:type="spellEnd"/>
      <w:r>
        <w:rPr>
          <w:sz w:val="24"/>
          <w:szCs w:val="24"/>
        </w:rPr>
        <w:t xml:space="preserve">) and rotenone (10 </w:t>
      </w:r>
      <w:proofErr w:type="spellStart"/>
      <w:r>
        <w:rPr>
          <w:sz w:val="24"/>
          <w:szCs w:val="24"/>
        </w:rPr>
        <w:t>μM</w:t>
      </w:r>
      <w:proofErr w:type="spellEnd"/>
      <w:r>
        <w:rPr>
          <w:sz w:val="24"/>
          <w:szCs w:val="24"/>
        </w:rPr>
        <w:t xml:space="preserve">) for 30 min, respectively. The ROS level was monitored with an oxidant-sensitive fluorescent probe, DCFH-DA, and results were given as mean ± SD. **, </w:t>
      </w:r>
      <w:r>
        <w:rPr>
          <w:i/>
          <w:iCs/>
          <w:sz w:val="24"/>
          <w:szCs w:val="24"/>
        </w:rPr>
        <w:t>p&lt;0.01</w:t>
      </w:r>
      <w:r>
        <w:rPr>
          <w:sz w:val="24"/>
          <w:szCs w:val="24"/>
        </w:rPr>
        <w:t xml:space="preserve"> (in HepG2.2.15); </w:t>
      </w:r>
      <w:r>
        <w:rPr>
          <w:i/>
          <w:iCs/>
          <w:sz w:val="24"/>
          <w:szCs w:val="24"/>
          <w:vertAlign w:val="superscript"/>
        </w:rPr>
        <w:t>###</w:t>
      </w:r>
      <w:r>
        <w:rPr>
          <w:sz w:val="24"/>
          <w:szCs w:val="24"/>
        </w:rPr>
        <w:t>,</w:t>
      </w:r>
      <w:r>
        <w:rPr>
          <w:sz w:val="24"/>
          <w:szCs w:val="24"/>
          <w:vertAlign w:val="superscript"/>
        </w:rPr>
        <w:t xml:space="preserve"> </w:t>
      </w:r>
      <w:r>
        <w:rPr>
          <w:i/>
          <w:iCs/>
          <w:sz w:val="24"/>
          <w:szCs w:val="24"/>
        </w:rPr>
        <w:t xml:space="preserve">p&lt;0.001 </w:t>
      </w:r>
      <w:r>
        <w:rPr>
          <w:sz w:val="24"/>
          <w:szCs w:val="24"/>
        </w:rPr>
        <w:t>(in HepAD38). (</w:t>
      </w:r>
      <w:r>
        <w:rPr>
          <w:b/>
          <w:bCs/>
          <w:sz w:val="24"/>
          <w:szCs w:val="24"/>
        </w:rPr>
        <w:t>B</w:t>
      </w:r>
      <w:r>
        <w:rPr>
          <w:sz w:val="24"/>
          <w:szCs w:val="24"/>
        </w:rPr>
        <w:t xml:space="preserve">) HepG2.2.15 or HepAD38 cells were treated with NAC (10 </w:t>
      </w:r>
      <w:proofErr w:type="spellStart"/>
      <w:r>
        <w:rPr>
          <w:sz w:val="24"/>
          <w:szCs w:val="24"/>
        </w:rPr>
        <w:t>mM</w:t>
      </w:r>
      <w:proofErr w:type="spellEnd"/>
      <w:r>
        <w:rPr>
          <w:sz w:val="24"/>
          <w:szCs w:val="24"/>
        </w:rPr>
        <w:t xml:space="preserve">) or rotenone (10 </w:t>
      </w:r>
      <w:proofErr w:type="spellStart"/>
      <w:r>
        <w:rPr>
          <w:sz w:val="24"/>
          <w:szCs w:val="24"/>
        </w:rPr>
        <w:t>μM</w:t>
      </w:r>
      <w:proofErr w:type="spellEnd"/>
      <w:r>
        <w:rPr>
          <w:sz w:val="24"/>
          <w:szCs w:val="24"/>
        </w:rPr>
        <w:t xml:space="preserve">) for 30 min. The cellular ROS were stained with DCFH-DA and visualized using </w:t>
      </w:r>
      <w:proofErr w:type="spellStart"/>
      <w:r>
        <w:rPr>
          <w:sz w:val="24"/>
          <w:szCs w:val="24"/>
        </w:rPr>
        <w:t>Thermo</w:t>
      </w:r>
      <w:proofErr w:type="spellEnd"/>
      <w:r>
        <w:rPr>
          <w:sz w:val="24"/>
          <w:szCs w:val="24"/>
        </w:rPr>
        <w:t xml:space="preserve"> Scientific </w:t>
      </w:r>
      <w:proofErr w:type="spellStart"/>
      <w:r>
        <w:rPr>
          <w:sz w:val="24"/>
          <w:szCs w:val="24"/>
        </w:rPr>
        <w:t>Cellomics</w:t>
      </w:r>
      <w:proofErr w:type="spellEnd"/>
      <w:r>
        <w:rPr>
          <w:sz w:val="24"/>
          <w:szCs w:val="24"/>
        </w:rPr>
        <w:t xml:space="preserve"> HCS imaging platform. Scale bar: 100 </w:t>
      </w:r>
      <w:proofErr w:type="spellStart"/>
      <w:r>
        <w:rPr>
          <w:sz w:val="24"/>
          <w:szCs w:val="24"/>
        </w:rPr>
        <w:t>μm</w:t>
      </w:r>
      <w:proofErr w:type="spellEnd"/>
      <w:r>
        <w:rPr>
          <w:sz w:val="24"/>
          <w:szCs w:val="24"/>
        </w:rPr>
        <w:t>. (</w:t>
      </w:r>
      <w:r>
        <w:rPr>
          <w:b/>
          <w:bCs/>
          <w:sz w:val="24"/>
          <w:szCs w:val="24"/>
        </w:rPr>
        <w:t>C</w:t>
      </w:r>
      <w:r>
        <w:rPr>
          <w:sz w:val="24"/>
          <w:szCs w:val="24"/>
        </w:rPr>
        <w:t xml:space="preserve">) The mitochondrial ROS were stained with </w:t>
      </w:r>
      <w:proofErr w:type="spellStart"/>
      <w:r>
        <w:rPr>
          <w:sz w:val="24"/>
          <w:szCs w:val="24"/>
        </w:rPr>
        <w:t>MitoSOX</w:t>
      </w:r>
      <w:proofErr w:type="spellEnd"/>
      <w:r>
        <w:rPr>
          <w:sz w:val="24"/>
          <w:szCs w:val="24"/>
        </w:rPr>
        <w:t xml:space="preserve"> and visualized using Leica microscopy. Scale bar: 20 </w:t>
      </w:r>
      <w:proofErr w:type="spellStart"/>
      <w:r>
        <w:rPr>
          <w:sz w:val="24"/>
          <w:szCs w:val="24"/>
        </w:rPr>
        <w:t>μm</w:t>
      </w:r>
      <w:proofErr w:type="spellEnd"/>
      <w:r>
        <w:rPr>
          <w:sz w:val="24"/>
          <w:szCs w:val="24"/>
        </w:rPr>
        <w:t>. (</w:t>
      </w:r>
      <w:r>
        <w:rPr>
          <w:b/>
          <w:bCs/>
          <w:sz w:val="24"/>
          <w:szCs w:val="24"/>
        </w:rPr>
        <w:t>D</w:t>
      </w:r>
      <w:r>
        <w:rPr>
          <w:sz w:val="24"/>
          <w:szCs w:val="24"/>
        </w:rPr>
        <w:t xml:space="preserve">) HepG2.2.15 or HepAD38 cells were treated with NAC (10 </w:t>
      </w:r>
      <w:proofErr w:type="spellStart"/>
      <w:r>
        <w:rPr>
          <w:sz w:val="24"/>
          <w:szCs w:val="24"/>
        </w:rPr>
        <w:t>mM</w:t>
      </w:r>
      <w:proofErr w:type="spellEnd"/>
      <w:r>
        <w:rPr>
          <w:sz w:val="24"/>
          <w:szCs w:val="24"/>
        </w:rPr>
        <w:t xml:space="preserve">) or rotenone (10 </w:t>
      </w:r>
      <w:proofErr w:type="spellStart"/>
      <w:r>
        <w:rPr>
          <w:sz w:val="24"/>
          <w:szCs w:val="24"/>
        </w:rPr>
        <w:t>μM</w:t>
      </w:r>
      <w:proofErr w:type="spellEnd"/>
      <w:r>
        <w:rPr>
          <w:sz w:val="24"/>
          <w:szCs w:val="24"/>
        </w:rPr>
        <w:t xml:space="preserve">) </w:t>
      </w:r>
      <w:r>
        <w:rPr>
          <w:sz w:val="24"/>
          <w:szCs w:val="24"/>
        </w:rPr>
        <w:lastRenderedPageBreak/>
        <w:t xml:space="preserve">for 30 min. The mitochondrial ROS were labeled with </w:t>
      </w:r>
      <w:proofErr w:type="spellStart"/>
      <w:r>
        <w:rPr>
          <w:sz w:val="24"/>
          <w:szCs w:val="24"/>
        </w:rPr>
        <w:t>MitoSOX</w:t>
      </w:r>
      <w:proofErr w:type="spellEnd"/>
      <w:r>
        <w:rPr>
          <w:sz w:val="24"/>
          <w:szCs w:val="24"/>
        </w:rPr>
        <w:t xml:space="preserve"> and visualized using </w:t>
      </w:r>
      <w:proofErr w:type="spellStart"/>
      <w:r>
        <w:rPr>
          <w:sz w:val="24"/>
          <w:szCs w:val="24"/>
        </w:rPr>
        <w:t>Thermo</w:t>
      </w:r>
      <w:proofErr w:type="spellEnd"/>
      <w:r>
        <w:rPr>
          <w:sz w:val="24"/>
          <w:szCs w:val="24"/>
        </w:rPr>
        <w:t xml:space="preserve"> Scientific </w:t>
      </w:r>
      <w:proofErr w:type="spellStart"/>
      <w:r>
        <w:rPr>
          <w:sz w:val="24"/>
          <w:szCs w:val="24"/>
        </w:rPr>
        <w:t>Cellomics</w:t>
      </w:r>
      <w:proofErr w:type="spellEnd"/>
      <w:r>
        <w:rPr>
          <w:sz w:val="24"/>
          <w:szCs w:val="24"/>
        </w:rPr>
        <w:t xml:space="preserve"> HCS imaging platform. Scale bar: 20 </w:t>
      </w:r>
      <w:proofErr w:type="spellStart"/>
      <w:r>
        <w:rPr>
          <w:sz w:val="24"/>
          <w:szCs w:val="24"/>
        </w:rPr>
        <w:t>μm</w:t>
      </w:r>
      <w:proofErr w:type="spellEnd"/>
      <w:r>
        <w:rPr>
          <w:sz w:val="24"/>
          <w:szCs w:val="24"/>
        </w:rPr>
        <w:t>.</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S4. </w:t>
      </w:r>
      <w:r>
        <w:rPr>
          <w:sz w:val="24"/>
          <w:szCs w:val="24"/>
        </w:rPr>
        <w:t>STK11 is not involved in the activation of PRKAA in HBV-producing cells. HepG2.2.15 or HepAD38 cells were transfected with si</w:t>
      </w:r>
      <w:r>
        <w:rPr>
          <w:i/>
          <w:iCs/>
          <w:sz w:val="24"/>
          <w:szCs w:val="24"/>
        </w:rPr>
        <w:t>STK11</w:t>
      </w:r>
      <w:r>
        <w:rPr>
          <w:sz w:val="24"/>
          <w:szCs w:val="24"/>
        </w:rPr>
        <w:t xml:space="preserve"> or </w:t>
      </w:r>
      <w:proofErr w:type="spellStart"/>
      <w:r>
        <w:rPr>
          <w:sz w:val="24"/>
          <w:szCs w:val="24"/>
        </w:rPr>
        <w:t>si</w:t>
      </w:r>
      <w:proofErr w:type="spellEnd"/>
      <w:r>
        <w:rPr>
          <w:sz w:val="24"/>
          <w:szCs w:val="24"/>
          <w:lang w:val="zh-TW" w:eastAsia="zh-TW"/>
        </w:rPr>
        <w:t>RNA</w:t>
      </w:r>
      <w:r>
        <w:rPr>
          <w:sz w:val="24"/>
          <w:szCs w:val="24"/>
        </w:rPr>
        <w:t xml:space="preserve"> pools to a universal control (</w:t>
      </w:r>
      <w:proofErr w:type="spellStart"/>
      <w:r>
        <w:rPr>
          <w:sz w:val="24"/>
          <w:szCs w:val="24"/>
        </w:rPr>
        <w:t>siScramble</w:t>
      </w:r>
      <w:proofErr w:type="spellEnd"/>
      <w:r>
        <w:rPr>
          <w:sz w:val="24"/>
          <w:szCs w:val="24"/>
        </w:rPr>
        <w:t xml:space="preserve">) for 48 h. Immunoblot analysis of total protein extracts from </w:t>
      </w:r>
      <w:proofErr w:type="spellStart"/>
      <w:r>
        <w:rPr>
          <w:sz w:val="24"/>
          <w:szCs w:val="24"/>
        </w:rPr>
        <w:t>si</w:t>
      </w:r>
      <w:proofErr w:type="spellEnd"/>
      <w:r>
        <w:rPr>
          <w:sz w:val="24"/>
          <w:szCs w:val="24"/>
          <w:lang w:val="zh-TW" w:eastAsia="zh-TW"/>
        </w:rPr>
        <w:t>RNA</w:t>
      </w:r>
      <w:r>
        <w:rPr>
          <w:sz w:val="24"/>
          <w:szCs w:val="24"/>
        </w:rPr>
        <w:t>-transfected cells with the indicated antibody</w:t>
      </w:r>
      <w:r>
        <w:rPr>
          <w:sz w:val="24"/>
          <w:szCs w:val="24"/>
          <w:lang w:val="zh-TW" w:eastAsia="zh-TW"/>
        </w:rPr>
        <w:t>, respectively</w:t>
      </w:r>
      <w:r>
        <w:rPr>
          <w:sz w:val="24"/>
          <w:szCs w:val="24"/>
        </w:rPr>
        <w:t>.</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S5. </w:t>
      </w:r>
      <w:r>
        <w:rPr>
          <w:sz w:val="24"/>
          <w:szCs w:val="24"/>
        </w:rPr>
        <w:t>TXN/TXNIP is involved in ROS-mediated activation of PRKAA.</w:t>
      </w:r>
      <w:r>
        <w:rPr>
          <w:b/>
          <w:bCs/>
          <w:sz w:val="24"/>
          <w:szCs w:val="24"/>
        </w:rPr>
        <w:t xml:space="preserve"> </w:t>
      </w:r>
      <w:r>
        <w:rPr>
          <w:sz w:val="24"/>
          <w:szCs w:val="24"/>
        </w:rPr>
        <w:t>(</w:t>
      </w:r>
      <w:r>
        <w:rPr>
          <w:b/>
          <w:bCs/>
          <w:sz w:val="24"/>
          <w:szCs w:val="24"/>
        </w:rPr>
        <w:t>A</w:t>
      </w:r>
      <w:r>
        <w:rPr>
          <w:sz w:val="24"/>
          <w:szCs w:val="24"/>
        </w:rPr>
        <w:t>) HepG2 cells were treated with H</w:t>
      </w:r>
      <w:r>
        <w:rPr>
          <w:sz w:val="24"/>
          <w:szCs w:val="24"/>
          <w:vertAlign w:val="subscript"/>
        </w:rPr>
        <w:t>2</w:t>
      </w:r>
      <w:r>
        <w:rPr>
          <w:sz w:val="24"/>
          <w:szCs w:val="24"/>
        </w:rPr>
        <w:t>O</w:t>
      </w:r>
      <w:r>
        <w:rPr>
          <w:sz w:val="24"/>
          <w:szCs w:val="24"/>
          <w:vertAlign w:val="subscript"/>
        </w:rPr>
        <w:t>2</w:t>
      </w:r>
      <w:r>
        <w:rPr>
          <w:sz w:val="24"/>
          <w:szCs w:val="24"/>
        </w:rPr>
        <w:t xml:space="preserve"> or </w:t>
      </w:r>
      <w:proofErr w:type="spellStart"/>
      <w:r>
        <w:rPr>
          <w:sz w:val="24"/>
          <w:szCs w:val="24"/>
        </w:rPr>
        <w:t>diamide</w:t>
      </w:r>
      <w:proofErr w:type="spellEnd"/>
      <w:r>
        <w:rPr>
          <w:sz w:val="24"/>
          <w:szCs w:val="24"/>
        </w:rPr>
        <w:t xml:space="preserve"> for 30 min and were analyzed by immunoblot with PRKAA antibody under reducing (</w:t>
      </w:r>
      <w:proofErr w:type="spellStart"/>
      <w:r>
        <w:rPr>
          <w:sz w:val="24"/>
          <w:szCs w:val="24"/>
        </w:rPr>
        <w:t>dithiothreitol</w:t>
      </w:r>
      <w:proofErr w:type="spellEnd"/>
      <w:r>
        <w:rPr>
          <w:sz w:val="24"/>
          <w:szCs w:val="24"/>
        </w:rPr>
        <w:t xml:space="preserve">, DTT) or </w:t>
      </w:r>
      <w:proofErr w:type="spellStart"/>
      <w:r>
        <w:rPr>
          <w:sz w:val="24"/>
          <w:szCs w:val="24"/>
        </w:rPr>
        <w:t>nonreducing</w:t>
      </w:r>
      <w:proofErr w:type="spellEnd"/>
      <w:r>
        <w:rPr>
          <w:sz w:val="24"/>
          <w:szCs w:val="24"/>
        </w:rPr>
        <w:t xml:space="preserve"> conditions. (</w:t>
      </w:r>
      <w:r>
        <w:rPr>
          <w:b/>
          <w:bCs/>
          <w:sz w:val="24"/>
          <w:szCs w:val="24"/>
        </w:rPr>
        <w:t>B</w:t>
      </w:r>
      <w:r>
        <w:rPr>
          <w:sz w:val="24"/>
          <w:szCs w:val="24"/>
        </w:rPr>
        <w:t xml:space="preserve">) Cells were analyzed by immunoblot with PRKAA antibody as indicated under </w:t>
      </w:r>
      <w:proofErr w:type="spellStart"/>
      <w:r>
        <w:rPr>
          <w:sz w:val="24"/>
          <w:szCs w:val="24"/>
        </w:rPr>
        <w:t>nonreducing</w:t>
      </w:r>
      <w:proofErr w:type="spellEnd"/>
      <w:r>
        <w:rPr>
          <w:sz w:val="24"/>
          <w:szCs w:val="24"/>
        </w:rPr>
        <w:t xml:space="preserve"> conditions. (</w:t>
      </w:r>
      <w:r>
        <w:rPr>
          <w:b/>
          <w:bCs/>
          <w:sz w:val="24"/>
          <w:szCs w:val="24"/>
        </w:rPr>
        <w:t>C</w:t>
      </w:r>
      <w:r>
        <w:rPr>
          <w:sz w:val="24"/>
          <w:szCs w:val="24"/>
        </w:rPr>
        <w:t xml:space="preserve">) Cell lysates were incubated with or without Mal-PEG (1 </w:t>
      </w:r>
      <w:proofErr w:type="spellStart"/>
      <w:r>
        <w:rPr>
          <w:sz w:val="24"/>
          <w:szCs w:val="24"/>
        </w:rPr>
        <w:t>mM</w:t>
      </w:r>
      <w:proofErr w:type="spellEnd"/>
      <w:r>
        <w:rPr>
          <w:sz w:val="24"/>
          <w:szCs w:val="24"/>
        </w:rPr>
        <w:t xml:space="preserve">) for 4 h before immunoblot analysis with the anti-TXN antibody. #SH indicates the apparent number of TXN </w:t>
      </w:r>
      <w:proofErr w:type="spellStart"/>
      <w:r>
        <w:rPr>
          <w:sz w:val="24"/>
          <w:szCs w:val="24"/>
        </w:rPr>
        <w:t>sulfhydryls</w:t>
      </w:r>
      <w:proofErr w:type="spellEnd"/>
      <w:r>
        <w:rPr>
          <w:sz w:val="24"/>
          <w:szCs w:val="24"/>
        </w:rPr>
        <w:t xml:space="preserve"> modified by Mal-PEG. (</w:t>
      </w:r>
      <w:r>
        <w:rPr>
          <w:b/>
          <w:bCs/>
          <w:sz w:val="24"/>
          <w:szCs w:val="24"/>
        </w:rPr>
        <w:t>D</w:t>
      </w:r>
      <w:r>
        <w:rPr>
          <w:sz w:val="24"/>
          <w:szCs w:val="24"/>
        </w:rPr>
        <w:t xml:space="preserve">) HepG2.2.15 or HepAD38 cells were transfected with control vector or </w:t>
      </w:r>
      <w:proofErr w:type="spellStart"/>
      <w:r>
        <w:rPr>
          <w:sz w:val="24"/>
          <w:szCs w:val="24"/>
        </w:rPr>
        <w:t>pLVX</w:t>
      </w:r>
      <w:proofErr w:type="spellEnd"/>
      <w:r>
        <w:rPr>
          <w:sz w:val="24"/>
          <w:szCs w:val="24"/>
        </w:rPr>
        <w:t>-puro-TXNIP plasmid, followed by immunoblot analysis with antibodies as indicated. (</w:t>
      </w:r>
      <w:r>
        <w:rPr>
          <w:b/>
          <w:bCs/>
          <w:sz w:val="24"/>
          <w:szCs w:val="24"/>
        </w:rPr>
        <w:t>E</w:t>
      </w:r>
      <w:r>
        <w:rPr>
          <w:sz w:val="24"/>
          <w:szCs w:val="24"/>
        </w:rPr>
        <w:t xml:space="preserve">) A scheme depicting redox regulation of PRKAA by TXNIP. In response to oxidative stress, PRKAA forms oxidative aggregates through intermolecular disulfide bonds, which prevents its phosphorylation. TXN acts as an indispensable cofactor, allowing PRKAA activation by suppressing oxidation and aggregation of PRKAA, which could be reversed by TXNIP, a binding partner and inhibitor of TXN. Re, reduced; Ox, oxidized; Non-Re, </w:t>
      </w:r>
      <w:proofErr w:type="spellStart"/>
      <w:r>
        <w:rPr>
          <w:sz w:val="24"/>
          <w:szCs w:val="24"/>
        </w:rPr>
        <w:t>nonreducing</w:t>
      </w:r>
      <w:proofErr w:type="spellEnd"/>
      <w:r>
        <w:rPr>
          <w:sz w:val="24"/>
          <w:szCs w:val="24"/>
        </w:rPr>
        <w:t xml:space="preserve"> SDS-PAGE.</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S6. </w:t>
      </w:r>
      <w:r>
        <w:rPr>
          <w:sz w:val="24"/>
          <w:szCs w:val="24"/>
        </w:rPr>
        <w:t xml:space="preserve">CC or AICAR have no obvious effect on cell viability. MTT assay-based cell viability </w:t>
      </w:r>
      <w:r>
        <w:rPr>
          <w:sz w:val="24"/>
          <w:szCs w:val="24"/>
        </w:rPr>
        <w:lastRenderedPageBreak/>
        <w:t>analysis of cells treated with DMSO (0.1%), AICAR (</w:t>
      </w:r>
      <w:r>
        <w:rPr>
          <w:b/>
          <w:bCs/>
          <w:sz w:val="24"/>
          <w:szCs w:val="24"/>
        </w:rPr>
        <w:t xml:space="preserve">A, </w:t>
      </w:r>
      <w:r>
        <w:rPr>
          <w:b/>
          <w:bCs/>
          <w:sz w:val="24"/>
          <w:szCs w:val="24"/>
          <w:lang w:val="zh-TW" w:eastAsia="zh-TW"/>
        </w:rPr>
        <w:t>B</w:t>
      </w:r>
      <w:r>
        <w:rPr>
          <w:sz w:val="24"/>
          <w:szCs w:val="24"/>
        </w:rPr>
        <w:t>), or compound C (</w:t>
      </w:r>
      <w:r>
        <w:rPr>
          <w:b/>
          <w:bCs/>
          <w:sz w:val="24"/>
          <w:szCs w:val="24"/>
          <w:lang w:val="zh-TW" w:eastAsia="zh-TW"/>
        </w:rPr>
        <w:t>C</w:t>
      </w:r>
      <w:r>
        <w:rPr>
          <w:b/>
          <w:bCs/>
          <w:sz w:val="24"/>
          <w:szCs w:val="24"/>
        </w:rPr>
        <w:t>, D</w:t>
      </w:r>
      <w:r>
        <w:rPr>
          <w:sz w:val="24"/>
          <w:szCs w:val="24"/>
        </w:rPr>
        <w:t>), with the concentration as indicated for 24 h. The values obtained from control samples were set at 100%. Values are means ± SD. n=5 per group. NS, nonsignificant by Student’s t-test.</w:t>
      </w:r>
    </w:p>
    <w:p w:rsidR="009F7002" w:rsidRDefault="009F700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8860"/>
        </w:tabs>
        <w:spacing w:line="480" w:lineRule="auto"/>
        <w:rPr>
          <w:rFonts w:ascii="Times New Roman" w:eastAsia="Times New Roman" w:hAnsi="Times New Roman" w:cs="Times New Roman"/>
          <w:b/>
          <w:bCs/>
          <w:sz w:val="24"/>
          <w:szCs w:val="24"/>
        </w:rPr>
      </w:pPr>
    </w:p>
    <w:p w:rsidR="009F7002" w:rsidRDefault="00BE11F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8860"/>
        </w:tabs>
        <w:spacing w:line="480" w:lineRule="auto"/>
        <w:rPr>
          <w:rFonts w:ascii="Times New Roman" w:eastAsia="Times New Roman" w:hAnsi="Times New Roman" w:cs="Times New Roman"/>
          <w:sz w:val="24"/>
          <w:szCs w:val="24"/>
        </w:rPr>
      </w:pPr>
      <w:r>
        <w:rPr>
          <w:rFonts w:ascii="Times New Roman" w:hAnsi="Times New Roman"/>
          <w:b/>
          <w:bCs/>
          <w:sz w:val="24"/>
          <w:szCs w:val="24"/>
        </w:rPr>
        <w:t>Figure S7.</w:t>
      </w:r>
      <w:r>
        <w:rPr>
          <w:rFonts w:ascii="Times New Roman" w:hAnsi="Times New Roman"/>
          <w:sz w:val="24"/>
          <w:szCs w:val="24"/>
        </w:rPr>
        <w:t xml:space="preserve"> PRKAA agonist or inhibitor alters the phosphorylation levels of PRKAA. Immunoblot analysis of total protein extracts from HepG2.2.15 or HepAD38 cells treated with DMSO, 1 </w:t>
      </w:r>
      <w:proofErr w:type="spellStart"/>
      <w:r>
        <w:rPr>
          <w:rFonts w:ascii="Times New Roman" w:hAnsi="Times New Roman"/>
          <w:sz w:val="24"/>
          <w:szCs w:val="24"/>
        </w:rPr>
        <w:t>mM</w:t>
      </w:r>
      <w:proofErr w:type="spellEnd"/>
      <w:r>
        <w:rPr>
          <w:rFonts w:ascii="Times New Roman" w:hAnsi="Times New Roman"/>
          <w:sz w:val="24"/>
          <w:szCs w:val="24"/>
        </w:rPr>
        <w:t xml:space="preserve"> AICAR (</w:t>
      </w:r>
      <w:r>
        <w:rPr>
          <w:rFonts w:ascii="Times New Roman" w:hAnsi="Times New Roman"/>
          <w:b/>
          <w:bCs/>
          <w:sz w:val="24"/>
          <w:szCs w:val="24"/>
        </w:rPr>
        <w:t>A</w:t>
      </w:r>
      <w:r>
        <w:rPr>
          <w:rFonts w:ascii="Times New Roman" w:hAnsi="Times New Roman"/>
          <w:sz w:val="24"/>
          <w:szCs w:val="24"/>
        </w:rPr>
        <w:t xml:space="preserve">) or 10 </w:t>
      </w:r>
      <w:proofErr w:type="spellStart"/>
      <w:r>
        <w:rPr>
          <w:rFonts w:ascii="Times New Roman" w:hAnsi="Times New Roman"/>
          <w:sz w:val="24"/>
          <w:szCs w:val="24"/>
        </w:rPr>
        <w:t>μM</w:t>
      </w:r>
      <w:proofErr w:type="spellEnd"/>
      <w:r>
        <w:rPr>
          <w:rFonts w:ascii="Times New Roman" w:hAnsi="Times New Roman"/>
          <w:sz w:val="24"/>
          <w:szCs w:val="24"/>
        </w:rPr>
        <w:t xml:space="preserve"> compound C (</w:t>
      </w:r>
      <w:r>
        <w:rPr>
          <w:rFonts w:ascii="Times New Roman" w:hAnsi="Times New Roman"/>
          <w:b/>
          <w:bCs/>
          <w:sz w:val="24"/>
          <w:szCs w:val="24"/>
        </w:rPr>
        <w:t>B</w:t>
      </w:r>
      <w:r>
        <w:rPr>
          <w:rFonts w:ascii="Times New Roman" w:hAnsi="Times New Roman"/>
          <w:sz w:val="24"/>
          <w:szCs w:val="24"/>
        </w:rPr>
        <w:t>)</w:t>
      </w:r>
      <w:r>
        <w:rPr>
          <w:rFonts w:ascii="Times New Roman" w:hAnsi="Times New Roman"/>
          <w:b/>
          <w:bCs/>
          <w:sz w:val="24"/>
          <w:szCs w:val="24"/>
        </w:rPr>
        <w:t xml:space="preserve"> </w:t>
      </w:r>
      <w:r>
        <w:rPr>
          <w:rFonts w:ascii="Times New Roman" w:hAnsi="Times New Roman"/>
          <w:sz w:val="24"/>
          <w:szCs w:val="24"/>
        </w:rPr>
        <w:t>for 24 h.</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S8. </w:t>
      </w:r>
      <w:r>
        <w:rPr>
          <w:sz w:val="24"/>
          <w:szCs w:val="24"/>
        </w:rPr>
        <w:t xml:space="preserve">Validation of siRNAs against </w:t>
      </w:r>
      <w:r>
        <w:rPr>
          <w:i/>
          <w:iCs/>
          <w:sz w:val="24"/>
          <w:szCs w:val="24"/>
        </w:rPr>
        <w:t>PRKAA</w:t>
      </w:r>
      <w:r>
        <w:rPr>
          <w:sz w:val="24"/>
          <w:szCs w:val="24"/>
        </w:rPr>
        <w:t xml:space="preserve">. HepG2.2.15 or HepAD38 cells were transfected with </w:t>
      </w:r>
      <w:r w:rsidR="004A2533" w:rsidRPr="004A2533">
        <w:rPr>
          <w:iCs/>
          <w:sz w:val="24"/>
          <w:szCs w:val="24"/>
        </w:rPr>
        <w:t>si</w:t>
      </w:r>
      <w:r w:rsidR="004A2533">
        <w:rPr>
          <w:i/>
          <w:iCs/>
          <w:sz w:val="24"/>
          <w:szCs w:val="24"/>
        </w:rPr>
        <w:t>PRKAA1/2</w:t>
      </w:r>
      <w:r w:rsidR="004A2533">
        <w:rPr>
          <w:sz w:val="24"/>
          <w:szCs w:val="24"/>
        </w:rPr>
        <w:t xml:space="preserve"> </w:t>
      </w:r>
      <w:r>
        <w:rPr>
          <w:sz w:val="24"/>
          <w:szCs w:val="24"/>
        </w:rPr>
        <w:t xml:space="preserve">or </w:t>
      </w:r>
      <w:proofErr w:type="spellStart"/>
      <w:r>
        <w:rPr>
          <w:sz w:val="24"/>
          <w:szCs w:val="24"/>
        </w:rPr>
        <w:t>si</w:t>
      </w:r>
      <w:proofErr w:type="spellEnd"/>
      <w:r>
        <w:rPr>
          <w:sz w:val="24"/>
          <w:szCs w:val="24"/>
          <w:lang w:val="zh-TW" w:eastAsia="zh-TW"/>
        </w:rPr>
        <w:t>RNA</w:t>
      </w:r>
      <w:r>
        <w:rPr>
          <w:sz w:val="24"/>
          <w:szCs w:val="24"/>
        </w:rPr>
        <w:t xml:space="preserve"> pools to a universal control (</w:t>
      </w:r>
      <w:proofErr w:type="spellStart"/>
      <w:r>
        <w:rPr>
          <w:sz w:val="24"/>
          <w:szCs w:val="24"/>
        </w:rPr>
        <w:t>siScramble</w:t>
      </w:r>
      <w:proofErr w:type="spellEnd"/>
      <w:r>
        <w:rPr>
          <w:sz w:val="24"/>
          <w:szCs w:val="24"/>
        </w:rPr>
        <w:t xml:space="preserve">) for 48 h. Immunoblot analysis of total protein extracts from </w:t>
      </w:r>
      <w:proofErr w:type="spellStart"/>
      <w:r>
        <w:rPr>
          <w:sz w:val="24"/>
          <w:szCs w:val="24"/>
        </w:rPr>
        <w:t>si</w:t>
      </w:r>
      <w:proofErr w:type="spellEnd"/>
      <w:r>
        <w:rPr>
          <w:sz w:val="24"/>
          <w:szCs w:val="24"/>
          <w:lang w:val="zh-TW" w:eastAsia="zh-TW"/>
        </w:rPr>
        <w:t>RNA</w:t>
      </w:r>
      <w:r>
        <w:rPr>
          <w:sz w:val="24"/>
          <w:szCs w:val="24"/>
        </w:rPr>
        <w:t xml:space="preserve"> pools-transfected with the indicated antibody.</w:t>
      </w:r>
    </w:p>
    <w:p w:rsidR="009F7002" w:rsidRDefault="009F700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8860"/>
        </w:tabs>
        <w:spacing w:line="480" w:lineRule="auto"/>
        <w:rPr>
          <w:rFonts w:ascii="Times New Roman" w:eastAsia="Times New Roman" w:hAnsi="Times New Roman" w:cs="Times New Roman"/>
          <w:b/>
          <w:bCs/>
          <w:sz w:val="24"/>
          <w:szCs w:val="24"/>
        </w:rPr>
      </w:pPr>
    </w:p>
    <w:p w:rsidR="009F7002" w:rsidRDefault="00BE11F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8860"/>
        </w:tabs>
        <w:spacing w:line="480" w:lineRule="auto"/>
        <w:rPr>
          <w:rFonts w:ascii="Times New Roman" w:eastAsia="Times New Roman" w:hAnsi="Times New Roman" w:cs="Times New Roman"/>
          <w:sz w:val="24"/>
          <w:szCs w:val="24"/>
        </w:rPr>
      </w:pPr>
      <w:r>
        <w:rPr>
          <w:rFonts w:ascii="Times New Roman" w:hAnsi="Times New Roman"/>
          <w:b/>
          <w:bCs/>
          <w:sz w:val="24"/>
          <w:szCs w:val="24"/>
        </w:rPr>
        <w:t xml:space="preserve">Figure S9. </w:t>
      </w:r>
      <w:r>
        <w:rPr>
          <w:rFonts w:ascii="Times New Roman" w:hAnsi="Times New Roman"/>
          <w:sz w:val="24"/>
          <w:szCs w:val="24"/>
        </w:rPr>
        <w:t>PRKAA alters the expression levels of HBcAg.</w:t>
      </w:r>
      <w:r>
        <w:rPr>
          <w:rFonts w:ascii="Times New Roman" w:hAnsi="Times New Roman"/>
          <w:b/>
          <w:bCs/>
          <w:sz w:val="24"/>
          <w:szCs w:val="24"/>
        </w:rPr>
        <w:t xml:space="preserve"> </w:t>
      </w:r>
      <w:r>
        <w:rPr>
          <w:rFonts w:ascii="Times New Roman" w:hAnsi="Times New Roman"/>
          <w:sz w:val="24"/>
          <w:szCs w:val="24"/>
        </w:rPr>
        <w:t xml:space="preserve">HepG2.2.15 and HepAD38 cells were treated with DMSO, 1 </w:t>
      </w:r>
      <w:proofErr w:type="spellStart"/>
      <w:r>
        <w:rPr>
          <w:rFonts w:ascii="Times New Roman" w:hAnsi="Times New Roman"/>
          <w:sz w:val="24"/>
          <w:szCs w:val="24"/>
        </w:rPr>
        <w:t>mM</w:t>
      </w:r>
      <w:proofErr w:type="spellEnd"/>
      <w:r>
        <w:rPr>
          <w:rFonts w:ascii="Times New Roman" w:hAnsi="Times New Roman"/>
          <w:sz w:val="24"/>
          <w:szCs w:val="24"/>
        </w:rPr>
        <w:t xml:space="preserve"> AICAR or 10 </w:t>
      </w:r>
      <w:proofErr w:type="spellStart"/>
      <w:r>
        <w:rPr>
          <w:rFonts w:ascii="Times New Roman" w:hAnsi="Times New Roman"/>
          <w:sz w:val="24"/>
          <w:szCs w:val="24"/>
        </w:rPr>
        <w:t>μM</w:t>
      </w:r>
      <w:proofErr w:type="spellEnd"/>
      <w:r>
        <w:rPr>
          <w:rFonts w:ascii="Times New Roman" w:hAnsi="Times New Roman"/>
          <w:sz w:val="24"/>
          <w:szCs w:val="24"/>
        </w:rPr>
        <w:t xml:space="preserve"> compound C for 24 h (</w:t>
      </w:r>
      <w:r>
        <w:rPr>
          <w:rFonts w:ascii="Times New Roman" w:hAnsi="Times New Roman"/>
          <w:b/>
          <w:bCs/>
          <w:sz w:val="24"/>
          <w:szCs w:val="24"/>
        </w:rPr>
        <w:t>A, B</w:t>
      </w:r>
      <w:r>
        <w:rPr>
          <w:rFonts w:ascii="Times New Roman" w:hAnsi="Times New Roman"/>
          <w:sz w:val="24"/>
          <w:szCs w:val="24"/>
        </w:rPr>
        <w:t xml:space="preserve">), or transfected with </w:t>
      </w:r>
      <w:proofErr w:type="spellStart"/>
      <w:r>
        <w:rPr>
          <w:rFonts w:ascii="Times New Roman" w:hAnsi="Times New Roman"/>
          <w:sz w:val="24"/>
          <w:szCs w:val="24"/>
        </w:rPr>
        <w:t>siScramble</w:t>
      </w:r>
      <w:proofErr w:type="spellEnd"/>
      <w:r>
        <w:rPr>
          <w:rFonts w:ascii="Times New Roman" w:hAnsi="Times New Roman"/>
          <w:sz w:val="24"/>
          <w:szCs w:val="24"/>
        </w:rPr>
        <w:t xml:space="preserve"> and </w:t>
      </w:r>
      <w:r w:rsidR="004A2533" w:rsidRPr="004A2533">
        <w:rPr>
          <w:rFonts w:ascii="Times New Roman" w:hAnsi="Times New Roman" w:cs="Times New Roman"/>
          <w:iCs/>
          <w:sz w:val="24"/>
          <w:szCs w:val="24"/>
        </w:rPr>
        <w:t>si</w:t>
      </w:r>
      <w:r w:rsidR="004A2533" w:rsidRPr="004A2533">
        <w:rPr>
          <w:rFonts w:ascii="Times New Roman" w:hAnsi="Times New Roman" w:cs="Times New Roman"/>
          <w:i/>
          <w:iCs/>
          <w:sz w:val="24"/>
          <w:szCs w:val="24"/>
        </w:rPr>
        <w:t>PRKAA1</w:t>
      </w:r>
      <w:r w:rsidR="004A2533">
        <w:rPr>
          <w:i/>
          <w:iCs/>
          <w:sz w:val="24"/>
          <w:szCs w:val="24"/>
        </w:rPr>
        <w:t xml:space="preserve">/2 </w:t>
      </w:r>
      <w:r>
        <w:rPr>
          <w:rFonts w:ascii="Times New Roman" w:hAnsi="Times New Roman"/>
          <w:sz w:val="24"/>
          <w:szCs w:val="24"/>
        </w:rPr>
        <w:t>for 48 h (</w:t>
      </w:r>
      <w:r>
        <w:rPr>
          <w:rFonts w:ascii="Times New Roman" w:hAnsi="Times New Roman"/>
          <w:b/>
          <w:bCs/>
          <w:sz w:val="24"/>
          <w:szCs w:val="24"/>
        </w:rPr>
        <w:t>C, D</w:t>
      </w:r>
      <w:r>
        <w:rPr>
          <w:rFonts w:ascii="Times New Roman" w:hAnsi="Times New Roman"/>
          <w:sz w:val="24"/>
          <w:szCs w:val="24"/>
        </w:rPr>
        <w:t>). The cell lysates were analyzed by immunoblot using the indicated antibodies.</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Figure S10.</w:t>
      </w:r>
      <w:r>
        <w:rPr>
          <w:sz w:val="24"/>
          <w:szCs w:val="24"/>
        </w:rPr>
        <w:t xml:space="preserve"> The expression levels of PRKAA and LC3B in the liver tissues of HBV-producing mice. (</w:t>
      </w:r>
      <w:r>
        <w:rPr>
          <w:b/>
          <w:bCs/>
          <w:sz w:val="24"/>
          <w:szCs w:val="24"/>
        </w:rPr>
        <w:t>A</w:t>
      </w:r>
      <w:r>
        <w:rPr>
          <w:sz w:val="24"/>
          <w:szCs w:val="24"/>
        </w:rPr>
        <w:t xml:space="preserve">) BALB/c mice were </w:t>
      </w:r>
      <w:proofErr w:type="spellStart"/>
      <w:r>
        <w:rPr>
          <w:sz w:val="24"/>
          <w:szCs w:val="24"/>
        </w:rPr>
        <w:t>hydrodynamically</w:t>
      </w:r>
      <w:proofErr w:type="spellEnd"/>
      <w:r>
        <w:rPr>
          <w:sz w:val="24"/>
          <w:szCs w:val="24"/>
        </w:rPr>
        <w:t xml:space="preserve"> injected with vector, HBV1.3 and vector, HBV1.3 and/or DN-PRKAA1. The expression levels of HBcAg, phosphorylated (p)-PRKAA (Thr172) and LC3B in the liver tissues were determined by </w:t>
      </w:r>
      <w:proofErr w:type="spellStart"/>
      <w:r>
        <w:rPr>
          <w:sz w:val="24"/>
          <w:szCs w:val="24"/>
        </w:rPr>
        <w:t>immunohistochemical</w:t>
      </w:r>
      <w:proofErr w:type="spellEnd"/>
      <w:r>
        <w:rPr>
          <w:sz w:val="24"/>
          <w:szCs w:val="24"/>
        </w:rPr>
        <w:t xml:space="preserve"> staining (</w:t>
      </w:r>
      <w:r>
        <w:rPr>
          <w:b/>
          <w:bCs/>
          <w:sz w:val="24"/>
          <w:szCs w:val="24"/>
        </w:rPr>
        <w:t>A</w:t>
      </w:r>
      <w:r>
        <w:rPr>
          <w:sz w:val="24"/>
          <w:szCs w:val="24"/>
        </w:rPr>
        <w:t>), and analyzed as described in Materials and Methods (</w:t>
      </w:r>
      <w:r>
        <w:rPr>
          <w:b/>
          <w:bCs/>
          <w:sz w:val="24"/>
          <w:szCs w:val="24"/>
        </w:rPr>
        <w:t>B, C</w:t>
      </w:r>
      <w:r>
        <w:rPr>
          <w:sz w:val="24"/>
          <w:szCs w:val="24"/>
        </w:rPr>
        <w:t xml:space="preserve">). Data are presented as mean ± SD (n=6); **, </w:t>
      </w:r>
      <w:r>
        <w:rPr>
          <w:i/>
          <w:iCs/>
          <w:sz w:val="24"/>
          <w:szCs w:val="24"/>
        </w:rPr>
        <w:t>p &lt; 0.01</w:t>
      </w:r>
      <w:r>
        <w:rPr>
          <w:sz w:val="24"/>
          <w:szCs w:val="24"/>
        </w:rPr>
        <w:t xml:space="preserve">; ***, </w:t>
      </w:r>
      <w:r>
        <w:rPr>
          <w:i/>
          <w:iCs/>
          <w:sz w:val="24"/>
          <w:szCs w:val="24"/>
        </w:rPr>
        <w:t>p &lt; 0.001</w:t>
      </w:r>
      <w:r>
        <w:rPr>
          <w:sz w:val="24"/>
          <w:szCs w:val="24"/>
        </w:rPr>
        <w:t xml:space="preserve">. Red arrow indicates the HBcAg-positive liver cells. Scale bar: 20 </w:t>
      </w:r>
      <w:proofErr w:type="spellStart"/>
      <w:r>
        <w:rPr>
          <w:sz w:val="24"/>
          <w:szCs w:val="24"/>
        </w:rPr>
        <w:t>μm</w:t>
      </w:r>
      <w:proofErr w:type="spellEnd"/>
      <w:r>
        <w:rPr>
          <w:sz w:val="24"/>
          <w:szCs w:val="24"/>
        </w:rPr>
        <w:t>.</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Figure S11</w:t>
      </w:r>
      <w:r>
        <w:rPr>
          <w:sz w:val="24"/>
          <w:szCs w:val="24"/>
        </w:rPr>
        <w:t>. HBV replication promotes the accumulation of GFP-LC3B puncta. HepG2, HepAD38 (Tet</w:t>
      </w:r>
      <w:r>
        <w:rPr>
          <w:sz w:val="24"/>
          <w:szCs w:val="24"/>
          <w:vertAlign w:val="superscript"/>
        </w:rPr>
        <w:t>+</w:t>
      </w:r>
      <w:r>
        <w:rPr>
          <w:sz w:val="24"/>
          <w:szCs w:val="24"/>
        </w:rPr>
        <w:t xml:space="preserve">), HepG2.2.15 and HepAD38 cells were transfected with a plasmid encoding GFP-LC3B and examined by fluorescence microscopy. Scale bar: 10 </w:t>
      </w:r>
      <w:proofErr w:type="spellStart"/>
      <w:r>
        <w:rPr>
          <w:sz w:val="24"/>
          <w:szCs w:val="24"/>
        </w:rPr>
        <w:t>μm</w:t>
      </w:r>
      <w:proofErr w:type="spellEnd"/>
      <w:r>
        <w:rPr>
          <w:sz w:val="24"/>
          <w:szCs w:val="24"/>
        </w:rPr>
        <w:t xml:space="preserve">. The results are given as mean ± SD. **, </w:t>
      </w:r>
      <w:r>
        <w:rPr>
          <w:i/>
          <w:iCs/>
          <w:sz w:val="24"/>
          <w:szCs w:val="24"/>
        </w:rPr>
        <w:t>p&lt;0.01</w:t>
      </w:r>
      <w:r>
        <w:rPr>
          <w:sz w:val="24"/>
          <w:szCs w:val="24"/>
        </w:rPr>
        <w:t>.</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S12. </w:t>
      </w:r>
      <w:r>
        <w:rPr>
          <w:sz w:val="24"/>
          <w:szCs w:val="24"/>
        </w:rPr>
        <w:t xml:space="preserve">Validation of siRNAs against </w:t>
      </w:r>
      <w:r>
        <w:rPr>
          <w:i/>
          <w:iCs/>
          <w:sz w:val="24"/>
          <w:szCs w:val="24"/>
        </w:rPr>
        <w:t>ATG5</w:t>
      </w:r>
      <w:r>
        <w:rPr>
          <w:sz w:val="24"/>
          <w:szCs w:val="24"/>
        </w:rPr>
        <w:t>. HepG2.2.15 or HepAD38 cells were transfected with si</w:t>
      </w:r>
      <w:r>
        <w:rPr>
          <w:i/>
          <w:iCs/>
          <w:sz w:val="24"/>
          <w:szCs w:val="24"/>
        </w:rPr>
        <w:t>ATG5</w:t>
      </w:r>
      <w:r>
        <w:rPr>
          <w:sz w:val="24"/>
          <w:szCs w:val="24"/>
        </w:rPr>
        <w:t xml:space="preserve"> or </w:t>
      </w:r>
      <w:proofErr w:type="spellStart"/>
      <w:r>
        <w:rPr>
          <w:sz w:val="24"/>
          <w:szCs w:val="24"/>
        </w:rPr>
        <w:t>si</w:t>
      </w:r>
      <w:proofErr w:type="spellEnd"/>
      <w:r>
        <w:rPr>
          <w:sz w:val="24"/>
          <w:szCs w:val="24"/>
          <w:lang w:val="zh-TW" w:eastAsia="zh-TW"/>
        </w:rPr>
        <w:t>RNA</w:t>
      </w:r>
      <w:r>
        <w:rPr>
          <w:sz w:val="24"/>
          <w:szCs w:val="24"/>
        </w:rPr>
        <w:t xml:space="preserve"> pools to a universal control (</w:t>
      </w:r>
      <w:proofErr w:type="spellStart"/>
      <w:r>
        <w:rPr>
          <w:sz w:val="24"/>
          <w:szCs w:val="24"/>
        </w:rPr>
        <w:t>siScramble</w:t>
      </w:r>
      <w:proofErr w:type="spellEnd"/>
      <w:r>
        <w:rPr>
          <w:sz w:val="24"/>
          <w:szCs w:val="24"/>
        </w:rPr>
        <w:t xml:space="preserve">) for 48 h. Immunoblot analysis of total protein extracts from </w:t>
      </w:r>
      <w:proofErr w:type="spellStart"/>
      <w:r>
        <w:rPr>
          <w:sz w:val="24"/>
          <w:szCs w:val="24"/>
        </w:rPr>
        <w:t>si</w:t>
      </w:r>
      <w:proofErr w:type="spellEnd"/>
      <w:r>
        <w:rPr>
          <w:sz w:val="24"/>
          <w:szCs w:val="24"/>
          <w:lang w:val="zh-TW" w:eastAsia="zh-TW"/>
        </w:rPr>
        <w:t>RNA</w:t>
      </w:r>
      <w:r>
        <w:rPr>
          <w:sz w:val="24"/>
          <w:szCs w:val="24"/>
        </w:rPr>
        <w:t xml:space="preserve"> pools transfected with the indicated antibody.</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S13. </w:t>
      </w:r>
      <w:r>
        <w:rPr>
          <w:sz w:val="24"/>
          <w:szCs w:val="24"/>
        </w:rPr>
        <w:t xml:space="preserve">PRKAA is required for the degradation of </w:t>
      </w:r>
      <w:proofErr w:type="spellStart"/>
      <w:r>
        <w:rPr>
          <w:sz w:val="24"/>
          <w:szCs w:val="24"/>
        </w:rPr>
        <w:t>autophagosomes</w:t>
      </w:r>
      <w:proofErr w:type="spellEnd"/>
      <w:r>
        <w:rPr>
          <w:sz w:val="24"/>
          <w:szCs w:val="24"/>
        </w:rPr>
        <w:t xml:space="preserve">. Immunoblot analysis of total protein extracts from cells treated with DMSO (0.1%), or CC (10 </w:t>
      </w:r>
      <w:proofErr w:type="spellStart"/>
      <w:r>
        <w:rPr>
          <w:sz w:val="24"/>
          <w:szCs w:val="24"/>
        </w:rPr>
        <w:t>μM</w:t>
      </w:r>
      <w:proofErr w:type="spellEnd"/>
      <w:r>
        <w:rPr>
          <w:sz w:val="24"/>
          <w:szCs w:val="24"/>
        </w:rPr>
        <w:t xml:space="preserve">) in the absence or presence of chloroquine (CQ; 10 µM) for 24 h. Relative intensity of LC3B-II was quantified by normalization to ACTB by ImageJ software. Values are means ± standard error (n=3). </w:t>
      </w:r>
      <w:r>
        <w:rPr>
          <w:i/>
          <w:iCs/>
          <w:sz w:val="24"/>
          <w:szCs w:val="24"/>
        </w:rPr>
        <w:t>**</w:t>
      </w:r>
      <w:r>
        <w:rPr>
          <w:sz w:val="24"/>
          <w:szCs w:val="24"/>
        </w:rPr>
        <w:t>,</w:t>
      </w:r>
      <w:r>
        <w:rPr>
          <w:i/>
          <w:iCs/>
          <w:sz w:val="24"/>
          <w:szCs w:val="24"/>
        </w:rPr>
        <w:t xml:space="preserve"> p&lt; 0.01</w:t>
      </w:r>
      <w:r>
        <w:rPr>
          <w:sz w:val="24"/>
          <w:szCs w:val="24"/>
        </w:rPr>
        <w:t>;</w:t>
      </w:r>
      <w:r>
        <w:rPr>
          <w:i/>
          <w:iCs/>
          <w:sz w:val="24"/>
          <w:szCs w:val="24"/>
        </w:rPr>
        <w:t xml:space="preserve"> ***</w:t>
      </w:r>
      <w:r>
        <w:rPr>
          <w:sz w:val="24"/>
          <w:szCs w:val="24"/>
        </w:rPr>
        <w:t>,</w:t>
      </w:r>
      <w:r>
        <w:rPr>
          <w:i/>
          <w:iCs/>
          <w:sz w:val="24"/>
          <w:szCs w:val="24"/>
        </w:rPr>
        <w:t xml:space="preserve"> p&lt; 0.001 </w:t>
      </w:r>
      <w:r>
        <w:rPr>
          <w:sz w:val="24"/>
          <w:szCs w:val="24"/>
        </w:rPr>
        <w:t xml:space="preserve">(in HepG2.2.15); </w:t>
      </w:r>
      <w:r>
        <w:rPr>
          <w:i/>
          <w:iCs/>
          <w:sz w:val="24"/>
          <w:szCs w:val="24"/>
          <w:vertAlign w:val="superscript"/>
        </w:rPr>
        <w:t>##</w:t>
      </w:r>
      <w:r>
        <w:rPr>
          <w:sz w:val="24"/>
          <w:szCs w:val="24"/>
        </w:rPr>
        <w:t>,</w:t>
      </w:r>
      <w:r>
        <w:rPr>
          <w:i/>
          <w:iCs/>
          <w:sz w:val="24"/>
          <w:szCs w:val="24"/>
        </w:rPr>
        <w:t xml:space="preserve"> p&lt; 0.01</w:t>
      </w:r>
      <w:r>
        <w:rPr>
          <w:sz w:val="24"/>
          <w:szCs w:val="24"/>
        </w:rPr>
        <w:t>;</w:t>
      </w:r>
      <w:r>
        <w:rPr>
          <w:i/>
          <w:iCs/>
          <w:sz w:val="24"/>
          <w:szCs w:val="24"/>
        </w:rPr>
        <w:t xml:space="preserve"> </w:t>
      </w:r>
      <w:r>
        <w:rPr>
          <w:i/>
          <w:iCs/>
          <w:sz w:val="24"/>
          <w:szCs w:val="24"/>
          <w:vertAlign w:val="superscript"/>
        </w:rPr>
        <w:t>###</w:t>
      </w:r>
      <w:r>
        <w:rPr>
          <w:sz w:val="24"/>
          <w:szCs w:val="24"/>
        </w:rPr>
        <w:t>,</w:t>
      </w:r>
      <w:r>
        <w:rPr>
          <w:i/>
          <w:iCs/>
          <w:sz w:val="24"/>
          <w:szCs w:val="24"/>
        </w:rPr>
        <w:t xml:space="preserve"> p&lt; 0.001</w:t>
      </w:r>
      <w:r>
        <w:rPr>
          <w:sz w:val="24"/>
          <w:szCs w:val="24"/>
        </w:rPr>
        <w:t xml:space="preserve"> (in HepAD38).</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rPr>
      </w:pPr>
      <w:r>
        <w:rPr>
          <w:b/>
          <w:bCs/>
          <w:sz w:val="24"/>
          <w:szCs w:val="24"/>
        </w:rPr>
        <w:t xml:space="preserve">Figure S14. </w:t>
      </w:r>
      <w:r>
        <w:rPr>
          <w:sz w:val="24"/>
          <w:szCs w:val="24"/>
        </w:rPr>
        <w:t xml:space="preserve">Sequestration of SQSTM1 within completed </w:t>
      </w:r>
      <w:proofErr w:type="spellStart"/>
      <w:r>
        <w:rPr>
          <w:sz w:val="24"/>
          <w:szCs w:val="24"/>
        </w:rPr>
        <w:t>autophagosomes</w:t>
      </w:r>
      <w:proofErr w:type="spellEnd"/>
      <w:r>
        <w:rPr>
          <w:sz w:val="24"/>
          <w:szCs w:val="24"/>
        </w:rPr>
        <w:t>.</w:t>
      </w:r>
      <w:r>
        <w:rPr>
          <w:b/>
          <w:bCs/>
          <w:sz w:val="24"/>
          <w:szCs w:val="24"/>
        </w:rPr>
        <w:t xml:space="preserve"> </w:t>
      </w:r>
      <w:r>
        <w:rPr>
          <w:sz w:val="24"/>
          <w:szCs w:val="24"/>
        </w:rPr>
        <w:t>HepG2.2.15 cells were incubated with DMSO and CC (10 µM) for 24 h, followed by a proteinase K (</w:t>
      </w:r>
      <w:proofErr w:type="spellStart"/>
      <w:r>
        <w:rPr>
          <w:sz w:val="24"/>
          <w:szCs w:val="24"/>
        </w:rPr>
        <w:t>ProK</w:t>
      </w:r>
      <w:proofErr w:type="spellEnd"/>
      <w:r>
        <w:rPr>
          <w:sz w:val="24"/>
          <w:szCs w:val="24"/>
        </w:rPr>
        <w:t xml:space="preserve">) protection assay for SQSTM1. WCL, whole cell lysate; P, pellet fraction. </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u w:color="3333CC"/>
        </w:rPr>
      </w:pPr>
      <w:r>
        <w:rPr>
          <w:b/>
          <w:bCs/>
          <w:sz w:val="24"/>
          <w:szCs w:val="24"/>
        </w:rPr>
        <w:t xml:space="preserve">Figure S15. </w:t>
      </w:r>
      <w:r>
        <w:rPr>
          <w:sz w:val="24"/>
          <w:szCs w:val="24"/>
        </w:rPr>
        <w:t>Effect of PRKAA on the quantity of lysosomes. (</w:t>
      </w:r>
      <w:r>
        <w:rPr>
          <w:b/>
          <w:bCs/>
          <w:sz w:val="24"/>
          <w:szCs w:val="24"/>
        </w:rPr>
        <w:t>A, B</w:t>
      </w:r>
      <w:r>
        <w:rPr>
          <w:sz w:val="24"/>
          <w:szCs w:val="24"/>
        </w:rPr>
        <w:t>)</w:t>
      </w:r>
      <w:r>
        <w:rPr>
          <w:b/>
          <w:bCs/>
          <w:sz w:val="24"/>
          <w:szCs w:val="24"/>
        </w:rPr>
        <w:t xml:space="preserve"> </w:t>
      </w:r>
      <w:r>
        <w:rPr>
          <w:sz w:val="24"/>
          <w:szCs w:val="24"/>
        </w:rPr>
        <w:t>HepAD38 cells were treated with DMSO, CC (10 µM), or 5′-ATP-Na</w:t>
      </w:r>
      <w:r>
        <w:rPr>
          <w:sz w:val="24"/>
          <w:szCs w:val="24"/>
          <w:vertAlign w:val="subscript"/>
        </w:rPr>
        <w:t xml:space="preserve">2 </w:t>
      </w:r>
      <w:r>
        <w:rPr>
          <w:sz w:val="24"/>
          <w:szCs w:val="24"/>
        </w:rPr>
        <w:t xml:space="preserve">(0.25 </w:t>
      </w:r>
      <w:proofErr w:type="spellStart"/>
      <w:r>
        <w:rPr>
          <w:sz w:val="24"/>
          <w:szCs w:val="24"/>
        </w:rPr>
        <w:t>mM</w:t>
      </w:r>
      <w:proofErr w:type="spellEnd"/>
      <w:r>
        <w:rPr>
          <w:sz w:val="24"/>
          <w:szCs w:val="24"/>
        </w:rPr>
        <w:t>) for 24 h.</w:t>
      </w:r>
      <w:r>
        <w:rPr>
          <w:sz w:val="24"/>
          <w:szCs w:val="24"/>
          <w:u w:color="3333CC"/>
        </w:rPr>
        <w:t xml:space="preserve"> </w:t>
      </w:r>
      <w:r>
        <w:rPr>
          <w:sz w:val="24"/>
          <w:szCs w:val="24"/>
        </w:rPr>
        <w:t>(</w:t>
      </w:r>
      <w:r>
        <w:rPr>
          <w:b/>
          <w:bCs/>
          <w:sz w:val="24"/>
          <w:szCs w:val="24"/>
        </w:rPr>
        <w:t>C, D</w:t>
      </w:r>
      <w:r>
        <w:rPr>
          <w:sz w:val="24"/>
          <w:szCs w:val="24"/>
        </w:rPr>
        <w:t>)</w:t>
      </w:r>
      <w:r>
        <w:rPr>
          <w:b/>
          <w:bCs/>
          <w:sz w:val="24"/>
          <w:szCs w:val="24"/>
        </w:rPr>
        <w:t xml:space="preserve"> </w:t>
      </w:r>
      <w:r>
        <w:rPr>
          <w:sz w:val="24"/>
          <w:szCs w:val="24"/>
        </w:rPr>
        <w:t xml:space="preserve">HepAD38 cells were transfected with </w:t>
      </w:r>
      <w:proofErr w:type="spellStart"/>
      <w:r>
        <w:rPr>
          <w:sz w:val="24"/>
          <w:szCs w:val="24"/>
        </w:rPr>
        <w:t>siScramble</w:t>
      </w:r>
      <w:proofErr w:type="spellEnd"/>
      <w:r>
        <w:rPr>
          <w:sz w:val="24"/>
          <w:szCs w:val="24"/>
        </w:rPr>
        <w:t xml:space="preserve">, or </w:t>
      </w:r>
      <w:r w:rsidR="004A2533" w:rsidRPr="004A2533">
        <w:rPr>
          <w:iCs/>
          <w:sz w:val="24"/>
          <w:szCs w:val="24"/>
        </w:rPr>
        <w:t>si</w:t>
      </w:r>
      <w:r w:rsidR="004A2533">
        <w:rPr>
          <w:i/>
          <w:iCs/>
          <w:sz w:val="24"/>
          <w:szCs w:val="24"/>
        </w:rPr>
        <w:t xml:space="preserve">PRKAA1/2 </w:t>
      </w:r>
      <w:r>
        <w:rPr>
          <w:sz w:val="24"/>
          <w:szCs w:val="24"/>
        </w:rPr>
        <w:t xml:space="preserve">for 48 h. Lysosomes were stained with </w:t>
      </w:r>
      <w:proofErr w:type="spellStart"/>
      <w:r>
        <w:rPr>
          <w:sz w:val="24"/>
          <w:szCs w:val="24"/>
        </w:rPr>
        <w:t>LysoTracker</w:t>
      </w:r>
      <w:proofErr w:type="spellEnd"/>
      <w:r>
        <w:rPr>
          <w:sz w:val="24"/>
          <w:szCs w:val="24"/>
        </w:rPr>
        <w:t xml:space="preserve"> </w:t>
      </w:r>
      <w:r>
        <w:rPr>
          <w:sz w:val="24"/>
          <w:szCs w:val="24"/>
        </w:rPr>
        <w:lastRenderedPageBreak/>
        <w:t xml:space="preserve">Red and visualized using </w:t>
      </w:r>
      <w:proofErr w:type="spellStart"/>
      <w:r>
        <w:rPr>
          <w:sz w:val="24"/>
          <w:szCs w:val="24"/>
        </w:rPr>
        <w:t>Thermo</w:t>
      </w:r>
      <w:proofErr w:type="spellEnd"/>
      <w:r>
        <w:rPr>
          <w:sz w:val="24"/>
          <w:szCs w:val="24"/>
        </w:rPr>
        <w:t xml:space="preserve"> Scientific </w:t>
      </w:r>
      <w:proofErr w:type="spellStart"/>
      <w:r>
        <w:rPr>
          <w:sz w:val="24"/>
          <w:szCs w:val="24"/>
        </w:rPr>
        <w:t>Cellomics</w:t>
      </w:r>
      <w:proofErr w:type="spellEnd"/>
      <w:r>
        <w:rPr>
          <w:sz w:val="24"/>
          <w:szCs w:val="24"/>
        </w:rPr>
        <w:t xml:space="preserve"> HCS imaging platform for automated image capture and analysis</w:t>
      </w:r>
      <w:r>
        <w:rPr>
          <w:sz w:val="24"/>
          <w:szCs w:val="24"/>
          <w:lang w:val="zh-TW" w:eastAsia="zh-TW"/>
        </w:rPr>
        <w:t xml:space="preserve"> (</w:t>
      </w:r>
      <w:r>
        <w:rPr>
          <w:b/>
          <w:bCs/>
          <w:sz w:val="24"/>
          <w:szCs w:val="24"/>
        </w:rPr>
        <w:t>B</w:t>
      </w:r>
      <w:r>
        <w:rPr>
          <w:b/>
          <w:bCs/>
          <w:sz w:val="24"/>
          <w:szCs w:val="24"/>
          <w:lang w:val="zh-TW" w:eastAsia="zh-TW"/>
        </w:rPr>
        <w:t>, D</w:t>
      </w:r>
      <w:r>
        <w:rPr>
          <w:sz w:val="24"/>
          <w:szCs w:val="24"/>
          <w:lang w:val="zh-TW" w:eastAsia="zh-TW"/>
        </w:rPr>
        <w:t>)</w:t>
      </w:r>
      <w:r>
        <w:rPr>
          <w:sz w:val="24"/>
          <w:szCs w:val="24"/>
        </w:rPr>
        <w:t xml:space="preserve">. Values are means ± </w:t>
      </w:r>
      <w:r>
        <w:rPr>
          <w:sz w:val="24"/>
          <w:szCs w:val="24"/>
          <w:lang w:val="de-DE"/>
        </w:rPr>
        <w:t xml:space="preserve">standard error (n=3). </w:t>
      </w:r>
      <w:r>
        <w:rPr>
          <w:sz w:val="24"/>
          <w:szCs w:val="24"/>
        </w:rPr>
        <w:t xml:space="preserve">NS, nonsignificant by Student’s t-test. </w:t>
      </w:r>
      <w:r>
        <w:rPr>
          <w:sz w:val="24"/>
          <w:szCs w:val="24"/>
          <w:u w:color="3333CC"/>
        </w:rPr>
        <w:t xml:space="preserve">Scale bar: 10 </w:t>
      </w:r>
      <w:proofErr w:type="spellStart"/>
      <w:r>
        <w:rPr>
          <w:sz w:val="24"/>
          <w:szCs w:val="24"/>
          <w:u w:color="3333CC"/>
        </w:rPr>
        <w:t>μm</w:t>
      </w:r>
      <w:proofErr w:type="spellEnd"/>
      <w:r>
        <w:rPr>
          <w:sz w:val="24"/>
          <w:szCs w:val="24"/>
          <w:u w:color="3333CC"/>
        </w:rPr>
        <w:t>.</w:t>
      </w:r>
    </w:p>
    <w:p w:rsidR="009F7002" w:rsidRDefault="009F7002">
      <w:pPr>
        <w:pStyle w:val="Legand"/>
        <w:spacing w:line="480" w:lineRule="auto"/>
        <w:rPr>
          <w:b/>
          <w:bCs/>
          <w:sz w:val="24"/>
          <w:szCs w:val="24"/>
        </w:rPr>
      </w:pPr>
    </w:p>
    <w:p w:rsidR="009F7002" w:rsidRDefault="00BE11F4">
      <w:pPr>
        <w:pStyle w:val="Legand"/>
        <w:spacing w:line="480" w:lineRule="auto"/>
        <w:rPr>
          <w:sz w:val="24"/>
          <w:szCs w:val="24"/>
          <w:u w:color="3333CC"/>
        </w:rPr>
      </w:pPr>
      <w:r>
        <w:rPr>
          <w:b/>
          <w:bCs/>
          <w:sz w:val="24"/>
          <w:szCs w:val="24"/>
        </w:rPr>
        <w:t xml:space="preserve">Figure S16. </w:t>
      </w:r>
      <w:r>
        <w:rPr>
          <w:sz w:val="24"/>
          <w:szCs w:val="24"/>
        </w:rPr>
        <w:t xml:space="preserve">Effect of PRKAA on the </w:t>
      </w:r>
      <w:r>
        <w:rPr>
          <w:sz w:val="24"/>
          <w:szCs w:val="24"/>
          <w:u w:color="3333CC"/>
        </w:rPr>
        <w:t>acidification ability</w:t>
      </w:r>
      <w:r>
        <w:rPr>
          <w:sz w:val="24"/>
          <w:szCs w:val="24"/>
        </w:rPr>
        <w:t xml:space="preserve"> of lysosomes.</w:t>
      </w:r>
      <w:r>
        <w:rPr>
          <w:b/>
          <w:bCs/>
          <w:sz w:val="24"/>
          <w:szCs w:val="24"/>
        </w:rPr>
        <w:t xml:space="preserve"> </w:t>
      </w:r>
      <w:r>
        <w:rPr>
          <w:sz w:val="24"/>
          <w:szCs w:val="24"/>
        </w:rPr>
        <w:t>HepAD38 cells were treated with DMSO, CC (10 µM) and 5′-ATP-Na</w:t>
      </w:r>
      <w:r>
        <w:rPr>
          <w:position w:val="-6"/>
          <w:sz w:val="24"/>
          <w:szCs w:val="24"/>
        </w:rPr>
        <w:t xml:space="preserve">2 </w:t>
      </w:r>
      <w:r>
        <w:rPr>
          <w:sz w:val="24"/>
          <w:szCs w:val="24"/>
        </w:rPr>
        <w:t xml:space="preserve">(ATP, 0.25 </w:t>
      </w:r>
      <w:proofErr w:type="spellStart"/>
      <w:r>
        <w:rPr>
          <w:sz w:val="24"/>
          <w:szCs w:val="24"/>
        </w:rPr>
        <w:t>mM</w:t>
      </w:r>
      <w:proofErr w:type="spellEnd"/>
      <w:r>
        <w:rPr>
          <w:sz w:val="24"/>
          <w:szCs w:val="24"/>
        </w:rPr>
        <w:t>) for 24 h. The cells were incubated with the lysosomal pH indicator dye for 5 min at room temperature, Imaging was performed with a Leica DM2500 microscope with LAS-AF imaging software (</w:t>
      </w:r>
      <w:r>
        <w:rPr>
          <w:b/>
          <w:bCs/>
          <w:sz w:val="24"/>
          <w:szCs w:val="24"/>
        </w:rPr>
        <w:t>A</w:t>
      </w:r>
      <w:r>
        <w:rPr>
          <w:sz w:val="24"/>
          <w:szCs w:val="24"/>
        </w:rPr>
        <w:t>), and t</w:t>
      </w:r>
      <w:r>
        <w:rPr>
          <w:sz w:val="24"/>
          <w:szCs w:val="24"/>
          <w:u w:color="3333CC"/>
        </w:rPr>
        <w:t xml:space="preserve">he ﬂuorescence was measured with </w:t>
      </w:r>
      <w:proofErr w:type="spellStart"/>
      <w:r>
        <w:rPr>
          <w:sz w:val="24"/>
          <w:szCs w:val="24"/>
          <w:u w:color="3333CC"/>
        </w:rPr>
        <w:t>VarioskanFlash</w:t>
      </w:r>
      <w:proofErr w:type="spellEnd"/>
      <w:r>
        <w:rPr>
          <w:sz w:val="24"/>
          <w:szCs w:val="24"/>
          <w:u w:color="3333CC"/>
        </w:rPr>
        <w:t xml:space="preserve"> </w:t>
      </w:r>
      <w:r>
        <w:rPr>
          <w:sz w:val="24"/>
          <w:szCs w:val="24"/>
        </w:rPr>
        <w:t>(</w:t>
      </w:r>
      <w:r>
        <w:rPr>
          <w:b/>
          <w:bCs/>
          <w:sz w:val="24"/>
          <w:szCs w:val="24"/>
        </w:rPr>
        <w:t>B</w:t>
      </w:r>
      <w:r>
        <w:rPr>
          <w:sz w:val="24"/>
          <w:szCs w:val="24"/>
        </w:rPr>
        <w:t>)</w:t>
      </w:r>
      <w:r>
        <w:rPr>
          <w:sz w:val="24"/>
          <w:szCs w:val="24"/>
          <w:u w:color="3333CC"/>
        </w:rPr>
        <w:t xml:space="preserve">. </w:t>
      </w:r>
      <w:r>
        <w:rPr>
          <w:sz w:val="24"/>
          <w:szCs w:val="24"/>
        </w:rPr>
        <w:t xml:space="preserve">Values are means ± standard error (n=3). NS, nonsignificant by Student’s t-test. </w:t>
      </w:r>
      <w:r>
        <w:rPr>
          <w:sz w:val="24"/>
          <w:szCs w:val="24"/>
          <w:u w:color="3333CC"/>
        </w:rPr>
        <w:t xml:space="preserve">Scale bar: 20 </w:t>
      </w:r>
      <w:proofErr w:type="spellStart"/>
      <w:r>
        <w:rPr>
          <w:sz w:val="24"/>
          <w:szCs w:val="24"/>
          <w:u w:color="3333CC"/>
        </w:rPr>
        <w:t>μm</w:t>
      </w:r>
      <w:proofErr w:type="spellEnd"/>
      <w:r>
        <w:rPr>
          <w:sz w:val="24"/>
          <w:szCs w:val="24"/>
          <w:u w:color="3333CC"/>
        </w:rPr>
        <w:t>.</w:t>
      </w:r>
    </w:p>
    <w:p w:rsidR="009F7002" w:rsidRDefault="009F7002">
      <w:pPr>
        <w:pStyle w:val="Legand"/>
        <w:spacing w:line="480" w:lineRule="auto"/>
        <w:rPr>
          <w:b/>
          <w:bCs/>
          <w:sz w:val="24"/>
          <w:szCs w:val="24"/>
        </w:rPr>
      </w:pPr>
    </w:p>
    <w:p w:rsidR="009F7002" w:rsidRDefault="00BE11F4">
      <w:pPr>
        <w:pStyle w:val="Legand"/>
        <w:spacing w:line="480" w:lineRule="auto"/>
        <w:rPr>
          <w:i/>
          <w:iCs/>
          <w:sz w:val="24"/>
          <w:szCs w:val="24"/>
        </w:rPr>
      </w:pPr>
      <w:r>
        <w:rPr>
          <w:b/>
          <w:bCs/>
          <w:sz w:val="24"/>
          <w:szCs w:val="24"/>
        </w:rPr>
        <w:t xml:space="preserve">Figure S17. </w:t>
      </w:r>
      <w:r>
        <w:rPr>
          <w:sz w:val="24"/>
          <w:szCs w:val="24"/>
        </w:rPr>
        <w:t>PRKAA activation elevates the cellular ATP level. (</w:t>
      </w:r>
      <w:r>
        <w:rPr>
          <w:b/>
          <w:bCs/>
          <w:sz w:val="24"/>
          <w:szCs w:val="24"/>
        </w:rPr>
        <w:t>A</w:t>
      </w:r>
      <w:r>
        <w:rPr>
          <w:sz w:val="24"/>
          <w:szCs w:val="24"/>
        </w:rPr>
        <w:t>) HepG2.2.15 and HepAD38 cells were incubated with DMSO or CC (10 µM) for 24 h. Cellular ATP levels were determined and normalized to protein content. (</w:t>
      </w:r>
      <w:r>
        <w:rPr>
          <w:b/>
          <w:bCs/>
          <w:sz w:val="24"/>
          <w:szCs w:val="24"/>
        </w:rPr>
        <w:t>B</w:t>
      </w:r>
      <w:r>
        <w:rPr>
          <w:sz w:val="24"/>
          <w:szCs w:val="24"/>
        </w:rPr>
        <w:t xml:space="preserve">) HepG2.2.15 and HepAD38 cells were incubated with DMSO or AICAR (1 </w:t>
      </w:r>
      <w:proofErr w:type="spellStart"/>
      <w:r>
        <w:rPr>
          <w:sz w:val="24"/>
          <w:szCs w:val="24"/>
        </w:rPr>
        <w:t>mM</w:t>
      </w:r>
      <w:proofErr w:type="spellEnd"/>
      <w:r>
        <w:rPr>
          <w:sz w:val="24"/>
          <w:szCs w:val="24"/>
        </w:rPr>
        <w:t>) for 24 h. ATP levels were normalized to protein content. ATP concentration of DMSO-treated cells was set to 1.0. (</w:t>
      </w:r>
      <w:r>
        <w:rPr>
          <w:b/>
          <w:bCs/>
          <w:sz w:val="24"/>
          <w:szCs w:val="24"/>
        </w:rPr>
        <w:t>C</w:t>
      </w:r>
      <w:r>
        <w:rPr>
          <w:sz w:val="24"/>
          <w:szCs w:val="24"/>
        </w:rPr>
        <w:t xml:space="preserve">) HepAD38 cells were transfected with vector or CA-PRKAA1 plasmids for 48 h. ATP levels were normalized to protein content. ATP concentration of DMSO-treated cells was set to 1. Values are means ± SD, n=3 per group. </w:t>
      </w:r>
      <w:r>
        <w:rPr>
          <w:i/>
          <w:iCs/>
          <w:sz w:val="24"/>
          <w:szCs w:val="24"/>
        </w:rPr>
        <w:t>*</w:t>
      </w:r>
      <w:r>
        <w:rPr>
          <w:sz w:val="24"/>
          <w:szCs w:val="24"/>
        </w:rPr>
        <w:t>,</w:t>
      </w:r>
      <w:r>
        <w:rPr>
          <w:i/>
          <w:iCs/>
          <w:sz w:val="24"/>
          <w:szCs w:val="24"/>
        </w:rPr>
        <w:t xml:space="preserve"> p&lt; 0.05.</w:t>
      </w:r>
    </w:p>
    <w:sectPr w:rsidR="009F7002">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C40" w:rsidRDefault="00BE11F4">
      <w:r>
        <w:separator/>
      </w:r>
    </w:p>
  </w:endnote>
  <w:endnote w:type="continuationSeparator" w:id="0">
    <w:p w:rsidR="00D92C40" w:rsidRDefault="00BE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002" w:rsidRDefault="009F7002">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C40" w:rsidRDefault="00BE11F4">
      <w:r>
        <w:separator/>
      </w:r>
    </w:p>
  </w:footnote>
  <w:footnote w:type="continuationSeparator" w:id="0">
    <w:p w:rsidR="00D92C40" w:rsidRDefault="00BE1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002" w:rsidRDefault="009F7002">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02"/>
    <w:rsid w:val="00170311"/>
    <w:rsid w:val="004A2533"/>
    <w:rsid w:val="007E2A5A"/>
    <w:rsid w:val="009F7002"/>
    <w:rsid w:val="00BE11F4"/>
    <w:rsid w:val="00D92C40"/>
    <w:rsid w:val="00DA1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C8298D-20BE-4BC9-8FE2-6420CE4F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jc w:val="both"/>
    </w:pPr>
    <w:rPr>
      <w:rFonts w:ascii="Calibri" w:eastAsia="Calibri" w:hAnsi="Calibri" w:cs="Calibri"/>
      <w:color w:val="000000"/>
      <w:kern w:val="2"/>
      <w:sz w:val="21"/>
      <w:szCs w:val="21"/>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widowControl w:val="0"/>
      <w:jc w:val="both"/>
    </w:pPr>
    <w:rPr>
      <w:rFonts w:ascii="Helvetica" w:hAnsi="Helvetica" w:cs="Arial Unicode MS"/>
      <w:color w:val="000000"/>
      <w:sz w:val="22"/>
      <w:szCs w:val="22"/>
      <w:u w:color="000000"/>
    </w:rPr>
  </w:style>
  <w:style w:type="paragraph" w:customStyle="1" w:styleId="CaptionA">
    <w:name w:val="Caption A"/>
    <w:pPr>
      <w:widowControl w:val="0"/>
      <w:tabs>
        <w:tab w:val="left" w:pos="1150"/>
      </w:tabs>
      <w:jc w:val="both"/>
    </w:pPr>
    <w:rPr>
      <w:rFonts w:ascii="Helvetica" w:eastAsia="Helvetica" w:hAnsi="Helvetica" w:cs="Helvetica"/>
      <w:b/>
      <w:bCs/>
      <w:caps/>
      <w:color w:val="000000"/>
      <w:u w:color="000000"/>
    </w:rPr>
  </w:style>
  <w:style w:type="paragraph" w:customStyle="1" w:styleId="Legand">
    <w:name w:val="Legand"/>
    <w:pPr>
      <w:widowControl w:val="0"/>
      <w:suppressAutoHyphens/>
      <w:jc w:val="both"/>
      <w:outlineLvl w:val="0"/>
    </w:pPr>
    <w:rPr>
      <w:rFonts w:eastAsia="Times New Roman"/>
      <w:color w:val="000000"/>
      <w:u w:color="000000"/>
    </w:rPr>
  </w:style>
  <w:style w:type="paragraph" w:styleId="BalloonText">
    <w:name w:val="Balloon Text"/>
    <w:basedOn w:val="Normal"/>
    <w:link w:val="BalloonTextChar"/>
    <w:uiPriority w:val="99"/>
    <w:semiHidden/>
    <w:unhideWhenUsed/>
    <w:rsid w:val="004A25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533"/>
    <w:rPr>
      <w:rFonts w:ascii="Segoe UI" w:eastAsia="Calibri" w:hAnsi="Segoe UI" w:cs="Segoe UI"/>
      <w:color w:val="000000"/>
      <w:kern w:val="2"/>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1168</Words>
  <Characters>6662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 Janelle</cp:lastModifiedBy>
  <cp:revision>5</cp:revision>
  <dcterms:created xsi:type="dcterms:W3CDTF">2016-04-28T06:12:00Z</dcterms:created>
  <dcterms:modified xsi:type="dcterms:W3CDTF">2016-05-17T16:43:00Z</dcterms:modified>
</cp:coreProperties>
</file>