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B0" w:rsidRDefault="00E076B0" w:rsidP="00370113">
      <w:pPr>
        <w:spacing w:line="360" w:lineRule="auto"/>
        <w:ind w:left="-1134" w:firstLine="850"/>
        <w:rPr>
          <w:rFonts w:ascii="Arial" w:hAnsi="Arial"/>
          <w:b/>
          <w:lang w:val="en-US"/>
        </w:rPr>
      </w:pPr>
      <w:r>
        <w:rPr>
          <w:rFonts w:ascii="Arial" w:hAnsi="Arial"/>
          <w:b/>
          <w:noProof/>
          <w:lang w:eastAsia="de-DE"/>
        </w:rPr>
        <w:drawing>
          <wp:inline distT="0" distB="0" distL="0" distR="0">
            <wp:extent cx="8686800" cy="2857500"/>
            <wp:effectExtent l="25400" t="0" r="0" b="0"/>
            <wp:docPr id="10" name="Bild 6" descr=":suppl fig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suppl figure 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6B0" w:rsidRDefault="00E076B0" w:rsidP="00370113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E076B0" w:rsidRDefault="00E076B0" w:rsidP="00370113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E076B0" w:rsidRDefault="00E076B0" w:rsidP="00370113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370113" w:rsidRPr="00355C24" w:rsidRDefault="00F54431" w:rsidP="00370113">
      <w:pPr>
        <w:spacing w:line="360" w:lineRule="auto"/>
        <w:ind w:left="-1134" w:firstLine="850"/>
        <w:rPr>
          <w:rFonts w:ascii="Arial" w:hAnsi="Arial"/>
          <w:lang w:val="en-US"/>
        </w:rPr>
      </w:pPr>
      <w:r>
        <w:rPr>
          <w:rFonts w:ascii="Arial" w:hAnsi="Arial"/>
          <w:b/>
          <w:lang w:val="en-US"/>
        </w:rPr>
        <w:tab/>
      </w:r>
      <w:r w:rsidR="00370113">
        <w:rPr>
          <w:rFonts w:ascii="Arial" w:hAnsi="Arial"/>
          <w:b/>
          <w:lang w:val="en-US"/>
        </w:rPr>
        <w:t>Supplementary f</w:t>
      </w:r>
      <w:r w:rsidR="00EA05BD">
        <w:rPr>
          <w:rFonts w:ascii="Arial" w:hAnsi="Arial"/>
          <w:b/>
          <w:lang w:val="en-US"/>
        </w:rPr>
        <w:t>igure 3</w:t>
      </w:r>
      <w:r w:rsidR="00370113" w:rsidRPr="00355C24">
        <w:rPr>
          <w:rFonts w:ascii="Arial" w:hAnsi="Arial"/>
          <w:b/>
          <w:lang w:val="en-US"/>
        </w:rPr>
        <w:t>.</w:t>
      </w:r>
      <w:r w:rsidR="00370113" w:rsidRPr="00355C24">
        <w:rPr>
          <w:rFonts w:ascii="Arial" w:hAnsi="Arial"/>
          <w:lang w:val="en-US"/>
        </w:rPr>
        <w:t xml:space="preserve"> Gating strategy for </w:t>
      </w:r>
      <w:r w:rsidR="00E076B0">
        <w:rPr>
          <w:rFonts w:ascii="Arial" w:hAnsi="Arial"/>
          <w:lang w:val="en-US"/>
        </w:rPr>
        <w:t xml:space="preserve">stimulated </w:t>
      </w:r>
      <w:r w:rsidR="00370113">
        <w:rPr>
          <w:rFonts w:ascii="Arial" w:hAnsi="Arial"/>
          <w:lang w:val="en-US"/>
        </w:rPr>
        <w:t>T cells.</w:t>
      </w:r>
      <w:r w:rsidR="00370113" w:rsidRPr="00355C24">
        <w:rPr>
          <w:rFonts w:ascii="Arial" w:hAnsi="Arial"/>
          <w:lang w:val="en-US"/>
        </w:rPr>
        <w:t xml:space="preserve"> </w:t>
      </w:r>
    </w:p>
    <w:p w:rsidR="00370113" w:rsidRPr="00355C24" w:rsidRDefault="00370113" w:rsidP="00370113">
      <w:pPr>
        <w:spacing w:line="360" w:lineRule="auto"/>
        <w:ind w:left="-1134" w:firstLine="1134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 xml:space="preserve">Figure B and C comprise all cells enclosed in the gate </w:t>
      </w:r>
      <w:r w:rsidR="00F54431">
        <w:rPr>
          <w:rFonts w:ascii="Arial" w:hAnsi="Arial"/>
          <w:lang w:val="en-US"/>
        </w:rPr>
        <w:t xml:space="preserve">shown in </w:t>
      </w:r>
      <w:r w:rsidRPr="00355C24">
        <w:rPr>
          <w:rFonts w:ascii="Arial" w:hAnsi="Arial"/>
          <w:lang w:val="en-US"/>
        </w:rPr>
        <w:t>figure A.</w:t>
      </w:r>
    </w:p>
    <w:p w:rsidR="00370113" w:rsidRPr="00355C24" w:rsidRDefault="00370113" w:rsidP="00370113">
      <w:pPr>
        <w:spacing w:line="360" w:lineRule="auto"/>
        <w:ind w:left="-1134" w:firstLine="1134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>A. Flow cytometry plot of whole blood after red blood cell depletion. Gating of cell types based</w:t>
      </w:r>
      <w:r w:rsidR="00F54431">
        <w:rPr>
          <w:rFonts w:ascii="Arial" w:hAnsi="Arial"/>
          <w:lang w:val="en-US"/>
        </w:rPr>
        <w:t xml:space="preserve"> </w:t>
      </w:r>
      <w:r w:rsidRPr="00355C24">
        <w:rPr>
          <w:rFonts w:ascii="Arial" w:hAnsi="Arial"/>
          <w:lang w:val="en-US"/>
        </w:rPr>
        <w:t>on side scatter</w:t>
      </w:r>
      <w:r w:rsidR="00E076B0">
        <w:rPr>
          <w:rFonts w:ascii="Arial" w:hAnsi="Arial"/>
          <w:lang w:val="en-US"/>
        </w:rPr>
        <w:t xml:space="preserve"> and expression of </w:t>
      </w:r>
      <w:r w:rsidR="00FB0142">
        <w:rPr>
          <w:rFonts w:ascii="Arial" w:hAnsi="Arial"/>
          <w:lang w:val="en-US"/>
        </w:rPr>
        <w:tab/>
      </w:r>
      <w:r w:rsidR="00FB0142">
        <w:rPr>
          <w:rFonts w:ascii="Arial" w:hAnsi="Arial"/>
          <w:lang w:val="en-US"/>
        </w:rPr>
        <w:tab/>
      </w:r>
      <w:r w:rsidR="00FB0142">
        <w:rPr>
          <w:rFonts w:ascii="Arial" w:hAnsi="Arial"/>
          <w:lang w:val="en-US"/>
        </w:rPr>
        <w:tab/>
        <w:t xml:space="preserve">    </w:t>
      </w:r>
      <w:r w:rsidR="00E076B0">
        <w:rPr>
          <w:rFonts w:ascii="Arial" w:hAnsi="Arial"/>
          <w:lang w:val="en-US"/>
        </w:rPr>
        <w:t>CD3 as a T cell marker</w:t>
      </w:r>
      <w:r w:rsidRPr="00355C24">
        <w:rPr>
          <w:rFonts w:ascii="Arial" w:hAnsi="Arial"/>
          <w:lang w:val="en-US"/>
        </w:rPr>
        <w:t>.</w:t>
      </w:r>
      <w:r w:rsidR="00F54431">
        <w:rPr>
          <w:rFonts w:ascii="Arial" w:hAnsi="Arial"/>
          <w:lang w:val="en-US"/>
        </w:rPr>
        <w:t xml:space="preserve"> T cells are defined by the gate marked as "CD3, SSC-A subset"</w:t>
      </w:r>
    </w:p>
    <w:p w:rsidR="00370113" w:rsidRPr="00355C24" w:rsidRDefault="00370113" w:rsidP="00F54431">
      <w:pPr>
        <w:spacing w:line="360" w:lineRule="auto"/>
        <w:ind w:left="-1134" w:firstLine="850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ab/>
        <w:t xml:space="preserve">B. </w:t>
      </w:r>
      <w:r w:rsidR="00F54431">
        <w:rPr>
          <w:rFonts w:ascii="Arial" w:hAnsi="Arial"/>
          <w:lang w:val="en-US"/>
        </w:rPr>
        <w:t>Definition of single cells and exclusion of doublets</w:t>
      </w:r>
      <w:r w:rsidRPr="00355C24">
        <w:rPr>
          <w:rFonts w:ascii="Arial" w:hAnsi="Arial"/>
          <w:lang w:val="en-US"/>
        </w:rPr>
        <w:t>.</w:t>
      </w:r>
    </w:p>
    <w:p w:rsidR="00370113" w:rsidRPr="00355C24" w:rsidRDefault="00370113" w:rsidP="00370113">
      <w:pPr>
        <w:spacing w:line="360" w:lineRule="auto"/>
        <w:ind w:left="-1134" w:firstLine="850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ab/>
        <w:t xml:space="preserve">C. </w:t>
      </w:r>
      <w:r w:rsidR="00F54431">
        <w:rPr>
          <w:rFonts w:ascii="Arial" w:hAnsi="Arial"/>
          <w:lang w:val="en-US"/>
        </w:rPr>
        <w:t>Intracellular cytokine expression in CD3+ T cells (here: IL-17).</w:t>
      </w:r>
    </w:p>
    <w:p w:rsidR="002E3341" w:rsidRPr="00370113" w:rsidRDefault="00FB0142" w:rsidP="00370113"/>
    <w:sectPr w:rsidR="002E3341" w:rsidRPr="00370113" w:rsidSect="00E076B0">
      <w:pgSz w:w="16838" w:h="11899" w:orient="landscape"/>
      <w:pgMar w:top="1417" w:right="1134" w:bottom="1134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70113"/>
    <w:rsid w:val="00370113"/>
    <w:rsid w:val="00E076B0"/>
    <w:rsid w:val="00EA05BD"/>
    <w:rsid w:val="00F54431"/>
    <w:rsid w:val="00FB014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0113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Karoline Walscheid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Walscheid</dc:creator>
  <cp:keywords/>
  <cp:lastModifiedBy>Karoline Walscheid</cp:lastModifiedBy>
  <cp:revision>5</cp:revision>
  <dcterms:created xsi:type="dcterms:W3CDTF">2017-06-08T14:56:00Z</dcterms:created>
  <dcterms:modified xsi:type="dcterms:W3CDTF">2017-06-08T15:20:00Z</dcterms:modified>
</cp:coreProperties>
</file>