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434" w:rsidRPr="00FD4558" w:rsidRDefault="009D7434" w:rsidP="009D7434">
      <w:pPr>
        <w:keepNext/>
        <w:keepLines/>
        <w:spacing w:before="480"/>
        <w:ind w:left="431" w:hanging="431"/>
        <w:outlineLvl w:val="0"/>
        <w:rPr>
          <w:rFonts w:ascii="Times New Roman" w:eastAsia="Times New Roman" w:hAnsi="Times New Roman" w:cs="Times New Roman"/>
          <w:b/>
          <w:bCs/>
          <w:sz w:val="28"/>
          <w:szCs w:val="28"/>
          <w:lang w:val="en-US"/>
        </w:rPr>
      </w:pPr>
      <w:r w:rsidRPr="00FD4558">
        <w:rPr>
          <w:rFonts w:ascii="Times New Roman" w:eastAsia="Times New Roman" w:hAnsi="Times New Roman" w:cs="Times New Roman"/>
          <w:b/>
          <w:bCs/>
          <w:sz w:val="28"/>
          <w:szCs w:val="28"/>
          <w:lang w:val="en-US"/>
        </w:rPr>
        <w:t>Annex I: Court cases and coding</w:t>
      </w:r>
    </w:p>
    <w:tbl>
      <w:tblPr>
        <w:tblStyle w:val="TableGrid"/>
        <w:tblW w:w="5000" w:type="pct"/>
        <w:tblLayout w:type="fixed"/>
        <w:tblLook w:val="04A0"/>
      </w:tblPr>
      <w:tblGrid>
        <w:gridCol w:w="1158"/>
        <w:gridCol w:w="5196"/>
        <w:gridCol w:w="680"/>
        <w:gridCol w:w="679"/>
        <w:gridCol w:w="679"/>
        <w:gridCol w:w="679"/>
        <w:gridCol w:w="679"/>
        <w:gridCol w:w="679"/>
        <w:gridCol w:w="679"/>
        <w:gridCol w:w="679"/>
        <w:gridCol w:w="679"/>
        <w:gridCol w:w="679"/>
        <w:gridCol w:w="679"/>
        <w:gridCol w:w="679"/>
      </w:tblGrid>
      <w:tr w:rsidR="009D7434" w:rsidRPr="00FD4558" w:rsidTr="009D7434">
        <w:trPr>
          <w:cantSplit/>
          <w:trHeight w:val="475"/>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Case</w:t>
            </w:r>
          </w:p>
        </w:tc>
        <w:tc>
          <w:tcPr>
            <w:tcW w:w="1790"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Issues under discussion</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1: A</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1: B</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1: C</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2: A</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2: B</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2: C</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3: A</w:t>
            </w:r>
          </w:p>
        </w:tc>
        <w:tc>
          <w:tcPr>
            <w:tcW w:w="234"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3: B</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3: C</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4: A</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4: B</w:t>
            </w:r>
          </w:p>
        </w:tc>
        <w:tc>
          <w:tcPr>
            <w:tcW w:w="234"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Issue 4: C</w:t>
            </w:r>
          </w:p>
        </w:tc>
      </w:tr>
      <w:tr w:rsidR="009D7434" w:rsidRPr="00FD4558" w:rsidTr="009D7434">
        <w:trPr>
          <w:cantSplit/>
          <w:trHeight w:val="694"/>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María Martínez Sala</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worker definition</w:t>
            </w:r>
            <w:r w:rsidRPr="00FD4558">
              <w:rPr>
                <w:rFonts w:ascii="Times New Roman" w:hAnsi="Times New Roman" w:cs="Times New Roman"/>
                <w:sz w:val="18"/>
                <w:szCs w:val="18"/>
                <w:lang w:val="en-US"/>
              </w:rPr>
              <w:br/>
              <w:t xml:space="preserve">Issue 2: requirement of residence permit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DE</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ES</w:t>
            </w:r>
          </w:p>
        </w:tc>
        <w:tc>
          <w:tcPr>
            <w:tcW w:w="234" w:type="pct"/>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COM</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DE</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ES, COM</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r>
      <w:tr w:rsidR="009D7434" w:rsidRPr="00FD4558" w:rsidTr="009D7434">
        <w:trPr>
          <w:cantSplit/>
          <w:trHeight w:val="1134"/>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Grzelczyk</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xml:space="preserve">Issue 1: exclusion of economically inactive </w:t>
            </w:r>
          </w:p>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2: general exclusion of students even after their residence right was recognized</w:t>
            </w: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BE, DK, FR, UK, Coun-cil</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PT, COM</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BE, DK, FR, UK, Coun-cil</w:t>
            </w: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r>
      <w:tr w:rsidR="009D7434" w:rsidRPr="00FD4558" w:rsidTr="009D7434">
        <w:trPr>
          <w:cantSplit/>
          <w:trHeight w:val="1134"/>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Trojani</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right of residence based on economic activity                                                                            Issue 2: right of residence based on EU citizenship, "limitations and conditions"</w:t>
            </w:r>
            <w:bookmarkStart w:id="0" w:name="_GoBack"/>
            <w:bookmarkEnd w:id="0"/>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BE, DE, NL, FR, DK, UK</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COM</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BE, DE, NL, FR, DK, UK, COM</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 </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 </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 </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r>
      <w:tr w:rsidR="009D7434" w:rsidRPr="00FD4558" w:rsidTr="009D7434">
        <w:trPr>
          <w:cantSplit/>
          <w:trHeight w:val="1134"/>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Bidar</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scope of the Treaty / entitlement to subsidized loans or grants</w:t>
            </w:r>
            <w:r w:rsidRPr="00FD4558">
              <w:rPr>
                <w:rFonts w:ascii="Times New Roman" w:hAnsi="Times New Roman" w:cs="Times New Roman"/>
                <w:sz w:val="18"/>
                <w:szCs w:val="18"/>
                <w:lang w:val="en-US"/>
              </w:rPr>
              <w:br/>
              <w:t>Issue 2: link</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DE, AT, DK, FI, FR, NL, UK, COM</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 </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DE, AT, FI</w:t>
            </w:r>
          </w:p>
        </w:tc>
        <w:tc>
          <w:tcPr>
            <w:tcW w:w="234" w:type="pct"/>
            <w:hideMark/>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r>
      <w:tr w:rsidR="009D7434" w:rsidRPr="00FD4558" w:rsidTr="009D7434">
        <w:trPr>
          <w:cantSplit/>
          <w:trHeight w:val="647"/>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De Cuyper</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requirement of actual residence</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BE, DE, FR</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COM</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r>
      <w:tr w:rsidR="009D7434" w:rsidRPr="00FD4558" w:rsidTr="009D7434">
        <w:trPr>
          <w:cantSplit/>
          <w:trHeight w:val="1134"/>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Morgan and Bucher</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xml:space="preserve">Issue 1: requirement of link </w:t>
            </w:r>
          </w:p>
        </w:tc>
        <w:tc>
          <w:tcPr>
            <w:tcW w:w="234" w:type="pct"/>
            <w:hideMark/>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DE, AT, FI, NL, SE, UK, COM</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IT</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 </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tcPr>
          <w:p w:rsidR="009D7434" w:rsidRPr="00FD4558" w:rsidRDefault="009D7434" w:rsidP="00382D89">
            <w:pPr>
              <w:jc w:val="left"/>
              <w:rPr>
                <w:rFonts w:ascii="Times New Roman" w:hAnsi="Times New Roman" w:cs="Times New Roman"/>
                <w:sz w:val="18"/>
                <w:szCs w:val="18"/>
                <w:lang w:val="de-AT"/>
              </w:rPr>
            </w:pPr>
          </w:p>
        </w:tc>
      </w:tr>
      <w:tr w:rsidR="009D7434" w:rsidRPr="00FD4558" w:rsidTr="009D7434">
        <w:trPr>
          <w:cantSplit/>
          <w:trHeight w:val="1711"/>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lastRenderedPageBreak/>
              <w:t>Förster</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xml:space="preserve">Issue 1: whether equal treatment of workers (ex reg. 1251/70) also applies to students who performed work on a small scale and have ceased such activities </w:t>
            </w:r>
            <w:r w:rsidRPr="00FD4558">
              <w:rPr>
                <w:rFonts w:ascii="Times New Roman" w:hAnsi="Times New Roman" w:cs="Times New Roman"/>
                <w:sz w:val="18"/>
                <w:szCs w:val="18"/>
                <w:lang w:val="en-US"/>
              </w:rPr>
              <w:br/>
              <w:t>Issue 2: whether the students' directive can pose an exception to the Treaty-based principle of equal treatment</w:t>
            </w:r>
            <w:r w:rsidRPr="00FD4558">
              <w:rPr>
                <w:rFonts w:ascii="Times New Roman" w:hAnsi="Times New Roman" w:cs="Times New Roman"/>
                <w:sz w:val="18"/>
                <w:szCs w:val="18"/>
                <w:lang w:val="en-US"/>
              </w:rPr>
              <w:br/>
              <w:t>Issue 3: whether a certain period of residence (5 years) can be set as (the sole) condition before acquiring access to study grants</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BE, DE, NL, AT, FI</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COM</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NL</w:t>
            </w:r>
          </w:p>
        </w:tc>
        <w:tc>
          <w:tcPr>
            <w:tcW w:w="234" w:type="pct"/>
            <w:hideMark/>
          </w:tcPr>
          <w:p w:rsidR="009D7434" w:rsidRPr="00FD4558" w:rsidRDefault="009D7434" w:rsidP="00382D89">
            <w:pPr>
              <w:jc w:val="left"/>
              <w:rPr>
                <w:rFonts w:ascii="Times New Roman" w:hAnsi="Times New Roman" w:cs="Times New Roman"/>
                <w:sz w:val="18"/>
                <w:szCs w:val="18"/>
                <w:lang w:val="de-AT"/>
              </w:rPr>
            </w:pPr>
            <w:r w:rsidRPr="00FD4558">
              <w:rPr>
                <w:rFonts w:ascii="Times New Roman" w:hAnsi="Times New Roman" w:cs="Times New Roman"/>
                <w:sz w:val="18"/>
                <w:szCs w:val="18"/>
                <w:lang w:val="de-AT"/>
              </w:rPr>
              <w:t>BE, DE, AT, COM</w:t>
            </w:r>
          </w:p>
        </w:tc>
        <w:tc>
          <w:tcPr>
            <w:tcW w:w="234" w:type="pct"/>
          </w:tcPr>
          <w:p w:rsidR="009D7434" w:rsidRPr="00FD4558" w:rsidRDefault="009D7434" w:rsidP="00382D89">
            <w:pPr>
              <w:jc w:val="left"/>
              <w:rPr>
                <w:rFonts w:ascii="Times New Roman" w:hAnsi="Times New Roman" w:cs="Times New Roman"/>
                <w:sz w:val="18"/>
                <w:szCs w:val="18"/>
                <w:lang w:val="de-AT"/>
              </w:rPr>
            </w:pP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BE, DE, NL, AT, FI, SE, UK</w:t>
            </w:r>
          </w:p>
        </w:tc>
        <w:tc>
          <w:tcPr>
            <w:tcW w:w="234" w:type="pct"/>
            <w:hideMark/>
          </w:tcPr>
          <w:p w:rsidR="009D7434" w:rsidRPr="00FD4558" w:rsidRDefault="009D7434" w:rsidP="00382D89">
            <w:pPr>
              <w:jc w:val="left"/>
              <w:rPr>
                <w:rFonts w:ascii="Times New Roman" w:hAnsi="Times New Roman" w:cs="Times New Roman"/>
                <w:sz w:val="18"/>
                <w:szCs w:val="18"/>
                <w:lang w:val="da-DK"/>
              </w:rPr>
            </w:pPr>
            <w:r w:rsidRPr="00FD4558">
              <w:rPr>
                <w:rFonts w:ascii="Times New Roman" w:hAnsi="Times New Roman" w:cs="Times New Roman"/>
                <w:sz w:val="18"/>
                <w:szCs w:val="18"/>
                <w:lang w:val="da-DK"/>
              </w:rPr>
              <w:t>COM</w:t>
            </w: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c>
          <w:tcPr>
            <w:tcW w:w="234" w:type="pct"/>
          </w:tcPr>
          <w:p w:rsidR="009D7434" w:rsidRPr="00FD4558" w:rsidRDefault="009D7434" w:rsidP="00382D89">
            <w:pPr>
              <w:jc w:val="left"/>
              <w:rPr>
                <w:rFonts w:ascii="Times New Roman" w:hAnsi="Times New Roman" w:cs="Times New Roman"/>
                <w:sz w:val="18"/>
                <w:szCs w:val="18"/>
                <w:lang w:val="da-DK"/>
              </w:rPr>
            </w:pPr>
          </w:p>
        </w:tc>
      </w:tr>
      <w:tr w:rsidR="009D7434" w:rsidRPr="00FD4558" w:rsidTr="009D7434">
        <w:trPr>
          <w:cantSplit/>
          <w:trHeight w:val="1355"/>
        </w:trPr>
        <w:tc>
          <w:tcPr>
            <w:tcW w:w="399" w:type="pct"/>
            <w:hideMark/>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Vatsouras and Koupa-tantze</w:t>
            </w:r>
          </w:p>
        </w:tc>
        <w:tc>
          <w:tcPr>
            <w:tcW w:w="1790"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provision/exclusion (Art. 24(2) of Directive 2004/38) compatible with Treaty?/ discriminating + undermining free movement?</w:t>
            </w:r>
            <w:r w:rsidRPr="00FD4558">
              <w:rPr>
                <w:rFonts w:ascii="Times New Roman" w:hAnsi="Times New Roman" w:cs="Times New Roman"/>
                <w:sz w:val="18"/>
                <w:szCs w:val="18"/>
                <w:lang w:val="en-US"/>
              </w:rPr>
              <w:br/>
              <w:t>Issue 2: whether the principle of non-discrimination is  compatible with a national regulation granting benefit to illegal migrants but not to EU migrants</w:t>
            </w:r>
          </w:p>
        </w:tc>
        <w:tc>
          <w:tcPr>
            <w:tcW w:w="234" w:type="pct"/>
            <w:hideMark/>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DK, DE, NL, UK, EP, Coun-cil, COM</w:t>
            </w:r>
          </w:p>
        </w:tc>
        <w:tc>
          <w:tcPr>
            <w:tcW w:w="234" w:type="pct"/>
            <w:hideMark/>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 </w:t>
            </w: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 NL, UK, COM</w:t>
            </w: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hideMark/>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r>
      <w:tr w:rsidR="009D7434" w:rsidRPr="00FD4558" w:rsidTr="009D7434">
        <w:trPr>
          <w:cantSplit/>
          <w:trHeight w:val="1355"/>
        </w:trPr>
        <w:tc>
          <w:tcPr>
            <w:tcW w:w="399"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Prinz and Seeberger*</w:t>
            </w:r>
          </w:p>
        </w:tc>
        <w:tc>
          <w:tcPr>
            <w:tcW w:w="1790"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national provision (requirement of three years of permanent residence in Member State of origin in order to be granted education or training grant for studies in another Member State) compatible with EU law?</w:t>
            </w:r>
          </w:p>
        </w:tc>
        <w:tc>
          <w:tcPr>
            <w:tcW w:w="234" w:type="pct"/>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AT, DE, NL</w:t>
            </w:r>
            <w:r w:rsidR="00372E02" w:rsidRPr="00FD4558">
              <w:rPr>
                <w:rFonts w:ascii="Times New Roman" w:hAnsi="Times New Roman" w:cs="Times New Roman"/>
                <w:sz w:val="18"/>
                <w:szCs w:val="18"/>
                <w:lang w:val="fr-FR"/>
              </w:rPr>
              <w:t>, FI, SE</w:t>
            </w:r>
            <w:r w:rsidR="006874C9" w:rsidRPr="00FD4558">
              <w:rPr>
                <w:rFonts w:ascii="Times New Roman" w:hAnsi="Times New Roman" w:cs="Times New Roman"/>
                <w:sz w:val="18"/>
                <w:szCs w:val="18"/>
                <w:lang w:val="fr-FR"/>
              </w:rPr>
              <w:t>, DK</w:t>
            </w: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COM</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r>
      <w:tr w:rsidR="009D7434" w:rsidRPr="00FD4558" w:rsidTr="009D7434">
        <w:trPr>
          <w:cantSplit/>
          <w:trHeight w:val="1355"/>
        </w:trPr>
        <w:tc>
          <w:tcPr>
            <w:tcW w:w="399"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Brey*</w:t>
            </w:r>
          </w:p>
        </w:tc>
        <w:tc>
          <w:tcPr>
            <w:tcW w:w="1790"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whether the compensatory supplement is to be regarded as a “social assistance” benefit within the terms contemplated in Article 7(1)(b) of Directive 2004/38</w:t>
            </w:r>
          </w:p>
        </w:tc>
        <w:tc>
          <w:tcPr>
            <w:tcW w:w="234" w:type="pct"/>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AT, DE, NL, GR, IE, SE, UK</w:t>
            </w:r>
          </w:p>
        </w:tc>
        <w:tc>
          <w:tcPr>
            <w:tcW w:w="234" w:type="pct"/>
          </w:tcPr>
          <w:p w:rsidR="009D7434" w:rsidRPr="00FD4558" w:rsidRDefault="009D7434" w:rsidP="00382D89">
            <w:pPr>
              <w:jc w:val="left"/>
              <w:rPr>
                <w:rFonts w:ascii="Times New Roman" w:hAnsi="Times New Roman" w:cs="Times New Roman"/>
                <w:sz w:val="18"/>
                <w:szCs w:val="18"/>
                <w:lang w:val="fr-FR"/>
              </w:rPr>
            </w:pPr>
            <w:r w:rsidRPr="00FD4558">
              <w:rPr>
                <w:rFonts w:ascii="Times New Roman" w:hAnsi="Times New Roman" w:cs="Times New Roman"/>
                <w:sz w:val="18"/>
                <w:szCs w:val="18"/>
                <w:lang w:val="fr-FR"/>
              </w:rPr>
              <w:t>COM</w:t>
            </w: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c>
          <w:tcPr>
            <w:tcW w:w="234" w:type="pct"/>
          </w:tcPr>
          <w:p w:rsidR="009D7434" w:rsidRPr="00FD4558" w:rsidRDefault="009D7434" w:rsidP="00382D89">
            <w:pPr>
              <w:jc w:val="left"/>
              <w:rPr>
                <w:rFonts w:ascii="Times New Roman" w:hAnsi="Times New Roman" w:cs="Times New Roman"/>
                <w:sz w:val="18"/>
                <w:szCs w:val="18"/>
                <w:lang w:val="fr-FR"/>
              </w:rPr>
            </w:pPr>
          </w:p>
        </w:tc>
      </w:tr>
      <w:tr w:rsidR="009D7434" w:rsidRPr="00FD4558" w:rsidTr="009D7434">
        <w:trPr>
          <w:cantSplit/>
          <w:trHeight w:val="1355"/>
        </w:trPr>
        <w:tc>
          <w:tcPr>
            <w:tcW w:w="399"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lastRenderedPageBreak/>
              <w:t>Dano*</w:t>
            </w:r>
          </w:p>
        </w:tc>
        <w:tc>
          <w:tcPr>
            <w:tcW w:w="1790"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1: whether persons who claim special non-contributory benefits under Article 3(3) and Art. 70 of Regulation 883/2004 fall within the scope of Article 4 of Regulation 883/2004 (equal treatment)</w:t>
            </w:r>
          </w:p>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2: whether Member States are precluded by Article 4 of Regulation 883/2004 from excluding Union citizens from benefits under Art. 70 of Regulation 883/2004</w:t>
            </w:r>
          </w:p>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3: whether Member States are precluded by (a) Article 18 TFEU and/or (b) [point (a) of the first subparagraph of Article 20(2)] TFEU in conjunction with the [second subparagraph] of Article 20(2) TFEU and Article 24(2) of Directive 2004/38/EC from excluding Union citizens from benefits under Art. 70 of Regulation 883/2004</w:t>
            </w:r>
          </w:p>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Issue 4: whether Articles 1, 20 and 51 of the Charter must be interpreted as requiring the Member States to grant non-contributory benefits by way of basic provision such as to enable permanent residence or whether those States may limit their grant to the provision of funds necessary for return to the home State</w:t>
            </w: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w:t>
            </w:r>
          </w:p>
        </w:tc>
        <w:tc>
          <w:tcPr>
            <w:tcW w:w="234" w:type="pct"/>
          </w:tcPr>
          <w:p w:rsidR="009D7434" w:rsidRPr="00FD4558" w:rsidRDefault="00046553"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IE</w:t>
            </w:r>
            <w:r w:rsidR="003222A1" w:rsidRPr="00FD4558">
              <w:rPr>
                <w:rFonts w:ascii="Times New Roman" w:hAnsi="Times New Roman" w:cs="Times New Roman"/>
                <w:sz w:val="18"/>
                <w:szCs w:val="18"/>
                <w:lang w:val="en-US"/>
              </w:rPr>
              <w:t>, COM</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 xml:space="preserve">DE, </w:t>
            </w:r>
            <w:r w:rsidR="00793C23" w:rsidRPr="00FD4558">
              <w:rPr>
                <w:rFonts w:ascii="Times New Roman" w:hAnsi="Times New Roman" w:cs="Times New Roman"/>
                <w:sz w:val="18"/>
                <w:szCs w:val="18"/>
                <w:lang w:val="en-US"/>
              </w:rPr>
              <w:t xml:space="preserve">IE, </w:t>
            </w:r>
            <w:r w:rsidRPr="00FD4558">
              <w:rPr>
                <w:rFonts w:ascii="Times New Roman" w:hAnsi="Times New Roman" w:cs="Times New Roman"/>
                <w:sz w:val="18"/>
                <w:szCs w:val="18"/>
                <w:lang w:val="en-US"/>
              </w:rPr>
              <w:t>AT</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w:t>
            </w:r>
            <w:r w:rsidR="00793C23" w:rsidRPr="00FD4558">
              <w:rPr>
                <w:rFonts w:ascii="Times New Roman" w:hAnsi="Times New Roman" w:cs="Times New Roman"/>
                <w:sz w:val="18"/>
                <w:szCs w:val="18"/>
                <w:lang w:val="en-US"/>
              </w:rPr>
              <w:t>, IE</w:t>
            </w:r>
          </w:p>
        </w:tc>
        <w:tc>
          <w:tcPr>
            <w:tcW w:w="234" w:type="pct"/>
          </w:tcPr>
          <w:p w:rsidR="009D7434" w:rsidRPr="00FD4558" w:rsidRDefault="0007333B"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COM</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046553"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 IE</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r>
      <w:tr w:rsidR="009D7434" w:rsidRPr="00FD4558" w:rsidTr="009D7434">
        <w:trPr>
          <w:cantSplit/>
          <w:trHeight w:val="1355"/>
        </w:trPr>
        <w:tc>
          <w:tcPr>
            <w:tcW w:w="399" w:type="pct"/>
          </w:tcPr>
          <w:p w:rsidR="009D7434" w:rsidRPr="00FD4558" w:rsidRDefault="009D7434" w:rsidP="00382D89">
            <w:pPr>
              <w:jc w:val="left"/>
              <w:rPr>
                <w:rFonts w:ascii="Times New Roman" w:hAnsi="Times New Roman" w:cs="Times New Roman"/>
                <w:b/>
                <w:bCs/>
                <w:sz w:val="18"/>
                <w:szCs w:val="18"/>
                <w:lang w:val="de-AT"/>
              </w:rPr>
            </w:pPr>
            <w:r w:rsidRPr="00FD4558">
              <w:rPr>
                <w:rFonts w:ascii="Times New Roman" w:hAnsi="Times New Roman" w:cs="Times New Roman"/>
                <w:b/>
                <w:bCs/>
                <w:sz w:val="18"/>
                <w:szCs w:val="18"/>
                <w:lang w:val="de-AT"/>
              </w:rPr>
              <w:t>Alimanovic*</w:t>
            </w:r>
          </w:p>
        </w:tc>
        <w:tc>
          <w:tcPr>
            <w:tcW w:w="1790" w:type="pct"/>
          </w:tcPr>
          <w:p w:rsidR="009D7434" w:rsidRPr="00FD4558" w:rsidRDefault="009D7434" w:rsidP="00382D89">
            <w:pPr>
              <w:jc w:val="left"/>
              <w:rPr>
                <w:rFonts w:ascii="Times New Roman" w:hAnsi="Times New Roman" w:cs="Times New Roman"/>
                <w:sz w:val="18"/>
                <w:szCs w:val="18"/>
              </w:rPr>
            </w:pPr>
            <w:r w:rsidRPr="00FD4558">
              <w:rPr>
                <w:rFonts w:ascii="Times New Roman" w:hAnsi="Times New Roman" w:cs="Times New Roman"/>
                <w:sz w:val="18"/>
                <w:szCs w:val="18"/>
              </w:rPr>
              <w:t>Issue 1: whether equal treatment (Art. 4 Regulation 883/2004) also applies to the special non-contributory  benefits under Article 70(1) and (2) of Regulation 883/2004</w:t>
            </w:r>
          </w:p>
          <w:p w:rsidR="009D7434" w:rsidRPr="00FD4558" w:rsidRDefault="009D7434" w:rsidP="00382D89">
            <w:pPr>
              <w:jc w:val="left"/>
              <w:rPr>
                <w:rFonts w:ascii="Times New Roman" w:hAnsi="Times New Roman" w:cs="Times New Roman"/>
                <w:sz w:val="18"/>
                <w:szCs w:val="18"/>
              </w:rPr>
            </w:pPr>
            <w:r w:rsidRPr="00FD4558">
              <w:rPr>
                <w:rFonts w:ascii="Times New Roman" w:hAnsi="Times New Roman" w:cs="Times New Roman"/>
                <w:sz w:val="18"/>
                <w:szCs w:val="18"/>
              </w:rPr>
              <w:t>Issue 2: whether equal treatment may be limited by national provisions that implement Art. 24(2) Directive 2004/38 and do not grant benefits to Union citizens whose right of residence solely arises out of the search for employment</w:t>
            </w:r>
          </w:p>
          <w:p w:rsidR="009D7434" w:rsidRPr="00FD4558" w:rsidRDefault="009D7434" w:rsidP="00382D89">
            <w:pPr>
              <w:jc w:val="left"/>
              <w:rPr>
                <w:rFonts w:ascii="Times New Roman" w:hAnsi="Times New Roman" w:cs="Times New Roman"/>
                <w:sz w:val="18"/>
                <w:szCs w:val="18"/>
              </w:rPr>
            </w:pPr>
            <w:r w:rsidRPr="00FD4558">
              <w:rPr>
                <w:rFonts w:ascii="Times New Roman" w:hAnsi="Times New Roman" w:cs="Times New Roman"/>
                <w:sz w:val="18"/>
                <w:szCs w:val="18"/>
              </w:rPr>
              <w:t>Issue 3: national provision excluding Union citizens, whose right of residence solely arises out of the search for employment, from the entitlement to a social benefit, intended to ensure subsistence and to facilitate access to the labour market compatible with Article 45(2) TFEU, [read] in conjunction with Article 18 TFEU?"</w:t>
            </w:r>
          </w:p>
        </w:tc>
        <w:tc>
          <w:tcPr>
            <w:tcW w:w="234" w:type="pct"/>
          </w:tcPr>
          <w:p w:rsidR="009D7434" w:rsidRPr="00FD4558" w:rsidRDefault="009D7434" w:rsidP="00382D89">
            <w:pPr>
              <w:jc w:val="left"/>
              <w:rPr>
                <w:rFonts w:ascii="Times New Roman" w:hAnsi="Times New Roman" w:cs="Times New Roman"/>
                <w:sz w:val="18"/>
                <w:szCs w:val="18"/>
              </w:rPr>
            </w:pPr>
            <w:r w:rsidRPr="00FD4558">
              <w:rPr>
                <w:rFonts w:ascii="Times New Roman" w:hAnsi="Times New Roman" w:cs="Times New Roman"/>
                <w:sz w:val="18"/>
                <w:szCs w:val="18"/>
              </w:rPr>
              <w:t>DE, IT</w:t>
            </w:r>
          </w:p>
        </w:tc>
        <w:tc>
          <w:tcPr>
            <w:tcW w:w="234" w:type="pct"/>
          </w:tcPr>
          <w:p w:rsidR="009D7434" w:rsidRPr="00FD4558" w:rsidRDefault="00814EEC"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SE, IE</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 IT</w:t>
            </w:r>
            <w:r w:rsidR="00814EEC" w:rsidRPr="00FD4558">
              <w:rPr>
                <w:rFonts w:ascii="Times New Roman" w:hAnsi="Times New Roman" w:cs="Times New Roman"/>
                <w:sz w:val="18"/>
                <w:szCs w:val="18"/>
                <w:lang w:val="en-US"/>
              </w:rPr>
              <w:t>, SE, IE</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r w:rsidRPr="00FD4558">
              <w:rPr>
                <w:rFonts w:ascii="Times New Roman" w:hAnsi="Times New Roman" w:cs="Times New Roman"/>
                <w:sz w:val="18"/>
                <w:szCs w:val="18"/>
                <w:lang w:val="en-US"/>
              </w:rPr>
              <w:t>DE, IT</w:t>
            </w:r>
            <w:r w:rsidR="00814EEC" w:rsidRPr="00FD4558">
              <w:rPr>
                <w:rFonts w:ascii="Times New Roman" w:hAnsi="Times New Roman" w:cs="Times New Roman"/>
                <w:sz w:val="18"/>
                <w:szCs w:val="18"/>
                <w:lang w:val="en-US"/>
              </w:rPr>
              <w:t>, SE, IE</w:t>
            </w: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c>
          <w:tcPr>
            <w:tcW w:w="234" w:type="pct"/>
          </w:tcPr>
          <w:p w:rsidR="009D7434" w:rsidRPr="00FD4558" w:rsidRDefault="009D7434" w:rsidP="00382D89">
            <w:pPr>
              <w:jc w:val="left"/>
              <w:rPr>
                <w:rFonts w:ascii="Times New Roman" w:hAnsi="Times New Roman" w:cs="Times New Roman"/>
                <w:sz w:val="18"/>
                <w:szCs w:val="18"/>
                <w:lang w:val="en-US"/>
              </w:rPr>
            </w:pPr>
          </w:p>
        </w:tc>
      </w:tr>
    </w:tbl>
    <w:p w:rsidR="009D7434" w:rsidRPr="00FD4558" w:rsidRDefault="009D7434" w:rsidP="009D7434">
      <w:pPr>
        <w:jc w:val="left"/>
        <w:rPr>
          <w:rFonts w:ascii="Times New Roman" w:hAnsi="Times New Roman" w:cs="Times New Roman"/>
        </w:rPr>
      </w:pPr>
      <w:r w:rsidRPr="00FD4558">
        <w:rPr>
          <w:rFonts w:ascii="Times New Roman" w:hAnsi="Times New Roman" w:cs="Times New Roman"/>
          <w:sz w:val="18"/>
          <w:szCs w:val="18"/>
          <w:lang w:val="en-US"/>
        </w:rPr>
        <w:t>Legend: A = “preserving national sovereignty”, B = “more Europe”, C = ambivalent;</w:t>
      </w:r>
      <w:r w:rsidRPr="00FD4558">
        <w:rPr>
          <w:rFonts w:ascii="Times New Roman" w:hAnsi="Times New Roman" w:cs="Times New Roman"/>
          <w:sz w:val="18"/>
          <w:szCs w:val="18"/>
          <w:lang w:val="en-US"/>
        </w:rPr>
        <w:br/>
        <w:t xml:space="preserve">* Due to the abolishment of the “Reports for the Hearing”, the analysis of these cases builds upon available written observations and the opinion of the Advocate General. Therefore, information on </w:t>
      </w:r>
      <w:r w:rsidR="00793C23" w:rsidRPr="00FD4558">
        <w:rPr>
          <w:rFonts w:ascii="Times New Roman" w:hAnsi="Times New Roman" w:cs="Times New Roman"/>
          <w:sz w:val="18"/>
          <w:szCs w:val="18"/>
          <w:lang w:val="en-US"/>
        </w:rPr>
        <w:t>the following</w:t>
      </w:r>
      <w:r w:rsidRPr="00FD4558">
        <w:rPr>
          <w:rFonts w:ascii="Times New Roman" w:hAnsi="Times New Roman" w:cs="Times New Roman"/>
          <w:sz w:val="18"/>
          <w:szCs w:val="18"/>
          <w:lang w:val="en-US"/>
        </w:rPr>
        <w:t xml:space="preserve"> observations</w:t>
      </w:r>
      <w:r w:rsidR="00793C23" w:rsidRPr="00FD4558">
        <w:rPr>
          <w:rFonts w:ascii="Times New Roman" w:hAnsi="Times New Roman" w:cs="Times New Roman"/>
          <w:sz w:val="18"/>
          <w:szCs w:val="18"/>
          <w:lang w:val="en-US"/>
        </w:rPr>
        <w:t xml:space="preserve"> is missing: Greece in </w:t>
      </w:r>
      <w:r w:rsidR="00793C23" w:rsidRPr="00FD4558">
        <w:rPr>
          <w:rFonts w:ascii="Times New Roman" w:hAnsi="Times New Roman" w:cs="Times New Roman"/>
          <w:i/>
          <w:sz w:val="18"/>
          <w:szCs w:val="18"/>
          <w:lang w:val="en-US"/>
        </w:rPr>
        <w:t>Prinz and Seeberger</w:t>
      </w:r>
      <w:r w:rsidR="00793C23" w:rsidRPr="00FD4558">
        <w:rPr>
          <w:rFonts w:ascii="Times New Roman" w:hAnsi="Times New Roman" w:cs="Times New Roman"/>
          <w:sz w:val="18"/>
          <w:szCs w:val="18"/>
          <w:lang w:val="en-US"/>
        </w:rPr>
        <w:t>, the</w:t>
      </w:r>
      <w:r w:rsidRPr="00FD4558">
        <w:rPr>
          <w:rFonts w:ascii="Times New Roman" w:hAnsi="Times New Roman" w:cs="Times New Roman"/>
          <w:sz w:val="18"/>
          <w:szCs w:val="18"/>
          <w:lang w:val="en-US"/>
        </w:rPr>
        <w:t xml:space="preserve"> </w:t>
      </w:r>
      <w:r w:rsidR="00793C23" w:rsidRPr="00FD4558">
        <w:rPr>
          <w:rFonts w:ascii="Times New Roman" w:hAnsi="Times New Roman" w:cs="Times New Roman"/>
          <w:sz w:val="18"/>
          <w:szCs w:val="18"/>
          <w:lang w:val="en-US"/>
        </w:rPr>
        <w:t xml:space="preserve">UK in </w:t>
      </w:r>
      <w:r w:rsidR="00793C23" w:rsidRPr="00FD4558">
        <w:rPr>
          <w:rFonts w:ascii="Times New Roman" w:hAnsi="Times New Roman" w:cs="Times New Roman"/>
          <w:i/>
          <w:sz w:val="18"/>
          <w:szCs w:val="18"/>
          <w:lang w:val="en-US"/>
        </w:rPr>
        <w:t>Dano</w:t>
      </w:r>
      <w:r w:rsidR="00793C23" w:rsidRPr="00FD4558">
        <w:rPr>
          <w:rFonts w:ascii="Times New Roman" w:hAnsi="Times New Roman" w:cs="Times New Roman"/>
          <w:sz w:val="18"/>
          <w:szCs w:val="18"/>
          <w:lang w:val="en-US"/>
        </w:rPr>
        <w:t xml:space="preserve"> </w:t>
      </w:r>
      <w:r w:rsidR="005908FB" w:rsidRPr="00FD4558">
        <w:rPr>
          <w:rFonts w:ascii="Times New Roman" w:hAnsi="Times New Roman" w:cs="Times New Roman"/>
          <w:sz w:val="18"/>
          <w:szCs w:val="18"/>
          <w:lang w:val="en-US"/>
        </w:rPr>
        <w:t>and</w:t>
      </w:r>
      <w:r w:rsidR="0073557E" w:rsidRPr="00FD4558">
        <w:rPr>
          <w:rFonts w:ascii="Times New Roman" w:hAnsi="Times New Roman" w:cs="Times New Roman"/>
          <w:sz w:val="18"/>
          <w:szCs w:val="18"/>
          <w:lang w:val="en-US"/>
        </w:rPr>
        <w:t xml:space="preserve"> the UK and the Commission in</w:t>
      </w:r>
      <w:r w:rsidR="005908FB" w:rsidRPr="00FD4558">
        <w:rPr>
          <w:rFonts w:ascii="Times New Roman" w:hAnsi="Times New Roman" w:cs="Times New Roman"/>
          <w:sz w:val="18"/>
          <w:szCs w:val="18"/>
          <w:lang w:val="en-US"/>
        </w:rPr>
        <w:t xml:space="preserve"> </w:t>
      </w:r>
      <w:r w:rsidR="005908FB" w:rsidRPr="00FD4558">
        <w:rPr>
          <w:rFonts w:ascii="Times New Roman" w:hAnsi="Times New Roman" w:cs="Times New Roman"/>
          <w:i/>
          <w:sz w:val="18"/>
          <w:szCs w:val="18"/>
          <w:lang w:val="en-US"/>
        </w:rPr>
        <w:t>Alimanovic</w:t>
      </w:r>
      <w:r w:rsidR="005908FB" w:rsidRPr="00FD4558">
        <w:rPr>
          <w:rFonts w:ascii="Times New Roman" w:hAnsi="Times New Roman" w:cs="Times New Roman"/>
          <w:sz w:val="18"/>
          <w:szCs w:val="18"/>
          <w:lang w:val="en-US"/>
        </w:rPr>
        <w:t xml:space="preserve"> </w:t>
      </w:r>
      <w:r w:rsidR="00793C23" w:rsidRPr="00FD4558">
        <w:rPr>
          <w:rFonts w:ascii="Times New Roman" w:hAnsi="Times New Roman" w:cs="Times New Roman"/>
          <w:sz w:val="18"/>
          <w:szCs w:val="18"/>
          <w:lang w:val="en-US"/>
        </w:rPr>
        <w:t xml:space="preserve">(Denmark and France </w:t>
      </w:r>
      <w:r w:rsidR="005908FB" w:rsidRPr="00FD4558">
        <w:rPr>
          <w:rFonts w:ascii="Times New Roman" w:hAnsi="Times New Roman" w:cs="Times New Roman"/>
          <w:sz w:val="18"/>
          <w:szCs w:val="18"/>
          <w:lang w:val="en-US"/>
        </w:rPr>
        <w:t>delivered only oral observations</w:t>
      </w:r>
      <w:r w:rsidR="0073557E" w:rsidRPr="00FD4558">
        <w:rPr>
          <w:rFonts w:ascii="Times New Roman" w:hAnsi="Times New Roman" w:cs="Times New Roman"/>
          <w:sz w:val="18"/>
          <w:szCs w:val="18"/>
          <w:lang w:val="en-US"/>
        </w:rPr>
        <w:t xml:space="preserve"> for the latter two cases</w:t>
      </w:r>
      <w:r w:rsidR="005908FB" w:rsidRPr="00FD4558">
        <w:rPr>
          <w:rFonts w:ascii="Times New Roman" w:hAnsi="Times New Roman" w:cs="Times New Roman"/>
          <w:sz w:val="18"/>
          <w:szCs w:val="18"/>
          <w:lang w:val="en-US"/>
        </w:rPr>
        <w:t>)</w:t>
      </w:r>
      <w:r w:rsidRPr="00FD4558">
        <w:rPr>
          <w:rFonts w:ascii="Times New Roman" w:hAnsi="Times New Roman" w:cs="Times New Roman"/>
          <w:sz w:val="18"/>
          <w:szCs w:val="18"/>
          <w:lang w:val="en-US"/>
        </w:rPr>
        <w:t>.</w:t>
      </w:r>
    </w:p>
    <w:sectPr w:rsidR="009D7434" w:rsidRPr="00FD4558" w:rsidSect="009D7434">
      <w:pgSz w:w="16838" w:h="11906" w:orient="landscape"/>
      <w:pgMar w:top="1417" w:right="1417"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compat/>
  <w:rsids>
    <w:rsidRoot w:val="009D7434"/>
    <w:rsid w:val="00046553"/>
    <w:rsid w:val="0007333B"/>
    <w:rsid w:val="00235191"/>
    <w:rsid w:val="00294492"/>
    <w:rsid w:val="003222A1"/>
    <w:rsid w:val="00372E02"/>
    <w:rsid w:val="004E496C"/>
    <w:rsid w:val="005908FB"/>
    <w:rsid w:val="006874C9"/>
    <w:rsid w:val="006950A5"/>
    <w:rsid w:val="0073557E"/>
    <w:rsid w:val="00793C23"/>
    <w:rsid w:val="00814EEC"/>
    <w:rsid w:val="00882339"/>
    <w:rsid w:val="009B55B2"/>
    <w:rsid w:val="009D003C"/>
    <w:rsid w:val="009D7434"/>
    <w:rsid w:val="00A17011"/>
    <w:rsid w:val="00BD65EF"/>
    <w:rsid w:val="00F025DC"/>
    <w:rsid w:val="00FA292D"/>
    <w:rsid w:val="00FD455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434"/>
    <w:pPr>
      <w:jc w:val="both"/>
    </w:pPr>
    <w:rPr>
      <w:lang w:val="en-GB"/>
    </w:rPr>
  </w:style>
  <w:style w:type="paragraph" w:styleId="Heading1">
    <w:name w:val="heading 1"/>
    <w:basedOn w:val="Normal"/>
    <w:next w:val="Normal"/>
    <w:link w:val="Heading1Char"/>
    <w:uiPriority w:val="9"/>
    <w:qFormat/>
    <w:rsid w:val="00F025DC"/>
    <w:pPr>
      <w:keepNext/>
      <w:keepLines/>
      <w:spacing w:before="480" w:after="12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25DC"/>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9D74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9D7434"/>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9D7434"/>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0249B2-4D20-4032-AD38-2F44B77E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721</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dc:creator>
  <cp:lastModifiedBy>Jeremy Richardson</cp:lastModifiedBy>
  <cp:revision>2</cp:revision>
  <dcterms:created xsi:type="dcterms:W3CDTF">2018-06-12T04:19:00Z</dcterms:created>
  <dcterms:modified xsi:type="dcterms:W3CDTF">2018-06-12T04:19:00Z</dcterms:modified>
</cp:coreProperties>
</file>