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E0" w:rsidRPr="005C7029" w:rsidRDefault="00E078E0" w:rsidP="005C7029">
      <w:pPr>
        <w:spacing w:line="480" w:lineRule="auto"/>
        <w:rPr>
          <w:b/>
          <w:bCs/>
          <w:sz w:val="24"/>
        </w:rPr>
      </w:pPr>
      <w:r w:rsidRPr="005C7029">
        <w:rPr>
          <w:b/>
          <w:bCs/>
          <w:sz w:val="24"/>
        </w:rPr>
        <w:t>Legends, supplementary material</w:t>
      </w:r>
    </w:p>
    <w:p w:rsidR="00053447" w:rsidRPr="005C7029" w:rsidRDefault="004071F6" w:rsidP="005C7029">
      <w:pPr>
        <w:spacing w:line="480" w:lineRule="auto"/>
        <w:rPr>
          <w:sz w:val="24"/>
        </w:rPr>
      </w:pPr>
      <w:r w:rsidRPr="005C7029">
        <w:rPr>
          <w:rFonts w:hint="eastAsia"/>
          <w:b/>
          <w:bCs/>
          <w:sz w:val="24"/>
        </w:rPr>
        <w:t xml:space="preserve">Supplementary </w:t>
      </w:r>
      <w:r w:rsidRPr="005C7029">
        <w:rPr>
          <w:b/>
          <w:bCs/>
          <w:sz w:val="24"/>
        </w:rPr>
        <w:t xml:space="preserve">Table </w:t>
      </w:r>
      <w:r w:rsidRPr="005C7029">
        <w:rPr>
          <w:rFonts w:hint="eastAsia"/>
          <w:b/>
          <w:bCs/>
          <w:sz w:val="24"/>
        </w:rPr>
        <w:t>1. Structure and IC</w:t>
      </w:r>
      <w:r w:rsidRPr="005C7029">
        <w:rPr>
          <w:rFonts w:hint="eastAsia"/>
          <w:b/>
          <w:bCs/>
          <w:sz w:val="24"/>
          <w:vertAlign w:val="subscript"/>
        </w:rPr>
        <w:t>50</w:t>
      </w:r>
      <w:r w:rsidRPr="005C7029">
        <w:rPr>
          <w:rFonts w:hint="eastAsia"/>
          <w:b/>
          <w:bCs/>
          <w:sz w:val="24"/>
        </w:rPr>
        <w:t xml:space="preserve"> value of compounds confirmed as positive </w:t>
      </w:r>
      <w:r w:rsidRPr="005C7029">
        <w:rPr>
          <w:b/>
          <w:bCs/>
          <w:sz w:val="24"/>
        </w:rPr>
        <w:t>Msi1 in</w:t>
      </w:r>
      <w:r w:rsidRPr="005C7029">
        <w:rPr>
          <w:rFonts w:hint="eastAsia"/>
          <w:b/>
          <w:bCs/>
          <w:sz w:val="24"/>
        </w:rPr>
        <w:t>hibitor</w:t>
      </w:r>
      <w:r w:rsidRPr="005C7029">
        <w:rPr>
          <w:b/>
          <w:bCs/>
          <w:sz w:val="24"/>
        </w:rPr>
        <w:t xml:space="preserve">s </w:t>
      </w:r>
      <w:r w:rsidRPr="005C7029">
        <w:rPr>
          <w:rFonts w:hint="eastAsia"/>
          <w:b/>
          <w:bCs/>
          <w:sz w:val="24"/>
        </w:rPr>
        <w:t xml:space="preserve">by NMR. </w:t>
      </w:r>
      <w:r w:rsidRPr="005C7029">
        <w:rPr>
          <w:rFonts w:hint="eastAsia"/>
          <w:sz w:val="24"/>
        </w:rPr>
        <w:t xml:space="preserve">NMR analyses were conducted to confirm whether the identified compounds (by </w:t>
      </w:r>
      <w:r w:rsidRPr="005C7029">
        <w:rPr>
          <w:rFonts w:hAnsi="Times New Roman" w:cs="Times New Roman" w:hint="eastAsia"/>
          <w:sz w:val="24"/>
        </w:rPr>
        <w:t>fluorescence polarization competition assay)</w:t>
      </w:r>
      <w:r w:rsidRPr="005C7029">
        <w:rPr>
          <w:rFonts w:hint="eastAsia"/>
          <w:sz w:val="24"/>
        </w:rPr>
        <w:t xml:space="preserve"> bind to Msi1 and if the binding disturb the RNA binding residues. Six compounds (luteolin, morin, aurincarboxylic acid, myricetin, tryphostin-51 and piceatannol) were confirmed as positive for interaction with Msi1 RNA binding domain.</w:t>
      </w:r>
    </w:p>
    <w:p w:rsidR="00C23341" w:rsidRPr="005C7029" w:rsidRDefault="004071F6" w:rsidP="005C7029">
      <w:pPr>
        <w:spacing w:line="480" w:lineRule="auto"/>
        <w:rPr>
          <w:sz w:val="24"/>
        </w:rPr>
      </w:pPr>
      <w:r w:rsidRPr="005C7029">
        <w:rPr>
          <w:rFonts w:hint="eastAsia"/>
          <w:b/>
          <w:bCs/>
          <w:sz w:val="24"/>
        </w:rPr>
        <w:t xml:space="preserve">Supplementary </w:t>
      </w:r>
      <w:r w:rsidRPr="005C7029">
        <w:rPr>
          <w:b/>
          <w:bCs/>
          <w:sz w:val="24"/>
        </w:rPr>
        <w:t xml:space="preserve">Table </w:t>
      </w:r>
      <w:r w:rsidRPr="005C7029">
        <w:rPr>
          <w:rFonts w:hint="eastAsia"/>
          <w:b/>
          <w:bCs/>
          <w:sz w:val="24"/>
        </w:rPr>
        <w:t xml:space="preserve">2. </w:t>
      </w:r>
      <w:r w:rsidR="007C26C9" w:rsidRPr="005C7029">
        <w:rPr>
          <w:b/>
          <w:bCs/>
          <w:sz w:val="24"/>
        </w:rPr>
        <w:t xml:space="preserve">Results of combined treatment, luteolin and radiation. </w:t>
      </w:r>
      <w:r w:rsidR="007C26C9" w:rsidRPr="005C7029">
        <w:rPr>
          <w:bCs/>
          <w:sz w:val="24"/>
        </w:rPr>
        <w:t>U251 and U343</w:t>
      </w:r>
      <w:r w:rsidR="007C26C9" w:rsidRPr="005C7029">
        <w:rPr>
          <w:b/>
          <w:bCs/>
          <w:sz w:val="24"/>
        </w:rPr>
        <w:t xml:space="preserve"> </w:t>
      </w:r>
      <w:r w:rsidR="007C26C9" w:rsidRPr="005C7029">
        <w:rPr>
          <w:bCs/>
          <w:sz w:val="24"/>
        </w:rPr>
        <w:t>cells were treated with radiation and/or luteolin and impact on proliferation and colony formation were determined.</w:t>
      </w:r>
      <w:r w:rsidR="007C26C9" w:rsidRPr="005C7029">
        <w:rPr>
          <w:b/>
          <w:bCs/>
          <w:sz w:val="24"/>
        </w:rPr>
        <w:t xml:space="preserve"> </w:t>
      </w:r>
      <w:r w:rsidRPr="005C7029">
        <w:rPr>
          <w:b/>
          <w:bCs/>
          <w:sz w:val="24"/>
        </w:rPr>
        <w:t>A</w:t>
      </w:r>
      <w:r w:rsidRPr="005C7029">
        <w:rPr>
          <w:rFonts w:hint="eastAsia"/>
          <w:b/>
          <w:bCs/>
          <w:sz w:val="24"/>
        </w:rPr>
        <w:t>)</w:t>
      </w:r>
      <w:r w:rsidRPr="005C7029">
        <w:rPr>
          <w:b/>
          <w:bCs/>
          <w:sz w:val="24"/>
        </w:rPr>
        <w:t xml:space="preserve"> </w:t>
      </w:r>
      <w:r w:rsidR="00C23341" w:rsidRPr="005C7029">
        <w:rPr>
          <w:bCs/>
          <w:sz w:val="24"/>
        </w:rPr>
        <w:t>Results of proliferation assay.</w:t>
      </w:r>
      <w:r w:rsidR="00C23341" w:rsidRPr="005C7029">
        <w:rPr>
          <w:b/>
          <w:bCs/>
          <w:sz w:val="24"/>
        </w:rPr>
        <w:t xml:space="preserve"> </w:t>
      </w:r>
      <w:r w:rsidRPr="005C7029">
        <w:rPr>
          <w:bCs/>
          <w:sz w:val="24"/>
        </w:rPr>
        <w:t>Cell</w:t>
      </w:r>
      <w:r w:rsidRPr="005C7029">
        <w:rPr>
          <w:rFonts w:hAnsi="Times New Roman" w:cs="Times New Roman"/>
          <w:sz w:val="24"/>
        </w:rPr>
        <w:t xml:space="preserve"> confluence at the time point 108h for U251 cells (192h for U343) was used to calculate the combination index (CI)</w:t>
      </w:r>
      <w:r w:rsidR="00C23341" w:rsidRPr="005C7029">
        <w:rPr>
          <w:rFonts w:hAnsi="Times New Roman" w:cs="Times New Roman"/>
          <w:sz w:val="24"/>
        </w:rPr>
        <w:t xml:space="preserve"> and determine treatment synergism</w:t>
      </w:r>
      <w:r w:rsidRPr="005C7029">
        <w:rPr>
          <w:rFonts w:hAnsi="Times New Roman" w:cs="Times New Roman"/>
          <w:sz w:val="24"/>
        </w:rPr>
        <w:t xml:space="preserve">. </w:t>
      </w:r>
      <w:r w:rsidRPr="005C7029">
        <w:rPr>
          <w:rFonts w:hint="eastAsia"/>
          <w:b/>
          <w:bCs/>
          <w:sz w:val="24"/>
        </w:rPr>
        <w:t>B)</w:t>
      </w:r>
      <w:r w:rsidRPr="005C7029">
        <w:rPr>
          <w:b/>
          <w:bCs/>
          <w:sz w:val="24"/>
        </w:rPr>
        <w:t xml:space="preserve"> </w:t>
      </w:r>
      <w:r w:rsidRPr="005C7029">
        <w:rPr>
          <w:rFonts w:hint="eastAsia"/>
          <w:sz w:val="24"/>
        </w:rPr>
        <w:t>Colony formation</w:t>
      </w:r>
      <w:r w:rsidRPr="005C7029">
        <w:rPr>
          <w:sz w:val="24"/>
        </w:rPr>
        <w:t xml:space="preserve"> </w:t>
      </w:r>
      <w:r w:rsidR="00C23341" w:rsidRPr="005C7029">
        <w:rPr>
          <w:sz w:val="24"/>
        </w:rPr>
        <w:t>assay</w:t>
      </w:r>
      <w:r w:rsidRPr="005C7029">
        <w:rPr>
          <w:rFonts w:hint="eastAsia"/>
          <w:sz w:val="24"/>
        </w:rPr>
        <w:t>.</w:t>
      </w:r>
      <w:r w:rsidRPr="005C7029">
        <w:rPr>
          <w:sz w:val="24"/>
        </w:rPr>
        <w:t xml:space="preserve"> Relative OD</w:t>
      </w:r>
      <w:r w:rsidRPr="005C7029">
        <w:rPr>
          <w:sz w:val="24"/>
          <w:vertAlign w:val="subscript"/>
        </w:rPr>
        <w:t>560nm</w:t>
      </w:r>
      <w:r w:rsidRPr="005C7029">
        <w:rPr>
          <w:sz w:val="24"/>
        </w:rPr>
        <w:t xml:space="preserve"> of extracted colonies with acetic solution </w:t>
      </w:r>
      <w:r w:rsidRPr="005C7029">
        <w:rPr>
          <w:rFonts w:hAnsi="Times New Roman" w:cs="Times New Roman"/>
          <w:sz w:val="24"/>
        </w:rPr>
        <w:t>was used to calculate the combination index (CI)</w:t>
      </w:r>
      <w:r w:rsidR="00C23341" w:rsidRPr="005C7029">
        <w:rPr>
          <w:rFonts w:hAnsi="Times New Roman" w:cs="Times New Roman"/>
          <w:sz w:val="24"/>
        </w:rPr>
        <w:t xml:space="preserve"> and determine if treatments had synergistic effect</w:t>
      </w:r>
      <w:r w:rsidRPr="005C7029">
        <w:rPr>
          <w:rFonts w:hAnsi="Times New Roman" w:cs="Times New Roman"/>
          <w:sz w:val="24"/>
        </w:rPr>
        <w:t>.</w:t>
      </w:r>
      <w:r w:rsidRPr="005C7029">
        <w:rPr>
          <w:rFonts w:hint="eastAsia"/>
          <w:sz w:val="24"/>
        </w:rPr>
        <w:t xml:space="preserve"> CI&lt;1 means synergism.</w:t>
      </w:r>
    </w:p>
    <w:p w:rsidR="00C23341" w:rsidRPr="005C7029" w:rsidRDefault="00C23341" w:rsidP="005C7029">
      <w:pPr>
        <w:spacing w:line="480" w:lineRule="auto"/>
        <w:rPr>
          <w:sz w:val="24"/>
        </w:rPr>
      </w:pPr>
      <w:r w:rsidRPr="005C7029">
        <w:rPr>
          <w:rFonts w:hint="eastAsia"/>
          <w:b/>
          <w:bCs/>
          <w:sz w:val="24"/>
        </w:rPr>
        <w:t xml:space="preserve">Supplementary </w:t>
      </w:r>
      <w:r w:rsidRPr="005C7029">
        <w:rPr>
          <w:b/>
          <w:bCs/>
          <w:sz w:val="24"/>
        </w:rPr>
        <w:t>Table 3</w:t>
      </w:r>
      <w:r w:rsidRPr="005C7029">
        <w:rPr>
          <w:rFonts w:hint="eastAsia"/>
          <w:b/>
          <w:bCs/>
          <w:sz w:val="24"/>
        </w:rPr>
        <w:t xml:space="preserve">. </w:t>
      </w:r>
      <w:r w:rsidRPr="005C7029">
        <w:rPr>
          <w:b/>
          <w:bCs/>
          <w:sz w:val="24"/>
        </w:rPr>
        <w:t xml:space="preserve">Results of combined treatment, luteolin and olaparib. </w:t>
      </w:r>
      <w:r w:rsidRPr="005C7029">
        <w:rPr>
          <w:bCs/>
          <w:sz w:val="24"/>
        </w:rPr>
        <w:t>U251 and U343</w:t>
      </w:r>
      <w:r w:rsidRPr="005C7029">
        <w:rPr>
          <w:b/>
          <w:bCs/>
          <w:sz w:val="24"/>
        </w:rPr>
        <w:t xml:space="preserve"> </w:t>
      </w:r>
      <w:r w:rsidRPr="005C7029">
        <w:rPr>
          <w:bCs/>
          <w:sz w:val="24"/>
        </w:rPr>
        <w:t>cells were treated with olaparib and/or luteolin and impact on proliferation and colony formation were determined.</w:t>
      </w:r>
      <w:r w:rsidRPr="005C7029">
        <w:rPr>
          <w:b/>
          <w:bCs/>
          <w:sz w:val="24"/>
        </w:rPr>
        <w:t xml:space="preserve"> A</w:t>
      </w:r>
      <w:r w:rsidRPr="005C7029">
        <w:rPr>
          <w:rFonts w:hint="eastAsia"/>
          <w:b/>
          <w:bCs/>
          <w:sz w:val="24"/>
        </w:rPr>
        <w:t>)</w:t>
      </w:r>
      <w:r w:rsidRPr="005C7029">
        <w:rPr>
          <w:b/>
          <w:bCs/>
          <w:sz w:val="24"/>
        </w:rPr>
        <w:t xml:space="preserve"> </w:t>
      </w:r>
      <w:r w:rsidRPr="005C7029">
        <w:rPr>
          <w:bCs/>
          <w:sz w:val="24"/>
        </w:rPr>
        <w:t>Results of proliferation assay.</w:t>
      </w:r>
      <w:r w:rsidRPr="005C7029">
        <w:rPr>
          <w:b/>
          <w:bCs/>
          <w:sz w:val="24"/>
        </w:rPr>
        <w:t xml:space="preserve"> </w:t>
      </w:r>
      <w:r w:rsidRPr="005C7029">
        <w:rPr>
          <w:bCs/>
          <w:sz w:val="24"/>
        </w:rPr>
        <w:t>Cell</w:t>
      </w:r>
      <w:r w:rsidRPr="005C7029">
        <w:rPr>
          <w:rFonts w:hAnsi="Times New Roman" w:cs="Times New Roman"/>
          <w:sz w:val="24"/>
        </w:rPr>
        <w:t xml:space="preserve"> confluence at the time point 120h for U251 cells (180h for U343) was used to calculate the combination index (CI) and determine treatment synergism. </w:t>
      </w:r>
      <w:r w:rsidRPr="005C7029">
        <w:rPr>
          <w:rFonts w:hint="eastAsia"/>
          <w:b/>
          <w:bCs/>
          <w:sz w:val="24"/>
        </w:rPr>
        <w:t>B)</w:t>
      </w:r>
      <w:r w:rsidRPr="005C7029">
        <w:rPr>
          <w:b/>
          <w:bCs/>
          <w:sz w:val="24"/>
        </w:rPr>
        <w:t xml:space="preserve"> </w:t>
      </w:r>
      <w:r w:rsidRPr="005C7029">
        <w:rPr>
          <w:rFonts w:hint="eastAsia"/>
          <w:sz w:val="24"/>
        </w:rPr>
        <w:t>Colony formation</w:t>
      </w:r>
      <w:r w:rsidRPr="005C7029">
        <w:rPr>
          <w:sz w:val="24"/>
        </w:rPr>
        <w:t xml:space="preserve"> assay</w:t>
      </w:r>
      <w:r w:rsidRPr="005C7029">
        <w:rPr>
          <w:rFonts w:hint="eastAsia"/>
          <w:sz w:val="24"/>
        </w:rPr>
        <w:t>.</w:t>
      </w:r>
      <w:r w:rsidRPr="005C7029">
        <w:rPr>
          <w:sz w:val="24"/>
        </w:rPr>
        <w:t xml:space="preserve"> Relative OD</w:t>
      </w:r>
      <w:r w:rsidRPr="005C7029">
        <w:rPr>
          <w:sz w:val="24"/>
          <w:vertAlign w:val="subscript"/>
        </w:rPr>
        <w:t>560nm</w:t>
      </w:r>
      <w:r w:rsidRPr="005C7029">
        <w:rPr>
          <w:sz w:val="24"/>
        </w:rPr>
        <w:t xml:space="preserve"> of extracted colonies with acetic solution </w:t>
      </w:r>
      <w:r w:rsidRPr="005C7029">
        <w:rPr>
          <w:rFonts w:hAnsi="Times New Roman" w:cs="Times New Roman"/>
          <w:sz w:val="24"/>
        </w:rPr>
        <w:t xml:space="preserve">was used to calculate the combination index (CI) and determine if treatments had synergistic effect. </w:t>
      </w:r>
      <w:r w:rsidRPr="005C7029">
        <w:rPr>
          <w:rFonts w:hint="eastAsia"/>
          <w:sz w:val="24"/>
        </w:rPr>
        <w:t>CI&lt;1 means synergism.</w:t>
      </w:r>
    </w:p>
    <w:p w:rsidR="00053447" w:rsidRPr="005C7029" w:rsidRDefault="004071F6" w:rsidP="005C7029">
      <w:pPr>
        <w:spacing w:after="0" w:line="480" w:lineRule="auto"/>
        <w:outlineLvl w:val="0"/>
        <w:rPr>
          <w:sz w:val="24"/>
        </w:rPr>
      </w:pPr>
      <w:r w:rsidRPr="005C7029">
        <w:rPr>
          <w:rFonts w:hint="eastAsia"/>
          <w:b/>
          <w:bCs/>
          <w:sz w:val="24"/>
        </w:rPr>
        <w:lastRenderedPageBreak/>
        <w:t xml:space="preserve">Supplementary Table 4. </w:t>
      </w:r>
      <w:r w:rsidRPr="005C7029">
        <w:rPr>
          <w:rFonts w:hAnsi="Times New Roman" w:cs="Times New Roman"/>
          <w:b/>
          <w:sz w:val="24"/>
        </w:rPr>
        <w:t>Luteolin analogs analyzed by</w:t>
      </w:r>
      <w:r w:rsidRPr="005C7029">
        <w:rPr>
          <w:rFonts w:hAnsi="Times New Roman" w:cs="Times New Roman" w:hint="eastAsia"/>
          <w:b/>
          <w:sz w:val="24"/>
        </w:rPr>
        <w:t xml:space="preserve"> fluorescence polarization competition assay. </w:t>
      </w:r>
      <w:r w:rsidR="00C23341" w:rsidRPr="005C7029">
        <w:rPr>
          <w:rFonts w:hAnsi="Times New Roman" w:cs="Times New Roman"/>
          <w:bCs/>
          <w:sz w:val="24"/>
        </w:rPr>
        <w:t>Nine</w:t>
      </w:r>
      <w:r w:rsidRPr="005C7029">
        <w:rPr>
          <w:rFonts w:hAnsi="Times New Roman" w:cs="Times New Roman" w:hint="eastAsia"/>
          <w:bCs/>
          <w:sz w:val="24"/>
        </w:rPr>
        <w:t xml:space="preserve"> analogs of luteolin </w:t>
      </w:r>
      <w:r w:rsidRPr="005C7029">
        <w:rPr>
          <w:rFonts w:hAnsi="Times New Roman" w:cs="Times New Roman"/>
          <w:bCs/>
          <w:sz w:val="24"/>
        </w:rPr>
        <w:t xml:space="preserve">were </w:t>
      </w:r>
      <w:r w:rsidRPr="005C7029">
        <w:rPr>
          <w:rFonts w:hAnsi="Times New Roman" w:cs="Times New Roman" w:hint="eastAsia"/>
          <w:bCs/>
          <w:sz w:val="24"/>
        </w:rPr>
        <w:t>selected from different</w:t>
      </w:r>
      <w:r w:rsidRPr="005C7029">
        <w:rPr>
          <w:rFonts w:hAnsi="Times New Roman" w:cs="Times New Roman" w:hint="eastAsia"/>
          <w:b/>
          <w:sz w:val="24"/>
        </w:rPr>
        <w:t xml:space="preserve"> </w:t>
      </w:r>
      <w:r w:rsidRPr="005C7029">
        <w:rPr>
          <w:rFonts w:hAnsi="Times New Roman" w:cs="Times New Roman" w:hint="eastAsia"/>
          <w:bCs/>
          <w:sz w:val="24"/>
        </w:rPr>
        <w:t xml:space="preserve">vendors (AK scientific. Inc, Matrix scientific, Cambridge chemicals) </w:t>
      </w:r>
      <w:r w:rsidRPr="005C7029">
        <w:rPr>
          <w:rFonts w:hAnsi="Times New Roman" w:cs="Times New Roman"/>
          <w:bCs/>
          <w:sz w:val="24"/>
        </w:rPr>
        <w:t>to be</w:t>
      </w:r>
      <w:r w:rsidRPr="005C7029">
        <w:rPr>
          <w:rFonts w:hAnsi="Times New Roman" w:cs="Times New Roman" w:hint="eastAsia"/>
          <w:bCs/>
          <w:sz w:val="24"/>
        </w:rPr>
        <w:t xml:space="preserve"> </w:t>
      </w:r>
      <w:r w:rsidRPr="005C7029">
        <w:rPr>
          <w:rFonts w:hAnsi="Times New Roman" w:cs="Times New Roman"/>
          <w:bCs/>
          <w:sz w:val="24"/>
        </w:rPr>
        <w:t xml:space="preserve">analyzed </w:t>
      </w:r>
      <w:r w:rsidRPr="005C7029">
        <w:rPr>
          <w:rFonts w:hAnsi="Times New Roman" w:cs="Times New Roman"/>
          <w:sz w:val="24"/>
        </w:rPr>
        <w:t>by</w:t>
      </w:r>
      <w:r w:rsidRPr="005C7029">
        <w:rPr>
          <w:rFonts w:hAnsi="Times New Roman" w:cs="Times New Roman" w:hint="eastAsia"/>
          <w:sz w:val="24"/>
        </w:rPr>
        <w:t xml:space="preserve"> fluorescence polarization</w:t>
      </w:r>
      <w:r w:rsidRPr="005C7029">
        <w:rPr>
          <w:rFonts w:hAnsi="Times New Roman" w:cs="Times New Roman"/>
          <w:sz w:val="24"/>
        </w:rPr>
        <w:t xml:space="preserve"> to determine interaction with Msi1 RBD1. Table lists IC</w:t>
      </w:r>
      <w:r w:rsidRPr="005C7029">
        <w:rPr>
          <w:rFonts w:hAnsi="Times New Roman" w:cs="Times New Roman"/>
          <w:sz w:val="24"/>
          <w:vertAlign w:val="subscript"/>
        </w:rPr>
        <w:t>50</w:t>
      </w:r>
      <w:r w:rsidRPr="005C7029">
        <w:rPr>
          <w:rFonts w:hAnsi="Times New Roman" w:cs="Times New Roman"/>
          <w:sz w:val="24"/>
        </w:rPr>
        <w:t xml:space="preserve"> value (</w:t>
      </w:r>
      <w:r w:rsidRPr="005C7029">
        <w:rPr>
          <w:rFonts w:ascii="Symbol" w:hAnsi="Symbol" w:cs="Times New Roman"/>
          <w:sz w:val="24"/>
        </w:rPr>
        <w:t></w:t>
      </w:r>
      <w:r w:rsidRPr="005C7029">
        <w:rPr>
          <w:rFonts w:hAnsi="Times New Roman" w:cs="Times New Roman"/>
          <w:sz w:val="24"/>
        </w:rPr>
        <w:t>M) obtained in each case.</w:t>
      </w:r>
    </w:p>
    <w:sectPr w:rsidR="00053447" w:rsidRPr="005C7029" w:rsidSect="005C7029">
      <w:footerReference w:type="default" r:id="rId7"/>
      <w:pgSz w:w="11906" w:h="16838"/>
      <w:pgMar w:top="1440" w:right="1440" w:bottom="1440" w:left="1440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CD6" w:rsidRDefault="00630CD6" w:rsidP="005C7029">
      <w:pPr>
        <w:spacing w:after="0" w:line="240" w:lineRule="auto"/>
      </w:pPr>
      <w:r>
        <w:separator/>
      </w:r>
    </w:p>
  </w:endnote>
  <w:endnote w:type="continuationSeparator" w:id="0">
    <w:p w:rsidR="00630CD6" w:rsidRDefault="00630CD6" w:rsidP="005C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094209"/>
      <w:docPartObj>
        <w:docPartGallery w:val="Page Numbers (Bottom of Page)"/>
        <w:docPartUnique/>
      </w:docPartObj>
    </w:sdtPr>
    <w:sdtContent>
      <w:p w:rsidR="00D84AE8" w:rsidRDefault="007A6CB9">
        <w:pPr>
          <w:pStyle w:val="a6"/>
          <w:jc w:val="center"/>
        </w:pPr>
        <w:fldSimple w:instr=" PAGE   \* MERGEFORMAT ">
          <w:r w:rsidR="00AB029E" w:rsidRPr="00AB029E">
            <w:rPr>
              <w:noProof/>
              <w:lang w:val="zh-CN"/>
            </w:rPr>
            <w:t>1</w:t>
          </w:r>
        </w:fldSimple>
      </w:p>
    </w:sdtContent>
  </w:sdt>
  <w:p w:rsidR="005C7029" w:rsidRDefault="005C702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CD6" w:rsidRDefault="00630CD6" w:rsidP="005C7029">
      <w:pPr>
        <w:spacing w:after="0" w:line="240" w:lineRule="auto"/>
      </w:pPr>
      <w:r>
        <w:separator/>
      </w:r>
    </w:p>
  </w:footnote>
  <w:footnote w:type="continuationSeparator" w:id="0">
    <w:p w:rsidR="00630CD6" w:rsidRDefault="00630CD6" w:rsidP="005C7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637924E6"/>
    <w:rsid w:val="00053447"/>
    <w:rsid w:val="000E3427"/>
    <w:rsid w:val="001115E0"/>
    <w:rsid w:val="00125605"/>
    <w:rsid w:val="00233505"/>
    <w:rsid w:val="00274EC4"/>
    <w:rsid w:val="00310840"/>
    <w:rsid w:val="0031429B"/>
    <w:rsid w:val="0035332D"/>
    <w:rsid w:val="00392176"/>
    <w:rsid w:val="003A437E"/>
    <w:rsid w:val="004071F6"/>
    <w:rsid w:val="00423DB6"/>
    <w:rsid w:val="00453E06"/>
    <w:rsid w:val="004B6993"/>
    <w:rsid w:val="00506DBD"/>
    <w:rsid w:val="00562A38"/>
    <w:rsid w:val="005C7029"/>
    <w:rsid w:val="00630CD6"/>
    <w:rsid w:val="00641540"/>
    <w:rsid w:val="00644984"/>
    <w:rsid w:val="006C094F"/>
    <w:rsid w:val="00703A2C"/>
    <w:rsid w:val="007A6CB9"/>
    <w:rsid w:val="007C26C9"/>
    <w:rsid w:val="007E04DC"/>
    <w:rsid w:val="008177D9"/>
    <w:rsid w:val="00826D42"/>
    <w:rsid w:val="00946BF8"/>
    <w:rsid w:val="00A83074"/>
    <w:rsid w:val="00AB029E"/>
    <w:rsid w:val="00AC0569"/>
    <w:rsid w:val="00C0770B"/>
    <w:rsid w:val="00C23341"/>
    <w:rsid w:val="00CA1F72"/>
    <w:rsid w:val="00CB7CA8"/>
    <w:rsid w:val="00CD0DB3"/>
    <w:rsid w:val="00D1154A"/>
    <w:rsid w:val="00D750F3"/>
    <w:rsid w:val="00D84AE8"/>
    <w:rsid w:val="00DE593F"/>
    <w:rsid w:val="00E078E0"/>
    <w:rsid w:val="00E52447"/>
    <w:rsid w:val="00E74A1C"/>
    <w:rsid w:val="00F811DF"/>
    <w:rsid w:val="04470B97"/>
    <w:rsid w:val="09EB53AF"/>
    <w:rsid w:val="102365B9"/>
    <w:rsid w:val="10EB6CE0"/>
    <w:rsid w:val="116350EF"/>
    <w:rsid w:val="134D077B"/>
    <w:rsid w:val="15135DE2"/>
    <w:rsid w:val="16B323C9"/>
    <w:rsid w:val="1A022F9C"/>
    <w:rsid w:val="1A425748"/>
    <w:rsid w:val="1B845A93"/>
    <w:rsid w:val="1EAD78A3"/>
    <w:rsid w:val="21314325"/>
    <w:rsid w:val="22CC0084"/>
    <w:rsid w:val="245D4C31"/>
    <w:rsid w:val="2554283A"/>
    <w:rsid w:val="27560E7A"/>
    <w:rsid w:val="2CCB2726"/>
    <w:rsid w:val="2F0D757B"/>
    <w:rsid w:val="2FF357AA"/>
    <w:rsid w:val="35413FD8"/>
    <w:rsid w:val="35EB10A6"/>
    <w:rsid w:val="38DB13BE"/>
    <w:rsid w:val="42297793"/>
    <w:rsid w:val="43007EBF"/>
    <w:rsid w:val="43DC3064"/>
    <w:rsid w:val="455769C1"/>
    <w:rsid w:val="4F1B55DB"/>
    <w:rsid w:val="50183CE8"/>
    <w:rsid w:val="501E7597"/>
    <w:rsid w:val="53257866"/>
    <w:rsid w:val="53ED7A58"/>
    <w:rsid w:val="563364FF"/>
    <w:rsid w:val="57DB110D"/>
    <w:rsid w:val="5E5622D4"/>
    <w:rsid w:val="61B52B6F"/>
    <w:rsid w:val="637924E6"/>
    <w:rsid w:val="64D66CC6"/>
    <w:rsid w:val="65712E04"/>
    <w:rsid w:val="65E16920"/>
    <w:rsid w:val="67D83608"/>
    <w:rsid w:val="68090B7A"/>
    <w:rsid w:val="693B3D74"/>
    <w:rsid w:val="6D2F6838"/>
    <w:rsid w:val="6D406F09"/>
    <w:rsid w:val="70DA3E0B"/>
    <w:rsid w:val="71AD5516"/>
    <w:rsid w:val="72420633"/>
    <w:rsid w:val="73EA1F60"/>
    <w:rsid w:val="740A559F"/>
    <w:rsid w:val="75675C45"/>
    <w:rsid w:val="77076389"/>
    <w:rsid w:val="7AD5370A"/>
    <w:rsid w:val="7DCC1C2B"/>
    <w:rsid w:val="7F7300F2"/>
    <w:rsid w:val="7FB5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7D9"/>
    <w:pPr>
      <w:widowControl w:val="0"/>
      <w:jc w:val="both"/>
    </w:pPr>
    <w:rPr>
      <w:rFonts w:asciiTheme="minorHAnsi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8177D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4">
    <w:name w:val="Table Grid"/>
    <w:basedOn w:val="a1"/>
    <w:qFormat/>
    <w:rsid w:val="008177D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sid w:val="008177D9"/>
    <w:rPr>
      <w:rFonts w:ascii="Segoe UI" w:eastAsiaTheme="minorEastAsia" w:hAnsi="Segoe UI" w:cs="Segoe UI"/>
      <w:kern w:val="2"/>
      <w:sz w:val="18"/>
      <w:szCs w:val="18"/>
      <w:lang w:eastAsia="zh-CN"/>
    </w:rPr>
  </w:style>
  <w:style w:type="paragraph" w:styleId="a5">
    <w:name w:val="header"/>
    <w:basedOn w:val="a"/>
    <w:link w:val="Char0"/>
    <w:uiPriority w:val="99"/>
    <w:rsid w:val="005C7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7029"/>
    <w:rPr>
      <w:rFonts w:asciiTheme="minorHAnsi" w:hAnsiTheme="minorHAnsi" w:cstheme="minorBidi"/>
      <w:kern w:val="2"/>
      <w:sz w:val="18"/>
      <w:szCs w:val="18"/>
      <w:lang w:eastAsia="zh-CN"/>
    </w:rPr>
  </w:style>
  <w:style w:type="paragraph" w:styleId="a6">
    <w:name w:val="footer"/>
    <w:basedOn w:val="a"/>
    <w:link w:val="Char1"/>
    <w:uiPriority w:val="99"/>
    <w:rsid w:val="005C702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7029"/>
    <w:rPr>
      <w:rFonts w:asciiTheme="minorHAnsi" w:hAnsiTheme="minorHAnsi" w:cstheme="minorBidi"/>
      <w:kern w:val="2"/>
      <w:sz w:val="18"/>
      <w:szCs w:val="18"/>
      <w:lang w:eastAsia="zh-CN"/>
    </w:rPr>
  </w:style>
  <w:style w:type="paragraph" w:styleId="a7">
    <w:name w:val="No Spacing"/>
    <w:link w:val="Char2"/>
    <w:uiPriority w:val="1"/>
    <w:qFormat/>
    <w:rsid w:val="005C7029"/>
    <w:pPr>
      <w:spacing w:after="0" w:line="240" w:lineRule="auto"/>
    </w:pPr>
    <w:rPr>
      <w:rFonts w:asciiTheme="minorHAnsi" w:hAnsiTheme="minorHAnsi" w:cstheme="minorBidi"/>
      <w:sz w:val="22"/>
      <w:szCs w:val="22"/>
      <w:lang w:eastAsia="zh-CN"/>
    </w:rPr>
  </w:style>
  <w:style w:type="character" w:customStyle="1" w:styleId="Char2">
    <w:name w:val="无间隔 Char"/>
    <w:basedOn w:val="a0"/>
    <w:link w:val="a7"/>
    <w:uiPriority w:val="1"/>
    <w:rsid w:val="005C7029"/>
    <w:rPr>
      <w:rFonts w:asciiTheme="minorHAnsi" w:hAnsiTheme="minorHAnsi" w:cstheme="minorBid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易友桂</cp:lastModifiedBy>
  <cp:revision>28</cp:revision>
  <cp:lastPrinted>2018-05-08T15:01:00Z</cp:lastPrinted>
  <dcterms:created xsi:type="dcterms:W3CDTF">2017-11-30T21:33:00Z</dcterms:created>
  <dcterms:modified xsi:type="dcterms:W3CDTF">2018-07-02T01:13:00Z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