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EF78F" w14:textId="77777777" w:rsidR="003B46BC" w:rsidRDefault="003B46BC" w:rsidP="003B46BC">
      <w:pPr>
        <w:spacing w:beforeLines="50" w:before="120" w:afterLines="50" w:after="120" w:line="48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Appendix 1: Bias of the SVC estimates</w:t>
      </w:r>
    </w:p>
    <w:p w14:paraId="75AC070E" w14:textId="77777777" w:rsidR="003B46BC" w:rsidRDefault="003B46BC" w:rsidP="003B46BC">
      <w:pPr>
        <w:spacing w:line="48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>Here we compare the biases of the SVC estimates from the six SVC models assesed in the Monte Carlo simulation experiment of section 4. The biases are formulated as follows: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514"/>
        <w:gridCol w:w="990"/>
      </w:tblGrid>
      <w:tr w:rsidR="003B46BC" w14:paraId="0535D4FA" w14:textId="77777777" w:rsidTr="003B46BC"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7A9AE" w14:textId="77777777" w:rsidR="003B46BC" w:rsidRDefault="003B46BC">
            <w:pPr>
              <w:spacing w:line="48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4"/>
                    <w:szCs w:val="24"/>
                  </w:rPr>
                  <m:t>Bias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b/>
                                <w:noProof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noProof/>
                                <w:sz w:val="24"/>
                                <w:szCs w:val="24"/>
                              </w:rPr>
                              <m:t>β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  <m:t>200N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  <m:t>iter=1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</w:rPr>
                      <m:t>200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noProof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noProof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kern w:val="22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</m:ctrlPr>
                              </m:sSub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napToGrid w:val="0"/>
                                            <w:kern w:val="22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napToGrid w:val="0"/>
                                            <w:kern w:val="22"/>
                                            <w:sz w:val="24"/>
                                            <w:szCs w:val="24"/>
                                          </w:rPr>
                                          <m:t>β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  <m:t>k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napToGrid w:val="0"/>
                                            <w:kern w:val="22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napToGrid w:val="0"/>
                                            <w:kern w:val="22"/>
                                            <w:sz w:val="24"/>
                                            <w:szCs w:val="24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napToGrid w:val="0"/>
                                            <w:kern w:val="22"/>
                                            <w:sz w:val="24"/>
                                            <w:szCs w:val="24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b/>
                              <m:sup>
                                <m:r>
                                  <w:rPr>
                                    <w:rFonts w:ascii="Cambria Math" w:hAnsi="Cambria Math"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  <m:t>iter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napToGrid w:val="0"/>
                                <w:kern w:val="22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napToGrid w:val="0"/>
                                    <w:kern w:val="22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napToGrid w:val="0"/>
                                        <w:kern w:val="22"/>
                                        <w:sz w:val="24"/>
                                        <w:szCs w:val="24"/>
                                      </w:rPr>
                                      <m:t>i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nary>
                  </m:e>
                </m:nary>
              </m:oMath>
            </m:oMathPara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57351" w14:textId="77777777" w:rsidR="003B46BC" w:rsidRDefault="003B46BC">
            <w:pPr>
              <w:spacing w:line="480" w:lineRule="auto"/>
              <w:jc w:val="righ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(A1)</w:t>
            </w:r>
          </w:p>
        </w:tc>
      </w:tr>
    </w:tbl>
    <w:p w14:paraId="53CC8193" w14:textId="23EF3AAE" w:rsidR="003B46BC" w:rsidRDefault="003B46BC" w:rsidP="003B46B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Figures A1 to A5 compare the estimated biases for chosen SVC model pairs, mimicing the plots done in section 4 for RMSE. Results show that the biases of SVC estimates are sufficiently small whichever models are used.</w:t>
      </w:r>
      <w:r>
        <w:rPr>
          <w:rFonts w:ascii="Times New Roman" w:hAnsi="Times New Roman"/>
          <w:sz w:val="24"/>
          <w:szCs w:val="24"/>
        </w:rPr>
        <w:t xml:space="preserve"> Still, biases typically increase when the predictors have large-scale spatial variations. The results are consistent with the finding of </w:t>
      </w:r>
      <w:proofErr w:type="spellStart"/>
      <w:r>
        <w:rPr>
          <w:rFonts w:ascii="Times New Roman" w:hAnsi="Times New Roman"/>
          <w:sz w:val="24"/>
          <w:szCs w:val="24"/>
        </w:rPr>
        <w:t>Paciorek</w:t>
      </w:r>
      <w:proofErr w:type="spellEnd"/>
      <w:r>
        <w:rPr>
          <w:rFonts w:ascii="Times New Roman" w:hAnsi="Times New Roman"/>
          <w:sz w:val="24"/>
          <w:szCs w:val="24"/>
        </w:rPr>
        <w:t xml:space="preserve"> (2009) that, in case of a spatial regression model, large-scale predictors tend to confound with the residual spatial </w:t>
      </w:r>
      <w:proofErr w:type="gramStart"/>
      <w:r>
        <w:rPr>
          <w:rFonts w:ascii="Times New Roman" w:hAnsi="Times New Roman"/>
          <w:sz w:val="24"/>
          <w:szCs w:val="24"/>
        </w:rPr>
        <w:t>process, and</w:t>
      </w:r>
      <w:proofErr w:type="gramEnd"/>
      <w:r>
        <w:rPr>
          <w:rFonts w:ascii="Times New Roman" w:hAnsi="Times New Roman"/>
          <w:sz w:val="24"/>
          <w:szCs w:val="24"/>
        </w:rPr>
        <w:t xml:space="preserve"> introduce a bias. For the bias in our case, the bias increase would be due to the confounding between the large-scale predictors and the SVC processes.</w:t>
      </w:r>
    </w:p>
    <w:p w14:paraId="6793BFF6" w14:textId="77777777" w:rsidR="003B46BC" w:rsidRDefault="003B46BC" w:rsidP="003B46BC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14:paraId="2A383F39" w14:textId="77777777" w:rsidR="003B46BC" w:rsidRDefault="003B46BC" w:rsidP="003B46BC">
      <w:pPr>
        <w:pStyle w:val="131"/>
        <w:spacing w:line="480" w:lineRule="auto"/>
        <w:ind w:leftChars="0"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Appendix 2: Smoothly-varying coefficient processes</w:t>
      </w:r>
    </w:p>
    <w:p w14:paraId="4ADE350A" w14:textId="77777777" w:rsidR="003B46BC" w:rsidRDefault="003B46BC" w:rsidP="003B46BC">
      <w:pPr>
        <w:spacing w:line="480" w:lineRule="auto"/>
        <w:ind w:firstLine="8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The SMA process, which was used to generate the </w:t>
      </w:r>
      <w:r>
        <w:rPr>
          <w:rFonts w:ascii="Times New Roman" w:hAnsi="Times New Roman"/>
          <w:b/>
          <w:sz w:val="24"/>
          <w:szCs w:val="24"/>
        </w:rPr>
        <w:t>β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vertAlign w:val="subscript"/>
        </w:rPr>
        <w:t>k</w:t>
      </w:r>
      <w:r>
        <w:rPr>
          <w:rFonts w:ascii="Times New Roman" w:hAnsi="Times New Roman"/>
          <w:bCs/>
          <w:sz w:val="24"/>
          <w:szCs w:val="24"/>
        </w:rPr>
        <w:t>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in sections 3 and 4 describes a stationary process. However, the coefficients may have a deterministic linear or non-linear trend. Because the Moran’s eigenvectors describe only a stationary process (Murakami and Griffith, 2015), ESF and RE-ESF may struggle to accurately estimate such </w:t>
      </w:r>
      <w:r>
        <w:rPr>
          <w:rFonts w:ascii="Times New Roman" w:hAnsi="Times New Roman"/>
          <w:sz w:val="24"/>
          <w:szCs w:val="24"/>
        </w:rPr>
        <w:t xml:space="preserve">smoothly-varying coefficient </w:t>
      </w:r>
      <w:r>
        <w:rPr>
          <w:rFonts w:ascii="Times New Roman" w:hAnsi="Times New Roman"/>
          <w:bCs/>
          <w:sz w:val="24"/>
          <w:szCs w:val="24"/>
        </w:rPr>
        <w:t>processes. To examine this, we performed a third simulation experiment, following that studied in Fotheringham et al. (2017). They assumed locations on a 25 by 25 regular grid, and generated synthetic data on the locations following Eq. (A2):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2"/>
        <w:gridCol w:w="670"/>
      </w:tblGrid>
      <w:tr w:rsidR="003B46BC" w14:paraId="3C2F5398" w14:textId="77777777" w:rsidTr="003B46BC">
        <w:trPr>
          <w:trHeight w:val="1397"/>
        </w:trPr>
        <w:tc>
          <w:tcPr>
            <w:tcW w:w="8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9779" w14:textId="77777777" w:rsidR="003B46BC" w:rsidRDefault="00E91CD8">
            <w:pPr>
              <w:spacing w:line="480" w:lineRule="auto"/>
              <w:jc w:val="center"/>
              <w:rPr>
                <w:rFonts w:ascii="Times New Roman" w:eastAsia="SimSun" w:hAnsi="Times New Roman"/>
                <w:b/>
                <w:snapToGrid w:val="0"/>
                <w:kern w:val="22"/>
                <w:sz w:val="24"/>
                <w:szCs w:val="24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kern w:val="22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i,1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kern w:val="22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i,2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 xml:space="preserve">,          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~N(</m:t>
              </m:r>
              <m:r>
                <m:rPr>
                  <m:sty m:val="p"/>
                </m:rP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 xml:space="preserve">0, </m:t>
              </m:r>
              <m:sSup>
                <m:sSupPr>
                  <m:ctrlP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0.5</m:t>
                  </m:r>
                </m:e>
                <m:sup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)</m:t>
              </m:r>
            </m:oMath>
            <w:r w:rsidR="003B46BC">
              <w:rPr>
                <w:rFonts w:ascii="Times New Roman" w:eastAsia="SimSun" w:hAnsi="Times New Roman"/>
                <w:snapToGrid w:val="0"/>
                <w:kern w:val="22"/>
                <w:sz w:val="24"/>
                <w:szCs w:val="24"/>
                <w:lang w:eastAsia="zh-CN"/>
              </w:rPr>
              <w:t>,</w:t>
            </w:r>
          </w:p>
          <w:p w14:paraId="70B0EACD" w14:textId="77777777" w:rsidR="003B46BC" w:rsidRDefault="00E91CD8">
            <w:pPr>
              <w:spacing w:line="480" w:lineRule="auto"/>
              <w:jc w:val="center"/>
              <w:rPr>
                <w:rFonts w:ascii="Times New Roman" w:eastAsia="SimSun" w:hAnsi="Times New Roman"/>
                <w:snapToGrid w:val="0"/>
                <w:kern w:val="22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kern w:val="22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kern w:val="22"/>
                    <w:sz w:val="24"/>
                    <w:szCs w:val="24"/>
                  </w:rPr>
                  <m:t xml:space="preserve">)=3, 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kern w:val="22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kern w:val="22"/>
                    <w:sz w:val="24"/>
                    <w:szCs w:val="24"/>
                  </w:rPr>
                  <m:t>)=1+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12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kern w:val="22"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kern w:val="22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x</m:t>
                        </m:r>
                      </m:sup>
                    </m:sSubSup>
                    <m:r>
                      <w:rPr>
                        <w:rFonts w:ascii="Cambria Math" w:hAnsi="Cambria Math"/>
                        <w:snapToGrid w:val="0"/>
                        <w:kern w:val="22"/>
                        <w:sz w:val="24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kern w:val="22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napToGrid w:val="0"/>
                            <w:kern w:val="22"/>
                            <w:sz w:val="24"/>
                            <w:szCs w:val="24"/>
                          </w:rPr>
                          <m:t>y</m:t>
                        </m:r>
                      </m:sup>
                    </m:sSubSup>
                  </m:e>
                </m:d>
                <m:r>
                  <w:rPr>
                    <w:rFonts w:ascii="Cambria Math" w:hAnsi="Cambria Math"/>
                    <w:snapToGrid w:val="0"/>
                    <w:kern w:val="22"/>
                    <w:sz w:val="24"/>
                    <w:szCs w:val="24"/>
                  </w:rPr>
                  <m:t xml:space="preserve">,     </m:t>
                </m:r>
              </m:oMath>
            </m:oMathPara>
          </w:p>
          <w:p w14:paraId="4E2C9F40" w14:textId="77777777" w:rsidR="003B46BC" w:rsidRDefault="003B46BC">
            <w:pPr>
              <w:spacing w:line="480" w:lineRule="auto"/>
              <w:jc w:val="center"/>
              <w:rPr>
                <w:rFonts w:ascii="Times New Roman" w:eastAsia="SimSun" w:hAnsi="Times New Roman"/>
                <w:snapToGrid w:val="0"/>
                <w:kern w:val="22"/>
                <w:sz w:val="24"/>
                <w:szCs w:val="24"/>
                <w:lang w:eastAsia="zh-CN"/>
              </w:rPr>
            </w:pPr>
            <m:oMath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 xml:space="preserve">   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napToGrid w:val="0"/>
                  <w:kern w:val="22"/>
                  <w:sz w:val="24"/>
                  <w:szCs w:val="24"/>
                </w:rPr>
                <m:t>)=1+</m:t>
              </m:r>
              <m:f>
                <m:fPr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324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36-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napToGrid w:val="0"/>
                          <w:kern w:val="22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napToGrid w:val="0"/>
                              <w:kern w:val="22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napToGrid w:val="0"/>
                              <w:kern w:val="22"/>
                              <w:sz w:val="24"/>
                              <w:szCs w:val="24"/>
                            </w:rPr>
                            <m:t>6-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napToGrid w:val="0"/>
                                  <w:kern w:val="22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sup>
                              </m:sSubSup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napToGrid w:val="0"/>
                                  <w:kern w:val="22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napToGrid w:val="0"/>
                      <w:kern w:val="22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napToGrid w:val="0"/>
                      <w:kern w:val="22"/>
                      <w:sz w:val="24"/>
                      <w:szCs w:val="24"/>
                    </w:rPr>
                    <m:t>36-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napToGrid w:val="0"/>
                          <w:kern w:val="22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napToGrid w:val="0"/>
                              <w:kern w:val="22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napToGrid w:val="0"/>
                              <w:kern w:val="22"/>
                              <w:sz w:val="24"/>
                              <w:szCs w:val="24"/>
                            </w:rPr>
                            <m:t>6-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napToGrid w:val="0"/>
                                  <w:kern w:val="22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napToGrid w:val="0"/>
                                      <w:kern w:val="22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sup>
                              </m:sSubSup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napToGrid w:val="0"/>
                                  <w:kern w:val="22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napToGrid w:val="0"/>
                          <w:kern w:val="22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  <w:r>
              <w:rPr>
                <w:rFonts w:ascii="Times New Roman" w:eastAsia="SimSun" w:hAnsi="Times New Roman"/>
                <w:snapToGrid w:val="0"/>
                <w:kern w:val="22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63FEE" w14:textId="77777777" w:rsidR="003B46BC" w:rsidRDefault="003B46BC">
            <w:pPr>
              <w:spacing w:line="480" w:lineRule="auto"/>
              <w:ind w:right="-1"/>
              <w:jc w:val="righ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(A2)</w:t>
            </w:r>
          </w:p>
        </w:tc>
      </w:tr>
    </w:tbl>
    <w:p w14:paraId="7EA6C8A7" w14:textId="77777777" w:rsidR="003B46BC" w:rsidRDefault="003B46BC" w:rsidP="003B46BC">
      <w:pPr>
        <w:spacing w:line="48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where </w:t>
      </w:r>
      <w:r>
        <w:rPr>
          <w:rFonts w:ascii="Times New Roman" w:hAnsi="Times New Roman"/>
          <w:bCs/>
          <w:i/>
          <w:iCs/>
          <w:sz w:val="24"/>
          <w:szCs w:val="24"/>
        </w:rPr>
        <w:t>s</w:t>
      </w:r>
      <w:r>
        <w:rPr>
          <w:rFonts w:ascii="Times New Roman" w:hAnsi="Times New Roman"/>
          <w:bCs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/>
          <w:bCs/>
          <w:i/>
          <w:iCs/>
          <w:sz w:val="24"/>
          <w:szCs w:val="24"/>
          <w:vertAlign w:val="superscript"/>
        </w:rPr>
        <w:t>x</w:t>
      </w:r>
      <w:r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s</w:t>
      </w:r>
      <w:r>
        <w:rPr>
          <w:rFonts w:ascii="Times New Roman" w:hAnsi="Times New Roman"/>
          <w:bCs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/>
          <w:bCs/>
          <w:i/>
          <w:iCs/>
          <w:sz w:val="24"/>
          <w:szCs w:val="24"/>
          <w:vertAlign w:val="superscript"/>
        </w:rPr>
        <w:t>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represent </w:t>
      </w:r>
      <w:r>
        <w:rPr>
          <w:rFonts w:ascii="Times New Roman" w:hAnsi="Times New Roman"/>
          <w:bCs/>
          <w:i/>
          <w:iCs/>
          <w:sz w:val="24"/>
          <w:szCs w:val="24"/>
        </w:rPr>
        <w:t>x</w:t>
      </w:r>
      <w:r>
        <w:rPr>
          <w:rFonts w:ascii="Times New Roman" w:hAnsi="Times New Roman"/>
          <w:bCs/>
          <w:sz w:val="24"/>
          <w:szCs w:val="24"/>
        </w:rPr>
        <w:t xml:space="preserve">- and </w:t>
      </w:r>
      <w:r>
        <w:rPr>
          <w:rFonts w:ascii="Times New Roman" w:hAnsi="Times New Roman"/>
          <w:bCs/>
          <w:i/>
          <w:i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-coordinate</w:t>
      </w:r>
      <w:r>
        <w:rPr>
          <w:rFonts w:ascii="Times" w:hAnsi="Times"/>
          <w:bCs/>
          <w:sz w:val="24"/>
          <w:szCs w:val="24"/>
        </w:rPr>
        <w:t xml:space="preserve">s.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0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 xml:space="preserve">) is a constant, and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1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 xml:space="preserve">) and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2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>) have a linear trend and a circular trend, respectively</w:t>
      </w:r>
      <w:r>
        <w:rPr>
          <w:rFonts w:ascii="Times New Roman" w:hAnsi="Times New Roman"/>
          <w:bCs/>
          <w:sz w:val="24"/>
          <w:szCs w:val="24"/>
        </w:rPr>
        <w:t>. The predictors are generated from the standard normal distributions, and the response is found accordingly. Data are generated 200 times.</w:t>
      </w:r>
    </w:p>
    <w:p w14:paraId="5F6CB816" w14:textId="77777777" w:rsidR="003B46BC" w:rsidRDefault="003B46BC" w:rsidP="003B46BC">
      <w:pPr>
        <w:spacing w:line="480" w:lineRule="auto"/>
        <w:ind w:firstLine="8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The resulting RMSEs (as defined in section 4.2) are summarized in Table A1. Clearly, ESF is the poorest performing model, which is consistent with the negative findings on ESF in </w:t>
      </w:r>
      <w:proofErr w:type="spellStart"/>
      <w:r>
        <w:rPr>
          <w:rFonts w:ascii="Times New Roman" w:hAnsi="Times New Roman"/>
          <w:bCs/>
          <w:sz w:val="24"/>
          <w:szCs w:val="24"/>
        </w:rPr>
        <w:t>Oshan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and Fotheringham (2017). Regarding RE-ESF, its estimates for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1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are less accurate relative to the GWR models whereas its estimates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2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>) are the most accurate</w:t>
      </w:r>
      <w:r>
        <w:rPr>
          <w:rFonts w:ascii="Times New Roman" w:hAnsi="Times New Roman"/>
          <w:bCs/>
          <w:sz w:val="24"/>
          <w:szCs w:val="24"/>
        </w:rPr>
        <w:t xml:space="preserve">. The result shows that the RE-ESF estimates can be inaccurate if the true spatially varying process has a large-scale non-stationary trend, as with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1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, that the Moran’s eigenvectors cannot capture. It is also conceivable that FB-GWR, FB-</w:t>
      </w:r>
      <w:proofErr w:type="spellStart"/>
      <w:r>
        <w:rPr>
          <w:rFonts w:ascii="Times New Roman" w:hAnsi="Times New Roman"/>
          <w:bCs/>
          <w:sz w:val="24"/>
          <w:szCs w:val="24"/>
        </w:rPr>
        <w:t>GWRa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and RE-ESF all successfully identified </w:t>
      </w:r>
      <w:r>
        <w:rPr>
          <w:rFonts w:ascii="Times" w:hAnsi="Times"/>
          <w:bCs/>
          <w:i/>
          <w:iCs/>
          <w:sz w:val="24"/>
          <w:szCs w:val="24"/>
        </w:rPr>
        <w:t>β</w:t>
      </w:r>
      <w:r>
        <w:rPr>
          <w:rFonts w:ascii="Times" w:hAnsi="Times"/>
          <w:bCs/>
          <w:sz w:val="24"/>
          <w:szCs w:val="24"/>
          <w:vertAlign w:val="subscript"/>
        </w:rPr>
        <w:t>0</w:t>
      </w:r>
      <w:r>
        <w:rPr>
          <w:rFonts w:ascii="Times" w:hAnsi="Times"/>
          <w:bCs/>
          <w:sz w:val="24"/>
          <w:szCs w:val="24"/>
        </w:rPr>
        <w:t>(</w:t>
      </w:r>
      <w:proofErr w:type="spellStart"/>
      <w:r>
        <w:rPr>
          <w:rFonts w:ascii="Times" w:hAnsi="Times"/>
          <w:bCs/>
          <w:i/>
          <w:iCs/>
          <w:sz w:val="24"/>
          <w:szCs w:val="24"/>
        </w:rPr>
        <w:t>s</w:t>
      </w:r>
      <w:r>
        <w:rPr>
          <w:rFonts w:ascii="Times" w:hAnsi="Times"/>
          <w:bCs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" w:hAnsi="Times"/>
          <w:bCs/>
          <w:sz w:val="24"/>
          <w:szCs w:val="24"/>
        </w:rPr>
        <w:t>) as constant coefficients</w:t>
      </w:r>
      <w:r>
        <w:rPr>
          <w:rFonts w:ascii="Times New Roman" w:hAnsi="Times New Roman"/>
          <w:bCs/>
          <w:sz w:val="24"/>
          <w:szCs w:val="24"/>
        </w:rPr>
        <w:t>. Another interesting finding is that FB-GWR clearly outperforms FB-</w:t>
      </w:r>
      <w:proofErr w:type="spellStart"/>
      <w:r>
        <w:rPr>
          <w:rFonts w:ascii="Times New Roman" w:hAnsi="Times New Roman"/>
          <w:bCs/>
          <w:sz w:val="24"/>
          <w:szCs w:val="24"/>
        </w:rPr>
        <w:t>GWRa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which </w:t>
      </w:r>
      <w:r>
        <w:rPr>
          <w:rFonts w:ascii="Times New Roman" w:hAnsi="Times New Roman"/>
          <w:bCs/>
          <w:sz w:val="24"/>
          <w:szCs w:val="24"/>
        </w:rPr>
        <w:lastRenderedPageBreak/>
        <w:t>is contrary to the findings of the main study. This suggests that different SVC models suit different SVC processes.</w:t>
      </w:r>
    </w:p>
    <w:p w14:paraId="567E3CB3" w14:textId="3D6F37FE" w:rsidR="00452A8B" w:rsidRDefault="00452A8B"/>
    <w:p w14:paraId="6EC3E602" w14:textId="6C5BD9A7" w:rsidR="00E91CD8" w:rsidRDefault="00E91CD8"/>
    <w:p w14:paraId="1AB9D07C" w14:textId="77777777" w:rsidR="00E91CD8" w:rsidRDefault="00E91CD8">
      <w:bookmarkStart w:id="0" w:name="_GoBack"/>
      <w:bookmarkEnd w:id="0"/>
    </w:p>
    <w:p w14:paraId="38931E65" w14:textId="7F01E85F" w:rsidR="00E91CD8" w:rsidRDefault="00E91CD8"/>
    <w:p w14:paraId="0A755606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  <w:r w:rsidRPr="003E0033">
        <w:rPr>
          <w:rFonts w:ascii="Times New Roman" w:hAnsi="Times New Roman"/>
          <w:noProof/>
          <w:sz w:val="24"/>
          <w:szCs w:val="24"/>
        </w:rPr>
        <w:t xml:space="preserve">Figure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3E0033">
        <w:rPr>
          <w:rFonts w:ascii="Times New Roman" w:hAnsi="Times New Roman"/>
          <w:noProof/>
          <w:sz w:val="24"/>
          <w:szCs w:val="24"/>
        </w:rPr>
        <w:t>1: Bias: RE-ESF (</w:t>
      </w:r>
      <w:r w:rsidRPr="003E0033">
        <w:rPr>
          <w:rFonts w:ascii="Times New Roman" w:hAnsi="Times New Roman"/>
          <w:i/>
          <w:noProof/>
          <w:sz w:val="24"/>
          <w:szCs w:val="24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-axis) vs GWR (</w:t>
      </w:r>
      <w:r w:rsidRPr="003E0033">
        <w:rPr>
          <w:rFonts w:ascii="Times New Roman" w:hAnsi="Times New Roman"/>
          <w:i/>
          <w:noProof/>
          <w:sz w:val="24"/>
          <w:szCs w:val="24"/>
        </w:rPr>
        <w:t>y</w:t>
      </w:r>
      <w:r w:rsidRPr="003E0033">
        <w:rPr>
          <w:rFonts w:ascii="Times New Roman" w:hAnsi="Times New Roman"/>
          <w:noProof/>
          <w:sz w:val="24"/>
          <w:szCs w:val="24"/>
        </w:rPr>
        <w:t>-axis). “Large-scale” means the large-scale (</w:t>
      </w:r>
      <w:r w:rsidRPr="003E0033">
        <w:rPr>
          <w:rFonts w:ascii="Times New Roman" w:hAnsi="Times New Roman"/>
          <w:i/>
          <w:noProof/>
          <w:sz w:val="24"/>
          <w:szCs w:val="24"/>
        </w:rPr>
        <w:t>r</w:t>
      </w:r>
      <w:r w:rsidRPr="003E0033">
        <w:rPr>
          <w:rFonts w:ascii="Times New Roman" w:hAnsi="Times New Roman"/>
          <w:noProof/>
          <w:sz w:val="24"/>
          <w:szCs w:val="24"/>
        </w:rPr>
        <w:t>). The lighter end of the “Significant” line means a small variance of the spatially dependent component (</w:t>
      </w:r>
      <w:r w:rsidRPr="003E0033">
        <w:rPr>
          <w:rFonts w:ascii="Times New Roman" w:hAnsi="Times New Roman"/>
          <w:i/>
          <w:noProof/>
          <w:sz w:val="24"/>
          <w:szCs w:val="24"/>
        </w:rPr>
        <w:t>s</w:t>
      </w:r>
      <w:r w:rsidRPr="003E0033">
        <w:rPr>
          <w:rFonts w:ascii="Times New Roman" w:hAnsi="Times New Roman"/>
          <w:i/>
          <w:noProof/>
          <w:sz w:val="24"/>
          <w:szCs w:val="24"/>
          <w:vertAlign w:val="subscript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), while the darker end means a large variance.</w:t>
      </w:r>
    </w:p>
    <w:p w14:paraId="5271D82E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</w:p>
    <w:p w14:paraId="747F38CC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  <w:r w:rsidRPr="003E0033">
        <w:rPr>
          <w:rFonts w:ascii="Times New Roman" w:hAnsi="Times New Roman"/>
          <w:noProof/>
          <w:sz w:val="24"/>
          <w:szCs w:val="24"/>
          <w:lang w:val="pt-BR"/>
        </w:rPr>
        <w:t xml:space="preserve">Figure </w:t>
      </w:r>
      <w:r>
        <w:rPr>
          <w:rFonts w:ascii="Times New Roman" w:hAnsi="Times New Roman"/>
          <w:noProof/>
          <w:sz w:val="24"/>
          <w:szCs w:val="24"/>
          <w:lang w:val="pt-BR"/>
        </w:rPr>
        <w:t>A</w:t>
      </w:r>
      <w:r w:rsidRPr="003E0033">
        <w:rPr>
          <w:rFonts w:ascii="Times New Roman" w:hAnsi="Times New Roman"/>
          <w:noProof/>
          <w:sz w:val="24"/>
          <w:szCs w:val="24"/>
          <w:lang w:val="pt-BR"/>
        </w:rPr>
        <w:t>2: Bias: RE-ESF (</w:t>
      </w:r>
      <w:r w:rsidRPr="003E0033">
        <w:rPr>
          <w:rFonts w:ascii="Times New Roman" w:hAnsi="Times New Roman"/>
          <w:i/>
          <w:noProof/>
          <w:sz w:val="24"/>
          <w:szCs w:val="24"/>
          <w:lang w:val="pt-BR"/>
        </w:rPr>
        <w:t>x</w:t>
      </w:r>
      <w:r w:rsidRPr="003E0033">
        <w:rPr>
          <w:rFonts w:ascii="Times New Roman" w:hAnsi="Times New Roman"/>
          <w:noProof/>
          <w:sz w:val="24"/>
          <w:szCs w:val="24"/>
          <w:lang w:val="pt-BR"/>
        </w:rPr>
        <w:t>-axis) vs ESF (</w:t>
      </w:r>
      <w:r w:rsidRPr="003E0033">
        <w:rPr>
          <w:rFonts w:ascii="Times New Roman" w:hAnsi="Times New Roman"/>
          <w:i/>
          <w:noProof/>
          <w:sz w:val="24"/>
          <w:szCs w:val="24"/>
          <w:lang w:val="pt-BR"/>
        </w:rPr>
        <w:t>y</w:t>
      </w:r>
      <w:r w:rsidRPr="003E0033">
        <w:rPr>
          <w:rFonts w:ascii="Times New Roman" w:hAnsi="Times New Roman"/>
          <w:noProof/>
          <w:sz w:val="24"/>
          <w:szCs w:val="24"/>
          <w:lang w:val="pt-BR"/>
        </w:rPr>
        <w:t xml:space="preserve">-axis). </w:t>
      </w:r>
      <w:r w:rsidRPr="003E0033">
        <w:rPr>
          <w:rFonts w:ascii="Times New Roman" w:hAnsi="Times New Roman"/>
          <w:noProof/>
          <w:sz w:val="24"/>
          <w:szCs w:val="24"/>
        </w:rPr>
        <w:t>“Large-scale” means the large-scale (</w:t>
      </w:r>
      <w:r w:rsidRPr="003E0033">
        <w:rPr>
          <w:rFonts w:ascii="Times New Roman" w:hAnsi="Times New Roman"/>
          <w:i/>
          <w:noProof/>
          <w:sz w:val="24"/>
          <w:szCs w:val="24"/>
        </w:rPr>
        <w:t>r</w:t>
      </w:r>
      <w:r w:rsidRPr="003E0033">
        <w:rPr>
          <w:rFonts w:ascii="Times New Roman" w:hAnsi="Times New Roman"/>
          <w:noProof/>
          <w:sz w:val="24"/>
          <w:szCs w:val="24"/>
        </w:rPr>
        <w:t>). The lighter end of the “Significant” line means a small variance of the spatially dependent component (</w:t>
      </w:r>
      <w:r w:rsidRPr="003E0033">
        <w:rPr>
          <w:rFonts w:ascii="Times New Roman" w:hAnsi="Times New Roman"/>
          <w:i/>
          <w:noProof/>
          <w:sz w:val="24"/>
          <w:szCs w:val="24"/>
        </w:rPr>
        <w:t>s</w:t>
      </w:r>
      <w:r w:rsidRPr="003E0033">
        <w:rPr>
          <w:rFonts w:ascii="Times New Roman" w:hAnsi="Times New Roman"/>
          <w:i/>
          <w:noProof/>
          <w:sz w:val="24"/>
          <w:szCs w:val="24"/>
          <w:vertAlign w:val="subscript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), while the darker end means a large variance.</w:t>
      </w:r>
    </w:p>
    <w:p w14:paraId="4FB2CD04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</w:p>
    <w:p w14:paraId="196FE34E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  <w:r w:rsidRPr="003E0033">
        <w:rPr>
          <w:rFonts w:ascii="Times New Roman" w:hAnsi="Times New Roman"/>
          <w:noProof/>
          <w:sz w:val="24"/>
          <w:szCs w:val="24"/>
        </w:rPr>
        <w:t xml:space="preserve">Figure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3E0033">
        <w:rPr>
          <w:rFonts w:ascii="Times New Roman" w:hAnsi="Times New Roman"/>
          <w:noProof/>
          <w:sz w:val="24"/>
          <w:szCs w:val="24"/>
        </w:rPr>
        <w:t>3: Bias: RE-ESF (</w:t>
      </w:r>
      <w:r w:rsidRPr="003E0033">
        <w:rPr>
          <w:rFonts w:ascii="Times New Roman" w:hAnsi="Times New Roman"/>
          <w:i/>
          <w:noProof/>
          <w:sz w:val="24"/>
          <w:szCs w:val="24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-axis) vs FB-GWR (</w:t>
      </w:r>
      <w:r w:rsidRPr="003E0033">
        <w:rPr>
          <w:rFonts w:ascii="Times New Roman" w:hAnsi="Times New Roman"/>
          <w:i/>
          <w:noProof/>
          <w:sz w:val="24"/>
          <w:szCs w:val="24"/>
        </w:rPr>
        <w:t>y</w:t>
      </w:r>
      <w:r w:rsidRPr="003E0033">
        <w:rPr>
          <w:rFonts w:ascii="Times New Roman" w:hAnsi="Times New Roman"/>
          <w:noProof/>
          <w:sz w:val="24"/>
          <w:szCs w:val="24"/>
        </w:rPr>
        <w:t>-axis). “Large-scale” means the large-scale (</w:t>
      </w:r>
      <w:r w:rsidRPr="003E0033">
        <w:rPr>
          <w:rFonts w:ascii="Times New Roman" w:hAnsi="Times New Roman"/>
          <w:i/>
          <w:noProof/>
          <w:sz w:val="24"/>
          <w:szCs w:val="24"/>
        </w:rPr>
        <w:t>r</w:t>
      </w:r>
      <w:r w:rsidRPr="003E0033">
        <w:rPr>
          <w:rFonts w:ascii="Times New Roman" w:hAnsi="Times New Roman"/>
          <w:noProof/>
          <w:sz w:val="24"/>
          <w:szCs w:val="24"/>
        </w:rPr>
        <w:t>). The lighter end of the “Significant” line means a small variance of the spatially dependent component (</w:t>
      </w:r>
      <w:r w:rsidRPr="003E0033">
        <w:rPr>
          <w:rFonts w:ascii="Times New Roman" w:hAnsi="Times New Roman"/>
          <w:i/>
          <w:noProof/>
          <w:sz w:val="24"/>
          <w:szCs w:val="24"/>
        </w:rPr>
        <w:t>s</w:t>
      </w:r>
      <w:r w:rsidRPr="003E0033">
        <w:rPr>
          <w:rFonts w:ascii="Times New Roman" w:hAnsi="Times New Roman"/>
          <w:i/>
          <w:noProof/>
          <w:sz w:val="24"/>
          <w:szCs w:val="24"/>
          <w:vertAlign w:val="subscript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), while the darker end means a large variance.</w:t>
      </w:r>
    </w:p>
    <w:p w14:paraId="746FDA6F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</w:p>
    <w:p w14:paraId="021BCFE3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  <w:r w:rsidRPr="003E0033">
        <w:rPr>
          <w:rFonts w:ascii="Times New Roman" w:hAnsi="Times New Roman"/>
          <w:noProof/>
          <w:sz w:val="24"/>
          <w:szCs w:val="24"/>
        </w:rPr>
        <w:t xml:space="preserve">Figure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3E0033">
        <w:rPr>
          <w:rFonts w:ascii="Times New Roman" w:hAnsi="Times New Roman"/>
          <w:noProof/>
          <w:sz w:val="24"/>
          <w:szCs w:val="24"/>
        </w:rPr>
        <w:t>4: Bias: RE-ESF (</w:t>
      </w:r>
      <w:r w:rsidRPr="003E0033">
        <w:rPr>
          <w:rFonts w:ascii="Times New Roman" w:hAnsi="Times New Roman"/>
          <w:i/>
          <w:noProof/>
          <w:sz w:val="24"/>
          <w:szCs w:val="24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-axis) vs GWRa (</w:t>
      </w:r>
      <w:r w:rsidRPr="003E0033">
        <w:rPr>
          <w:rFonts w:ascii="Times New Roman" w:hAnsi="Times New Roman"/>
          <w:i/>
          <w:noProof/>
          <w:sz w:val="24"/>
          <w:szCs w:val="24"/>
        </w:rPr>
        <w:t>y</w:t>
      </w:r>
      <w:r w:rsidRPr="003E0033">
        <w:rPr>
          <w:rFonts w:ascii="Times New Roman" w:hAnsi="Times New Roman"/>
          <w:noProof/>
          <w:sz w:val="24"/>
          <w:szCs w:val="24"/>
        </w:rPr>
        <w:t>-axis). “Large-scale” means the large-scale (</w:t>
      </w:r>
      <w:r w:rsidRPr="003E0033">
        <w:rPr>
          <w:rFonts w:ascii="Times New Roman" w:hAnsi="Times New Roman"/>
          <w:i/>
          <w:noProof/>
          <w:sz w:val="24"/>
          <w:szCs w:val="24"/>
        </w:rPr>
        <w:t>r</w:t>
      </w:r>
      <w:r w:rsidRPr="003E0033">
        <w:rPr>
          <w:rFonts w:ascii="Times New Roman" w:hAnsi="Times New Roman"/>
          <w:noProof/>
          <w:sz w:val="24"/>
          <w:szCs w:val="24"/>
        </w:rPr>
        <w:t>). The lighter end of the “Significant” line means a small variance of the spatially dependent component (</w:t>
      </w:r>
      <w:r w:rsidRPr="003E0033">
        <w:rPr>
          <w:rFonts w:ascii="Times New Roman" w:hAnsi="Times New Roman"/>
          <w:i/>
          <w:noProof/>
          <w:sz w:val="24"/>
          <w:szCs w:val="24"/>
        </w:rPr>
        <w:t>s</w:t>
      </w:r>
      <w:r w:rsidRPr="003E0033">
        <w:rPr>
          <w:rFonts w:ascii="Times New Roman" w:hAnsi="Times New Roman"/>
          <w:i/>
          <w:noProof/>
          <w:sz w:val="24"/>
          <w:szCs w:val="24"/>
          <w:vertAlign w:val="subscript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), while the darker end means a large variance.</w:t>
      </w:r>
    </w:p>
    <w:p w14:paraId="0002D8D0" w14:textId="77777777" w:rsidR="00E91CD8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noProof/>
          <w:sz w:val="24"/>
          <w:szCs w:val="24"/>
        </w:rPr>
      </w:pPr>
    </w:p>
    <w:p w14:paraId="08445087" w14:textId="77777777" w:rsidR="00E91CD8" w:rsidRPr="003E0033" w:rsidRDefault="00E91CD8" w:rsidP="00E91CD8">
      <w:pPr>
        <w:pStyle w:val="131"/>
        <w:spacing w:line="480" w:lineRule="auto"/>
        <w:ind w:leftChars="0" w:left="0"/>
        <w:rPr>
          <w:rFonts w:ascii="Times New Roman" w:hAnsi="Times New Roman"/>
          <w:sz w:val="24"/>
          <w:szCs w:val="24"/>
        </w:rPr>
      </w:pPr>
      <w:r w:rsidRPr="003E0033">
        <w:rPr>
          <w:rFonts w:ascii="Times New Roman" w:hAnsi="Times New Roman"/>
          <w:noProof/>
          <w:sz w:val="24"/>
          <w:szCs w:val="24"/>
        </w:rPr>
        <w:t xml:space="preserve">Figure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3E0033">
        <w:rPr>
          <w:rFonts w:ascii="Times New Roman" w:hAnsi="Times New Roman"/>
          <w:noProof/>
          <w:sz w:val="24"/>
          <w:szCs w:val="24"/>
        </w:rPr>
        <w:t>5: Bias: RE-ESF (</w:t>
      </w:r>
      <w:r w:rsidRPr="003E0033">
        <w:rPr>
          <w:rFonts w:ascii="Times New Roman" w:hAnsi="Times New Roman"/>
          <w:i/>
          <w:noProof/>
          <w:sz w:val="24"/>
          <w:szCs w:val="24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-axis) vs FB-GWRa (</w:t>
      </w:r>
      <w:r w:rsidRPr="003E0033">
        <w:rPr>
          <w:rFonts w:ascii="Times New Roman" w:hAnsi="Times New Roman"/>
          <w:i/>
          <w:noProof/>
          <w:sz w:val="24"/>
          <w:szCs w:val="24"/>
        </w:rPr>
        <w:t>y</w:t>
      </w:r>
      <w:r w:rsidRPr="003E0033">
        <w:rPr>
          <w:rFonts w:ascii="Times New Roman" w:hAnsi="Times New Roman"/>
          <w:noProof/>
          <w:sz w:val="24"/>
          <w:szCs w:val="24"/>
        </w:rPr>
        <w:t>-axis). “Large-scale” means the large-scale (</w:t>
      </w:r>
      <w:r w:rsidRPr="003E0033">
        <w:rPr>
          <w:rFonts w:ascii="Times New Roman" w:hAnsi="Times New Roman"/>
          <w:i/>
          <w:noProof/>
          <w:sz w:val="24"/>
          <w:szCs w:val="24"/>
        </w:rPr>
        <w:t>r</w:t>
      </w:r>
      <w:r w:rsidRPr="003E0033">
        <w:rPr>
          <w:rFonts w:ascii="Times New Roman" w:hAnsi="Times New Roman"/>
          <w:noProof/>
          <w:sz w:val="24"/>
          <w:szCs w:val="24"/>
        </w:rPr>
        <w:t>). The lighter end of the “Significant” line means a small variance of the spatially dependent component (</w:t>
      </w:r>
      <w:r w:rsidRPr="003E0033">
        <w:rPr>
          <w:rFonts w:ascii="Times New Roman" w:hAnsi="Times New Roman"/>
          <w:i/>
          <w:noProof/>
          <w:sz w:val="24"/>
          <w:szCs w:val="24"/>
        </w:rPr>
        <w:t>s</w:t>
      </w:r>
      <w:r w:rsidRPr="003E0033">
        <w:rPr>
          <w:rFonts w:ascii="Times New Roman" w:hAnsi="Times New Roman"/>
          <w:i/>
          <w:noProof/>
          <w:sz w:val="24"/>
          <w:szCs w:val="24"/>
          <w:vertAlign w:val="subscript"/>
        </w:rPr>
        <w:t>x</w:t>
      </w:r>
      <w:r w:rsidRPr="003E0033">
        <w:rPr>
          <w:rFonts w:ascii="Times New Roman" w:hAnsi="Times New Roman"/>
          <w:noProof/>
          <w:sz w:val="24"/>
          <w:szCs w:val="24"/>
        </w:rPr>
        <w:t>), while the darker end means a large variance.</w:t>
      </w:r>
    </w:p>
    <w:p w14:paraId="073C82FF" w14:textId="77777777" w:rsidR="00E91CD8" w:rsidRDefault="00E91CD8"/>
    <w:sectPr w:rsidR="00E91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F2"/>
    <w:rsid w:val="003B46BC"/>
    <w:rsid w:val="00452A8B"/>
    <w:rsid w:val="00E91CD8"/>
    <w:rsid w:val="00EA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F02ED"/>
  <w15:chartTrackingRefBased/>
  <w15:docId w15:val="{6A7E54BD-6390-41DB-89A6-83C4CE2E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46BC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1">
    <w:name w:val="表 (青) 131"/>
    <w:basedOn w:val="Normal"/>
    <w:uiPriority w:val="34"/>
    <w:qFormat/>
    <w:rsid w:val="003B46BC"/>
    <w:pPr>
      <w:ind w:leftChars="400" w:left="840"/>
    </w:pPr>
  </w:style>
  <w:style w:type="table" w:styleId="TableGrid">
    <w:name w:val="Table Grid"/>
    <w:basedOn w:val="TableNormal"/>
    <w:uiPriority w:val="39"/>
    <w:rsid w:val="003B46B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Cutler, Lea</dc:creator>
  <cp:keywords/>
  <dc:description/>
  <cp:lastModifiedBy>Cutler, Lea</cp:lastModifiedBy>
  <cp:revision>3</cp:revision>
  <dcterms:created xsi:type="dcterms:W3CDTF">2018-08-31T16:22:00Z</dcterms:created>
  <dcterms:modified xsi:type="dcterms:W3CDTF">2018-08-31T16:24:00Z</dcterms:modified>
</cp:coreProperties>
</file>