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6821" w:rsidRPr="000F0D5C" w:rsidRDefault="00956821" w:rsidP="00956821">
      <w:pPr>
        <w:pStyle w:val="Ttulo2"/>
        <w:rPr>
          <w:i w:val="0"/>
          <w:lang w:val="en-US"/>
        </w:rPr>
      </w:pPr>
      <w:r w:rsidRPr="000F0D5C">
        <w:rPr>
          <w:i w:val="0"/>
          <w:lang w:val="en-US"/>
        </w:rPr>
        <w:t>Supplemental material: methods</w:t>
      </w:r>
    </w:p>
    <w:p w:rsidR="00956821" w:rsidRPr="000F0D5C" w:rsidRDefault="00956821" w:rsidP="00FE0317">
      <w:pPr>
        <w:pStyle w:val="Ttulo2"/>
        <w:rPr>
          <w:lang w:val="en-US"/>
        </w:rPr>
      </w:pPr>
    </w:p>
    <w:p w:rsidR="00FE0317" w:rsidRPr="000F0D5C" w:rsidRDefault="00FE0317" w:rsidP="00FE0317">
      <w:pPr>
        <w:pStyle w:val="Ttulo2"/>
        <w:rPr>
          <w:lang w:val="en-US"/>
        </w:rPr>
      </w:pPr>
      <w:r w:rsidRPr="000F0D5C">
        <w:rPr>
          <w:lang w:val="en-US"/>
        </w:rPr>
        <w:t>Surgical techniques</w:t>
      </w:r>
    </w:p>
    <w:p w:rsidR="00FE0317" w:rsidRPr="000F0D5C" w:rsidRDefault="00FE0317" w:rsidP="00FE0317">
      <w:pPr>
        <w:pStyle w:val="Paragraph"/>
        <w:rPr>
          <w:lang w:val="en-US"/>
        </w:rPr>
      </w:pPr>
      <w:r w:rsidRPr="000F0D5C">
        <w:rPr>
          <w:lang w:val="en-US"/>
        </w:rPr>
        <w:t>Surgery was performed in an operating room designed and prepared to accommodate ovine subjects and standard aseptic surgical procedures.</w:t>
      </w:r>
    </w:p>
    <w:p w:rsidR="00FE0317" w:rsidRPr="000F0D5C" w:rsidRDefault="00FE0317" w:rsidP="00FE0317">
      <w:pPr>
        <w:pStyle w:val="Newparagraph"/>
        <w:rPr>
          <w:color w:val="000000" w:themeColor="text1"/>
          <w:lang w:val="en-US"/>
        </w:rPr>
      </w:pPr>
      <w:r w:rsidRPr="000F0D5C">
        <w:rPr>
          <w:color w:val="000000" w:themeColor="text1"/>
          <w:lang w:val="en-US"/>
        </w:rPr>
        <w:t xml:space="preserve">For Groups 2 and 3, male and female adult sheep from 45 to 72 kg received no food for 12 hours prior to induction of anesthesia. Prior to surgery, the sheep were sedated using xylazine (1 mg/kg I.M.), </w:t>
      </w:r>
      <w:r w:rsidRPr="000F0D5C">
        <w:rPr>
          <w:color w:val="000000" w:themeColor="text1"/>
          <w:lang w:val="en-US" w:eastAsia="es-MX"/>
        </w:rPr>
        <w:t>anesthetized with</w:t>
      </w:r>
      <w:r w:rsidRPr="000F0D5C">
        <w:rPr>
          <w:color w:val="000000" w:themeColor="text1"/>
          <w:lang w:val="en-US"/>
        </w:rPr>
        <w:t xml:space="preserve"> tiletamine/zolazepam (10 mg/kg I.V.) and maintained with </w:t>
      </w:r>
      <w:proofErr w:type="spellStart"/>
      <w:r w:rsidRPr="000F0D5C">
        <w:rPr>
          <w:color w:val="000000" w:themeColor="text1"/>
          <w:lang w:val="en-US"/>
        </w:rPr>
        <w:t>isofluorane</w:t>
      </w:r>
      <w:proofErr w:type="spellEnd"/>
      <w:r w:rsidRPr="000F0D5C">
        <w:rPr>
          <w:color w:val="000000" w:themeColor="text1"/>
          <w:lang w:val="en-US"/>
        </w:rPr>
        <w:t xml:space="preserve"> (1.5 to 2%) in 100% O</w:t>
      </w:r>
      <w:r w:rsidRPr="000F0D5C">
        <w:rPr>
          <w:color w:val="000000" w:themeColor="text1"/>
          <w:vertAlign w:val="subscript"/>
          <w:lang w:val="en-US"/>
        </w:rPr>
        <w:t>2</w:t>
      </w:r>
      <w:r w:rsidRPr="000F0D5C">
        <w:rPr>
          <w:color w:val="000000" w:themeColor="text1"/>
          <w:lang w:val="en-US"/>
        </w:rPr>
        <w:t xml:space="preserve"> and </w:t>
      </w:r>
      <w:proofErr w:type="spellStart"/>
      <w:r w:rsidRPr="000F0D5C">
        <w:rPr>
          <w:color w:val="000000" w:themeColor="text1"/>
          <w:lang w:val="en-US"/>
        </w:rPr>
        <w:t>butorfanol</w:t>
      </w:r>
      <w:proofErr w:type="spellEnd"/>
      <w:r w:rsidRPr="000F0D5C">
        <w:rPr>
          <w:color w:val="000000" w:themeColor="text1"/>
          <w:lang w:val="en-US"/>
        </w:rPr>
        <w:t xml:space="preserve"> (0.1 mg/kg I.V.) as</w:t>
      </w:r>
      <w:r w:rsidRPr="000F0D5C">
        <w:rPr>
          <w:b/>
          <w:color w:val="000000" w:themeColor="text1"/>
          <w:lang w:val="en-US"/>
        </w:rPr>
        <w:t xml:space="preserve"> </w:t>
      </w:r>
      <w:r w:rsidRPr="000F0D5C">
        <w:rPr>
          <w:color w:val="000000" w:themeColor="text1"/>
          <w:lang w:val="en-US"/>
        </w:rPr>
        <w:t xml:space="preserve">analgesic, and intubated to prevent aspiration in the event of regurgitation </w:t>
      </w:r>
      <w:r w:rsidRPr="000F0D5C">
        <w:rPr>
          <w:color w:val="000000" w:themeColor="text1"/>
          <w:lang w:val="en-US"/>
        </w:rPr>
        <w:fldChar w:fldCharType="begin" w:fldLock="1"/>
      </w:r>
      <w:r w:rsidRPr="000F0D5C">
        <w:rPr>
          <w:color w:val="000000" w:themeColor="text1"/>
          <w:lang w:val="en-US"/>
        </w:rPr>
        <w:instrText>ADDIN CSL_CITATION {"citationItems":[{"id":"ITEM-1","itemData":{"DOI":"10.17226/12910","ISBN":"978-0-309-15400-0","ISSN":"0023-6772","PMID":"21595115","abstract":"The purpose of the Guide for the Care and Use of Laboratory Animals (the Guide), as expressed in the charge to the Committee for the Update of the Guide, is to assist institutions in caring for and using animals in ways judged to be scientifically, technically, and humanely appropriate. The Guide is also intended to assist investigators in fulfilling their obligation to plan and conduct animal experiments in accord with the highest scientific, humane, and ethical principles. Recommendations in the Guide are based on published data, scientific principles, expert opinion, and experience with methods and practices that have proved to be consistent with both high-quality research and humane animal care and use. These recommendations should be used as a foundation for the development of a comprehensive animal care and use program, recognizing that the concept and application of performance standards, in accordance with goals, outcomes, and considerations defined in the Guide, is essential to this process.","author":[{"dropping-particle":"","family":"National Research Council","given":"","non-dropping-particle":"","parse-names":false,"suffix":""}],"container-title":"Guide for the Care and Use of Laboratory Animals","edition":"8th ed.","id":"ITEM-1","issue":"3","issued":{"date-parts":[["2011","12","27"]]},"number-of-pages":"267-268","publisher":"National Academies Press","publisher-place":"Washington (DC)","title":"Guide for the Care and Use of Laboratory Animals","type":"book","volume":"46"},"uris":["http://www.mendeley.com/documents/?uuid=4fb5c57d-fe27-4a24-8c7d-b2ae50b71cd0"]}],"mendeley":{"formattedCitation":"[23]","plainTextFormattedCitation":"[23]","previouslyFormattedCitation":"[23]"},"properties":{"noteIndex":0},"schema":"https://github.com/citation-style-language/schema/raw/master/csl-citation.json"}</w:instrText>
      </w:r>
      <w:r w:rsidRPr="000F0D5C">
        <w:rPr>
          <w:color w:val="000000" w:themeColor="text1"/>
          <w:lang w:val="en-US"/>
        </w:rPr>
        <w:fldChar w:fldCharType="separate"/>
      </w:r>
      <w:r w:rsidRPr="000F0D5C">
        <w:rPr>
          <w:noProof/>
          <w:color w:val="000000" w:themeColor="text1"/>
          <w:lang w:val="en-US"/>
        </w:rPr>
        <w:t>[23]</w:t>
      </w:r>
      <w:r w:rsidRPr="000F0D5C">
        <w:rPr>
          <w:color w:val="000000" w:themeColor="text1"/>
          <w:lang w:val="en-US"/>
        </w:rPr>
        <w:fldChar w:fldCharType="end"/>
      </w:r>
      <w:r w:rsidRPr="000F0D5C">
        <w:rPr>
          <w:color w:val="000000" w:themeColor="text1"/>
          <w:lang w:val="en-US"/>
        </w:rPr>
        <w:t xml:space="preserve">. Heart rate, blood pressure and respiration were monitored and hydration in all 3 groups was maintained with a continuous IV infusion of isotonic saline </w:t>
      </w:r>
      <w:r w:rsidRPr="000F0D5C">
        <w:rPr>
          <w:color w:val="000000" w:themeColor="text1"/>
          <w:lang w:val="en-US"/>
        </w:rPr>
        <w:fldChar w:fldCharType="begin" w:fldLock="1"/>
      </w:r>
      <w:r w:rsidRPr="000F0D5C">
        <w:rPr>
          <w:color w:val="000000" w:themeColor="text1"/>
          <w:lang w:val="en-US"/>
        </w:rPr>
        <w:instrText>ADDIN CSL_CITATION {"citationItems":[{"id":"ITEM-1","itemData":{"DOI":"10.17226/12910","ISBN":"978-0-309-15400-0","ISSN":"0023-6772","PMID":"21595115","abstract":"The purpose of the Guide for the Care and Use of Laboratory Animals (the Guide), as expressed in the charge to the Committee for the Update of the Guide, is to assist institutions in caring for and using animals in ways judged to be scientifically, technically, and humanely appropriate. The Guide is also intended to assist investigators in fulfilling their obligation to plan and conduct animal experiments in accord with the highest scientific, humane, and ethical principles. Recommendations in the Guide are based on published data, scientific principles, expert opinion, and experience with methods and practices that have proved to be consistent with both high-quality research and humane animal care and use. These recommendations should be used as a foundation for the development of a comprehensive animal care and use program, recognizing that the concept and application of performance standards, in accordance with goals, outcomes, and considerations defined in the Guide, is essential to this process.","author":[{"dropping-particle":"","family":"National Research Council","given":"","non-dropping-particle":"","parse-names":false,"suffix":""}],"container-title":"Guide for the Care and Use of Laboratory Animals","edition":"8th ed.","id":"ITEM-1","issue":"3","issued":{"date-parts":[["2011","12","27"]]},"number-of-pages":"267-268","publisher":"National Academies Press","publisher-place":"Washington (DC)","title":"Guide for the Care and Use of Laboratory Animals","type":"book","volume":"46"},"uris":["http://www.mendeley.com/documents/?uuid=4fb5c57d-fe27-4a24-8c7d-b2ae50b71cd0"]}],"mendeley":{"formattedCitation":"[23]","plainTextFormattedCitation":"[23]","previouslyFormattedCitation":"[23]"},"properties":{"noteIndex":0},"schema":"https://github.com/citation-style-language/schema/raw/master/csl-citation.json"}</w:instrText>
      </w:r>
      <w:r w:rsidRPr="000F0D5C">
        <w:rPr>
          <w:color w:val="000000" w:themeColor="text1"/>
          <w:lang w:val="en-US"/>
        </w:rPr>
        <w:fldChar w:fldCharType="separate"/>
      </w:r>
      <w:r w:rsidRPr="000F0D5C">
        <w:rPr>
          <w:noProof/>
          <w:color w:val="000000" w:themeColor="text1"/>
          <w:lang w:val="en-US"/>
        </w:rPr>
        <w:t>[23]</w:t>
      </w:r>
      <w:r w:rsidRPr="000F0D5C">
        <w:rPr>
          <w:color w:val="000000" w:themeColor="text1"/>
          <w:lang w:val="en-US"/>
        </w:rPr>
        <w:fldChar w:fldCharType="end"/>
      </w:r>
      <w:r w:rsidRPr="000F0D5C">
        <w:rPr>
          <w:color w:val="000000" w:themeColor="text1"/>
          <w:lang w:val="en-US"/>
        </w:rPr>
        <w:t xml:space="preserve">. In addition, Group 3 animals received replacement volume of saline equal to that of thoracic duct lymph removed. The jugular vein was cannulated for blood samples </w:t>
      </w:r>
      <w:r w:rsidRPr="000F0D5C">
        <w:rPr>
          <w:color w:val="000000" w:themeColor="text1"/>
          <w:lang w:val="en-US"/>
        </w:rPr>
        <w:fldChar w:fldCharType="begin" w:fldLock="1"/>
      </w:r>
      <w:r w:rsidRPr="000F0D5C">
        <w:rPr>
          <w:color w:val="000000" w:themeColor="text1"/>
          <w:lang w:val="en-US"/>
        </w:rPr>
        <w:instrText>ADDIN CSL_CITATION {"citationItems":[{"id":"ITEM-1","itemData":{"ISBN":"978-0-919087-50-7","author":[{"dropping-particle":"","family":"Canadian Council on Animal Care","given":"","non-dropping-particle":"","parse-names":false,"suffix":""}],"container-title":"CCAC., Ottawa, ON","id":"ITEM-1","issued":{"date-parts":[["2009"]]},"number-of-pages":"12-15","publisher":"Canadian Council on Animal Care","publisher-place":"Ottawa (ON)","title":"CCAC guidelines on: the care and use of farm animals in research, teaching and testing","type":"book"},"uris":["http://www.mendeley.com/documents/?uuid=d67ab9a5-2c96-4567-a15a-42d1f48dbf2a"]}],"mendeley":{"formattedCitation":"[21]","plainTextFormattedCitation":"[21]","previouslyFormattedCitation":"[21]"},"properties":{"noteIndex":0},"schema":"https://github.com/citation-style-language/schema/raw/master/csl-citation.json"}</w:instrText>
      </w:r>
      <w:r w:rsidRPr="000F0D5C">
        <w:rPr>
          <w:color w:val="000000" w:themeColor="text1"/>
          <w:lang w:val="en-US"/>
        </w:rPr>
        <w:fldChar w:fldCharType="separate"/>
      </w:r>
      <w:r w:rsidRPr="000F0D5C">
        <w:rPr>
          <w:noProof/>
          <w:color w:val="000000" w:themeColor="text1"/>
          <w:lang w:val="en-US"/>
        </w:rPr>
        <w:t>[21]</w:t>
      </w:r>
      <w:r w:rsidRPr="000F0D5C">
        <w:rPr>
          <w:color w:val="000000" w:themeColor="text1"/>
          <w:lang w:val="en-US"/>
        </w:rPr>
        <w:fldChar w:fldCharType="end"/>
      </w:r>
      <w:r w:rsidRPr="000F0D5C">
        <w:rPr>
          <w:color w:val="000000" w:themeColor="text1"/>
          <w:lang w:val="en-US"/>
        </w:rPr>
        <w:t xml:space="preserve"> and the cannula was flushed with heparin solution to avoid clotting. Rumenotomy was performed to avoid pasture bloat. In Group 3, Evans blue dye was injected SC in the left hindlimb to facilitate visualization and cannulation of the thoracic duct. Cannulation was achieved by an incision into the left neck with the head recumbent to identify the thoracic duct at its termination into the venous system. The duct was ligated just before entry into the vein to distend the vessel and a </w:t>
      </w:r>
      <w:proofErr w:type="gramStart"/>
      <w:r w:rsidRPr="000F0D5C">
        <w:rPr>
          <w:color w:val="000000" w:themeColor="text1"/>
          <w:lang w:val="en-US"/>
        </w:rPr>
        <w:t>22 gauge</w:t>
      </w:r>
      <w:proofErr w:type="gramEnd"/>
      <w:r w:rsidRPr="000F0D5C">
        <w:rPr>
          <w:color w:val="000000" w:themeColor="text1"/>
          <w:lang w:val="en-US"/>
        </w:rPr>
        <w:t xml:space="preserve"> angiocath (Becton Dickinson and Company, Mexico) was inserted and secured with suture for collection. After 6 hours, all animals were euthanized with intravenous pentobarbital </w:t>
      </w:r>
      <w:r w:rsidRPr="000F0D5C">
        <w:rPr>
          <w:color w:val="000000" w:themeColor="text1"/>
          <w:lang w:val="en-US"/>
        </w:rPr>
        <w:fldChar w:fldCharType="begin" w:fldLock="1"/>
      </w:r>
      <w:r w:rsidRPr="000F0D5C">
        <w:rPr>
          <w:color w:val="000000" w:themeColor="text1"/>
          <w:lang w:val="en-US"/>
        </w:rPr>
        <w:instrText>ADDIN CSL_CITATION {"citationItems":[{"id":"ITEM-1","itemData":{"DOI":"10.17226/12910","ISBN":"978-0-309-15400-0","ISSN":"0023-6772","PMID":"21595115","abstract":"The purpose of the Guide for the Care and Use of Laboratory Animals (the Guide), as expressed in the charge to the Committee for the Update of the Guide, is to assist institutions in caring for and using animals in ways judged to be scientifically, technically, and humanely appropriate. The Guide is also intended to assist investigators in fulfilling their obligation to plan and conduct animal experiments in accord with the highest scientific, humane, and ethical principles. Recommendations in the Guide are based on published data, scientific principles, expert opinion, and experience with methods and practices that have proved to be consistent with both high-quality research and humane animal care and use. These recommendations should be used as a foundation for the development of a comprehensive animal care and use program, recognizing that the concept and application of performance standards, in accordance with goals, outcomes, and considerations defined in the Guide, is essential to this process.","author":[{"dropping-particle":"","family":"National Research Council","given":"","non-dropping-particle":"","parse-names":false,"suffix":""}],"container-title":"Guide for the Care and Use of Laboratory Animals","edition":"8th ed.","id":"ITEM-1","issue":"3","issued":{"date-parts":[["2011","12","27"]]},"number-of-pages":"267-268","publisher":"National Academies Press","publisher-place":"Washington (DC)","title":"Guide for the Care and Use of Laboratory Animals","type":"book","volume":"46"},"uris":["http://www.mendeley.com/documents/?uuid=4fb5c57d-fe27-4a24-8c7d-b2ae50b71cd0"]},{"id":"ITEM-2","itemData":{"ISBN":"978-1-882691-21-0","ISSN":"1537-744X","abstract":"Vast areas of the Iberian Peninsula are covered by monocultures of the exotic tree Eucalyptus globulus. Given that (1) leaf litter produced in the riparian areas is the main energy source for small streams, and (2) trees differ in their nutrient content, chemical defenses, and physical attributes, eucalypt plantations have the potential to affect the biology of streams. Research teams from the University of Coimbra and the University of the Basque Country have been addressing the potential effects of eucalypt plantations at several levels of study. Here we review the main conclusions of these investigations. Eucalypt plantations produced less litter than some deciduous forests. However, there were marked differences in timing of litterfall: litter production peaked during autumn in deciduous forests, whereas in the eucalypt forests it tended to peak in summer and to be more evenly distributed throughout the year. Despite these differences, the average standing stock of organic matter was higher in the eucalypt than in the deciduous forest. This may be attributed to (1) the occurrence of spates or heavy rain in autumn, the period of maximum litter fall in deciduous forests, and (2) bark accumulation in eucalypt forests. Because of differences in leaf composition, the nutrient input in eucalypt forests seems to be lower than in deciduous forests. The rate of decomposition of eucalypt leaves was strongly dependent on nutrients in the water: in nutrient-poor waters it was slower than that of most other leaf species, whereas in nutrient-rich waters it can be as fast as alder--a fast-decaying species. The biomass and cumulative diversity of aquatic hyphomycetes colonizing leaves did not differ between eucalypt and other native leaf species, but fungal sporulation generally peaked 2 weeks later on eucalypt leaves. This lag disappeared when lipids (but not polyphenolics) were chemically removed from eucalypt leaves. Similarly, addition of eucalypt oils to culture media retarded or suppressed fungal growth. Streams bordered by Eucalyptus had lower diversity of fungal spores (but similar spore densities) in Portugal; less consistent patterns were found in similar experiments in Spain. Eucalyptus leaves proved to be poor food for shredders. Under laboratory conditions leaves of Eucalyptus ranked low in food selection experiments using native shredders. The same shredders failed to grow and died when fed exclusively eucalypt leaves. The removal of oils from eucalyp…","author":[{"dropping-particle":"","family":"Leary S, Underwood W, Anthony R","given":"Cartner S","non-dropping-particle":"","parse-names":false,"suffix":""}],"container-title":"American Veterinary Medical Association","editor":[{"dropping-particle":"","family":"Association","given":"American Veterinary Medical","non-dropping-particle":"","parse-names":false,"suffix":""}],"id":"ITEM-2","issue":"January","issued":{"date-parts":[["2013","4","30"]]},"number-of-pages":"98","publisher":"Elsevier","publisher-place":"Schaumburg (IL)","title":"AVMA Guidelines for the Euthanasia of Animals: 2013 Edition","type":"book"},"uris":["http://www.mendeley.com/documents/?uuid=55a387c0-0274-4702-acb8-aed2e05671d1"]}],"mendeley":{"formattedCitation":"[23, 24]","plainTextFormattedCitation":"[23, 24]","previouslyFormattedCitation":"[23, 24]"},"properties":{"noteIndex":0},"schema":"https://github.com/citation-style-language/schema/raw/master/csl-citation.json"}</w:instrText>
      </w:r>
      <w:r w:rsidRPr="000F0D5C">
        <w:rPr>
          <w:color w:val="000000" w:themeColor="text1"/>
          <w:lang w:val="en-US"/>
        </w:rPr>
        <w:fldChar w:fldCharType="separate"/>
      </w:r>
      <w:r w:rsidRPr="000F0D5C">
        <w:rPr>
          <w:noProof/>
          <w:color w:val="000000" w:themeColor="text1"/>
          <w:lang w:val="en-US"/>
        </w:rPr>
        <w:t>[23, 24]</w:t>
      </w:r>
      <w:r w:rsidRPr="000F0D5C">
        <w:rPr>
          <w:color w:val="000000" w:themeColor="text1"/>
          <w:lang w:val="en-US"/>
        </w:rPr>
        <w:fldChar w:fldCharType="end"/>
      </w:r>
      <w:r w:rsidRPr="000F0D5C">
        <w:rPr>
          <w:color w:val="000000" w:themeColor="text1"/>
          <w:lang w:val="en-US"/>
        </w:rPr>
        <w:t xml:space="preserve">. Subjects in Group 1, which did not involve the use of </w:t>
      </w:r>
      <w:r w:rsidRPr="000F0D5C">
        <w:rPr>
          <w:color w:val="000000" w:themeColor="text1"/>
          <w:lang w:val="en-US"/>
        </w:rPr>
        <w:lastRenderedPageBreak/>
        <w:t xml:space="preserve">venom, were assessed without anesthesia or surgery </w:t>
      </w:r>
      <w:r w:rsidRPr="000F0D5C">
        <w:rPr>
          <w:color w:val="000000" w:themeColor="text1"/>
          <w:lang w:val="en-US"/>
        </w:rPr>
        <w:fldChar w:fldCharType="begin" w:fldLock="1"/>
      </w:r>
      <w:r w:rsidRPr="000F0D5C">
        <w:rPr>
          <w:color w:val="000000" w:themeColor="text1"/>
          <w:lang w:val="en-US"/>
        </w:rPr>
        <w:instrText>ADDIN CSL_CITATION {"citationItems":[{"id":"ITEM-1","itemData":{"DOI":"10.17226/12910","ISBN":"978-0-309-15400-0","ISSN":"0023-6772","PMID":"21595115","abstract":"The purpose of the Guide for the Care and Use of Laboratory Animals (the Guide), as expressed in the charge to the Committee for the Update of the Guide, is to assist institutions in caring for and using animals in ways judged to be scientifically, technically, and humanely appropriate. The Guide is also intended to assist investigators in fulfilling their obligation to plan and conduct animal experiments in accord with the highest scientific, humane, and ethical principles. Recommendations in the Guide are based on published data, scientific principles, expert opinion, and experience with methods and practices that have proved to be consistent with both high-quality research and humane animal care and use. These recommendations should be used as a foundation for the development of a comprehensive animal care and use program, recognizing that the concept and application of performance standards, in accordance with goals, outcomes, and considerations defined in the Guide, is essential to this process.","author":[{"dropping-particle":"","family":"National Research Council","given":"","non-dropping-particle":"","parse-names":false,"suffix":""}],"container-title":"Guide for the Care and Use of Laboratory Animals","edition":"8th ed.","id":"ITEM-1","issue":"3","issued":{"date-parts":[["2011","12","27"]]},"number-of-pages":"267-268","publisher":"National Academies Press","publisher-place":"Washington (DC)","title":"Guide for the Care and Use of Laboratory Animals","type":"book","volume":"46"},"uris":["http://www.mendeley.com/documents/?uuid=4fb5c57d-fe27-4a24-8c7d-b2ae50b71cd0"]}],"mendeley":{"formattedCitation":"[23]","plainTextFormattedCitation":"[23]","previouslyFormattedCitation":"[23]"},"properties":{"noteIndex":0},"schema":"https://github.com/citation-style-language/schema/raw/master/csl-citation.json"}</w:instrText>
      </w:r>
      <w:r w:rsidRPr="000F0D5C">
        <w:rPr>
          <w:color w:val="000000" w:themeColor="text1"/>
          <w:lang w:val="en-US"/>
        </w:rPr>
        <w:fldChar w:fldCharType="separate"/>
      </w:r>
      <w:r w:rsidRPr="000F0D5C">
        <w:rPr>
          <w:noProof/>
          <w:color w:val="000000" w:themeColor="text1"/>
          <w:lang w:val="en-US"/>
        </w:rPr>
        <w:t>[23]</w:t>
      </w:r>
      <w:r w:rsidRPr="000F0D5C">
        <w:rPr>
          <w:color w:val="000000" w:themeColor="text1"/>
          <w:lang w:val="en-US"/>
        </w:rPr>
        <w:fldChar w:fldCharType="end"/>
      </w:r>
      <w:r w:rsidRPr="000F0D5C">
        <w:rPr>
          <w:color w:val="000000" w:themeColor="text1"/>
          <w:lang w:val="en-US"/>
        </w:rPr>
        <w:t xml:space="preserve"> and were donated to a farm after the procedure.</w:t>
      </w:r>
    </w:p>
    <w:p w:rsidR="00FE0317" w:rsidRPr="000F0D5C" w:rsidRDefault="00FE0317" w:rsidP="00FE0317">
      <w:pPr>
        <w:pStyle w:val="Ttulo2"/>
        <w:rPr>
          <w:lang w:val="en-US"/>
        </w:rPr>
      </w:pPr>
      <w:r w:rsidRPr="000F0D5C">
        <w:rPr>
          <w:lang w:val="en-US"/>
        </w:rPr>
        <w:t xml:space="preserve">Determination of </w:t>
      </w:r>
      <w:bookmarkStart w:id="0" w:name="_GoBack"/>
      <w:bookmarkEnd w:id="0"/>
      <w:r w:rsidRPr="000F0D5C">
        <w:rPr>
          <w:highlight w:val="yellow"/>
          <w:lang w:val="en-US"/>
        </w:rPr>
        <w:t xml:space="preserve">Micrurus </w:t>
      </w:r>
      <w:proofErr w:type="spellStart"/>
      <w:r w:rsidRPr="000F0D5C">
        <w:rPr>
          <w:highlight w:val="yellow"/>
          <w:lang w:val="en-US"/>
        </w:rPr>
        <w:t>fulvius</w:t>
      </w:r>
      <w:proofErr w:type="spellEnd"/>
      <w:r w:rsidRPr="000F0D5C">
        <w:rPr>
          <w:lang w:val="en-US"/>
        </w:rPr>
        <w:t xml:space="preserve"> venom concentration by sandwich immunoassay</w:t>
      </w:r>
    </w:p>
    <w:p w:rsidR="00FE0317" w:rsidRPr="000F0D5C" w:rsidRDefault="00FE0317" w:rsidP="00956821">
      <w:pPr>
        <w:autoSpaceDE w:val="0"/>
        <w:autoSpaceDN w:val="0"/>
        <w:adjustRightInd w:val="0"/>
        <w:spacing w:line="480" w:lineRule="auto"/>
        <w:rPr>
          <w:rFonts w:ascii="Times New Roman" w:hAnsi="Times New Roman" w:cs="Times New Roman"/>
          <w:sz w:val="24"/>
          <w:szCs w:val="24"/>
          <w:lang w:val="en-US"/>
        </w:rPr>
      </w:pPr>
      <w:r w:rsidRPr="000F0D5C">
        <w:rPr>
          <w:rFonts w:ascii="Times New Roman" w:hAnsi="Times New Roman" w:cs="Times New Roman"/>
          <w:sz w:val="24"/>
          <w:szCs w:val="24"/>
          <w:lang w:val="en-US"/>
        </w:rPr>
        <w:t>Venom concentrations in lymph, serum, urine, and tissues were determined by sandwich immunoassay as described previously. Briefly,</w:t>
      </w:r>
      <w:r w:rsidRPr="000F0D5C">
        <w:rPr>
          <w:rFonts w:ascii="Times New Roman" w:hAnsi="Times New Roman" w:cs="Times New Roman"/>
          <w:bCs/>
          <w:iCs/>
          <w:sz w:val="24"/>
          <w:szCs w:val="24"/>
          <w:lang w:val="en-US"/>
        </w:rPr>
        <w:t xml:space="preserve"> immunopurified antibodies were obtained by passing rabbit immune serum against whole </w:t>
      </w:r>
      <w:r w:rsidRPr="000F0D5C">
        <w:rPr>
          <w:rFonts w:ascii="Times New Roman" w:hAnsi="Times New Roman" w:cs="Times New Roman"/>
          <w:bCs/>
          <w:i/>
          <w:iCs/>
          <w:sz w:val="24"/>
          <w:szCs w:val="24"/>
          <w:lang w:val="en-US"/>
        </w:rPr>
        <w:t xml:space="preserve">M. </w:t>
      </w:r>
      <w:proofErr w:type="spellStart"/>
      <w:r w:rsidRPr="000F0D5C">
        <w:rPr>
          <w:rFonts w:ascii="Times New Roman" w:hAnsi="Times New Roman" w:cs="Times New Roman"/>
          <w:bCs/>
          <w:i/>
          <w:iCs/>
          <w:sz w:val="24"/>
          <w:szCs w:val="24"/>
          <w:lang w:val="en-US"/>
        </w:rPr>
        <w:t>fulvius</w:t>
      </w:r>
      <w:proofErr w:type="spellEnd"/>
      <w:r w:rsidRPr="000F0D5C">
        <w:rPr>
          <w:rFonts w:ascii="Times New Roman" w:hAnsi="Times New Roman" w:cs="Times New Roman"/>
          <w:bCs/>
          <w:iCs/>
          <w:sz w:val="24"/>
          <w:szCs w:val="24"/>
          <w:lang w:val="en-US"/>
        </w:rPr>
        <w:t xml:space="preserve"> venom through a Sepharose-4B column with covalently attached (</w:t>
      </w:r>
      <w:proofErr w:type="spellStart"/>
      <w:r w:rsidRPr="000F0D5C">
        <w:rPr>
          <w:rFonts w:ascii="Times New Roman" w:hAnsi="Times New Roman" w:cs="Times New Roman"/>
          <w:bCs/>
          <w:iCs/>
          <w:sz w:val="24"/>
          <w:szCs w:val="24"/>
          <w:lang w:val="en-US"/>
        </w:rPr>
        <w:t>CNBr</w:t>
      </w:r>
      <w:proofErr w:type="spellEnd"/>
      <w:r w:rsidRPr="000F0D5C">
        <w:rPr>
          <w:rFonts w:ascii="Times New Roman" w:hAnsi="Times New Roman" w:cs="Times New Roman"/>
          <w:bCs/>
          <w:iCs/>
          <w:sz w:val="24"/>
          <w:szCs w:val="24"/>
          <w:lang w:val="en-US"/>
        </w:rPr>
        <w:t xml:space="preserve"> chemistry) whole </w:t>
      </w:r>
      <w:r w:rsidRPr="000F0D5C">
        <w:rPr>
          <w:rFonts w:ascii="Times New Roman" w:hAnsi="Times New Roman" w:cs="Times New Roman"/>
          <w:bCs/>
          <w:i/>
          <w:iCs/>
          <w:sz w:val="24"/>
          <w:szCs w:val="24"/>
          <w:lang w:val="en-US"/>
        </w:rPr>
        <w:t>M.</w:t>
      </w:r>
      <w:r w:rsidRPr="000F0D5C">
        <w:rPr>
          <w:rFonts w:ascii="Times New Roman" w:hAnsi="Times New Roman" w:cs="Times New Roman"/>
          <w:i/>
          <w:sz w:val="24"/>
          <w:szCs w:val="24"/>
          <w:lang w:val="en-US"/>
        </w:rPr>
        <w:t xml:space="preserve"> </w:t>
      </w:r>
      <w:proofErr w:type="spellStart"/>
      <w:r w:rsidRPr="000F0D5C">
        <w:rPr>
          <w:rFonts w:ascii="Times New Roman" w:hAnsi="Times New Roman" w:cs="Times New Roman"/>
          <w:i/>
          <w:sz w:val="24"/>
          <w:szCs w:val="24"/>
          <w:lang w:val="en-US"/>
        </w:rPr>
        <w:t>fulvius</w:t>
      </w:r>
      <w:proofErr w:type="spellEnd"/>
      <w:r w:rsidRPr="000F0D5C">
        <w:rPr>
          <w:rFonts w:ascii="Times New Roman" w:hAnsi="Times New Roman" w:cs="Times New Roman"/>
          <w:i/>
          <w:sz w:val="24"/>
          <w:szCs w:val="24"/>
          <w:lang w:val="en-US"/>
        </w:rPr>
        <w:t xml:space="preserve"> </w:t>
      </w:r>
      <w:r w:rsidRPr="000F0D5C">
        <w:rPr>
          <w:rFonts w:ascii="Times New Roman" w:hAnsi="Times New Roman" w:cs="Times New Roman"/>
          <w:sz w:val="24"/>
          <w:szCs w:val="24"/>
          <w:lang w:val="en-US"/>
        </w:rPr>
        <w:t>venom</w:t>
      </w:r>
      <w:r w:rsidRPr="000F0D5C">
        <w:rPr>
          <w:rFonts w:ascii="Times New Roman" w:hAnsi="Times New Roman" w:cs="Times New Roman"/>
          <w:bCs/>
          <w:iCs/>
          <w:sz w:val="24"/>
          <w:szCs w:val="24"/>
          <w:lang w:val="en-US"/>
        </w:rPr>
        <w:t>. The resulting antibodies were used both as capture (non-</w:t>
      </w:r>
      <w:proofErr w:type="spellStart"/>
      <w:r w:rsidRPr="000F0D5C">
        <w:rPr>
          <w:rFonts w:ascii="Times New Roman" w:hAnsi="Times New Roman" w:cs="Times New Roman"/>
          <w:bCs/>
          <w:iCs/>
          <w:sz w:val="24"/>
          <w:szCs w:val="24"/>
          <w:lang w:val="en-US"/>
        </w:rPr>
        <w:t>biotinilated</w:t>
      </w:r>
      <w:proofErr w:type="spellEnd"/>
      <w:r w:rsidRPr="000F0D5C">
        <w:rPr>
          <w:rFonts w:ascii="Times New Roman" w:hAnsi="Times New Roman" w:cs="Times New Roman"/>
          <w:bCs/>
          <w:iCs/>
          <w:sz w:val="24"/>
          <w:szCs w:val="24"/>
          <w:lang w:val="en-US"/>
        </w:rPr>
        <w:t>) and as detection (</w:t>
      </w:r>
      <w:proofErr w:type="spellStart"/>
      <w:r w:rsidRPr="000F0D5C">
        <w:rPr>
          <w:rFonts w:ascii="Times New Roman" w:hAnsi="Times New Roman" w:cs="Times New Roman"/>
          <w:bCs/>
          <w:iCs/>
          <w:sz w:val="24"/>
          <w:szCs w:val="24"/>
          <w:lang w:val="en-US"/>
        </w:rPr>
        <w:t>biotinilated</w:t>
      </w:r>
      <w:proofErr w:type="spellEnd"/>
      <w:r w:rsidRPr="000F0D5C">
        <w:rPr>
          <w:rFonts w:ascii="Times New Roman" w:hAnsi="Times New Roman" w:cs="Times New Roman"/>
          <w:bCs/>
          <w:iCs/>
          <w:sz w:val="24"/>
          <w:szCs w:val="24"/>
          <w:lang w:val="en-US"/>
        </w:rPr>
        <w:t xml:space="preserve">) antibodies. The signal was developed with Streptavidin-Peroxidase conjugate and ABTS. </w:t>
      </w:r>
      <w:r w:rsidRPr="000F0D5C">
        <w:rPr>
          <w:rFonts w:ascii="Times New Roman" w:hAnsi="Times New Roman" w:cs="Times New Roman"/>
          <w:sz w:val="24"/>
          <w:szCs w:val="24"/>
          <w:lang w:val="en-US"/>
        </w:rPr>
        <w:t xml:space="preserve"> The standard curve had a lower limit of quantification of 1.3 ± 0.4 ng/ml.  This assay was able to detect all components of venom that can be detectable by SDS-PAGE and RP-HPLC, without discrimination between PLA</w:t>
      </w:r>
      <w:r w:rsidRPr="000F0D5C">
        <w:rPr>
          <w:rFonts w:ascii="Times New Roman" w:hAnsi="Times New Roman" w:cs="Times New Roman"/>
          <w:sz w:val="24"/>
          <w:szCs w:val="24"/>
          <w:vertAlign w:val="subscript"/>
          <w:lang w:val="en-US"/>
        </w:rPr>
        <w:t xml:space="preserve">2 </w:t>
      </w:r>
      <w:r w:rsidRPr="000F0D5C">
        <w:rPr>
          <w:rFonts w:ascii="Times New Roman" w:hAnsi="Times New Roman" w:cs="Times New Roman"/>
          <w:sz w:val="24"/>
          <w:szCs w:val="24"/>
          <w:lang w:val="en-US"/>
        </w:rPr>
        <w:t>and other proteins contained in the venom</w:t>
      </w:r>
      <w:r w:rsidRPr="000F0D5C">
        <w:rPr>
          <w:rFonts w:ascii="Times New Roman" w:hAnsi="Times New Roman" w:cs="Times New Roman"/>
          <w:sz w:val="24"/>
          <w:szCs w:val="24"/>
          <w:lang w:val="en-US"/>
        </w:rPr>
        <w:fldChar w:fldCharType="begin" w:fldLock="1"/>
      </w:r>
      <w:r w:rsidRPr="000F0D5C">
        <w:rPr>
          <w:rFonts w:ascii="Times New Roman" w:hAnsi="Times New Roman" w:cs="Times New Roman"/>
          <w:sz w:val="24"/>
          <w:szCs w:val="24"/>
          <w:lang w:val="en-US"/>
        </w:rPr>
        <w:instrText>ADDIN CSL_CITATION {"citationItems":[{"id":"ITEM-1","itemData":{"ISBN":"0024-7766 (Print)\\r0024-7766","ISSN":"0024-7766","PMID":"23700761","abstract":"The contribution of the lymphatic system to the absorption and systemic bioavailability of Micrurus fulvius venom after subcutaneous (SC) administration was assessed using a central lymph-cannulated sheep model. Micrurus fulvius venom was administered either by intravenous bolus (IV) or subcutaneous injection (SC) in 12 sheep with and without thoracic duct cannulation and drainage. Venom concentration in serum and lymph was determined by a sandwich enzyme-linked immunosorbent assay (ELISA) in samples collected over a 6-hour period and in tissues harvested at the end of the experiment. Pharmacokinetic parameters were determined by a non-compartmental analysis. In the lymphatic cannulated group, over the 6 hours after the venom was administered, 69% of administered dose was accounted for in blood (45%) and lymph (25%). Negligible levels of venom were detected in organs and urine implying that the steady state observed after SC administration is maintained by a slow absorption process. Comparison of kinetics of the thoracic duct cannulated and non-cannulated groups showed that lymphatic absorption contributed in an important way to maintenance of this steady state. These results show that the limiting process in the pharmacokinetics of Micrurus fulvius venom following SC administration is absorption, and that the lymphatic system plays a key role in this process.","author":[{"dropping-particle":"","family":"Paniagua","given":"D","non-dropping-particle":"","parse-names":false,"suffix":""},{"dropping-particle":"","family":"Jiménez","given":"L","non-dropping-particle":"","parse-names":false,"suffix":""},{"dropping-particle":"","family":"Romero","given":"C","non-dropping-particle":"","parse-names":false,"suffix":""},{"dropping-particle":"","family":"Vergara","given":"I","non-dropping-particle":"","parse-names":false,"suffix":""},{"dropping-particle":"","family":"Calderón","given":"A","non-dropping-particle":"","parse-names":false,"suffix":""},{"dropping-particle":"","family":"Benard","given":"M","non-dropping-particle":"","parse-names":false,"suffix":""},{"dropping-particle":"","family":"Bernas","given":"M J","non-dropping-particle":"","parse-names":false,"suffix":""},{"dropping-particle":"","family":"Rilo","given":"H","non-dropping-particle":"","parse-names":false,"suffix":""},{"dropping-particle":"","family":"Roodt","given":"A","non-dropping-particle":"de","parse-names":false,"suffix":""},{"dropping-particle":"","family":"Suze","given":"G","non-dropping-particle":"D'","parse-names":false,"suffix":""},{"dropping-particle":"","family":"Witte","given":"M H","non-dropping-particle":"","parse-names":false,"suffix":""},{"dropping-particle":"","family":"Boyer","given":"L","non-dropping-particle":"","parse-names":false,"suffix":""},{"dropping-particle":"","family":"Alagón","given":"A","non-dropping-particle":"","parse-names":false,"suffix":""}],"container-title":"Lymphology","id":"ITEM-1","issue":"4","issued":{"date-parts":[["2012","12"]]},"page":"144-53","title":"Lymphatic route of transport and pharmacokinetics of Micrurus fulvius (coral snake) venom in sheep.","type":"article-journal","volume":"45"},"uris":["http://www.mendeley.com/documents/?uuid=99010b5d-6c5d-3b7d-b032-ee7cdfdd6427"]}],"mendeley":{"formattedCitation":"[8]","plainTextFormattedCitation":"[8]","previouslyFormattedCitation":"[8]"},"properties":{"noteIndex":0},"schema":"https://github.com/citation-style-language/schema/raw/master/csl-citation.json"}</w:instrText>
      </w:r>
      <w:r w:rsidRPr="000F0D5C">
        <w:rPr>
          <w:rFonts w:ascii="Times New Roman" w:hAnsi="Times New Roman" w:cs="Times New Roman"/>
          <w:sz w:val="24"/>
          <w:szCs w:val="24"/>
          <w:lang w:val="en-US"/>
        </w:rPr>
        <w:fldChar w:fldCharType="separate"/>
      </w:r>
      <w:r w:rsidRPr="000F0D5C">
        <w:rPr>
          <w:rFonts w:ascii="Times New Roman" w:hAnsi="Times New Roman" w:cs="Times New Roman"/>
          <w:noProof/>
          <w:sz w:val="24"/>
          <w:szCs w:val="24"/>
          <w:lang w:val="en-US"/>
        </w:rPr>
        <w:t>[8]</w:t>
      </w:r>
      <w:r w:rsidRPr="000F0D5C">
        <w:rPr>
          <w:rFonts w:ascii="Times New Roman" w:hAnsi="Times New Roman" w:cs="Times New Roman"/>
          <w:sz w:val="24"/>
          <w:szCs w:val="24"/>
          <w:lang w:val="en-US"/>
        </w:rPr>
        <w:fldChar w:fldCharType="end"/>
      </w:r>
      <w:r w:rsidRPr="000F0D5C">
        <w:rPr>
          <w:rFonts w:ascii="Times New Roman" w:hAnsi="Times New Roman" w:cs="Times New Roman"/>
          <w:sz w:val="24"/>
          <w:szCs w:val="24"/>
          <w:lang w:val="en-US"/>
        </w:rPr>
        <w:t>.</w:t>
      </w:r>
    </w:p>
    <w:p w:rsidR="00FE0317" w:rsidRPr="000F0D5C" w:rsidRDefault="00FE0317" w:rsidP="00FE0317">
      <w:pPr>
        <w:pStyle w:val="Ttulo2"/>
        <w:rPr>
          <w:lang w:val="en-US"/>
        </w:rPr>
      </w:pPr>
      <w:r w:rsidRPr="000F0D5C">
        <w:rPr>
          <w:lang w:val="en-US"/>
        </w:rPr>
        <w:t>Determination of AV concentration by sandwich immunoassay</w:t>
      </w:r>
    </w:p>
    <w:p w:rsidR="00FE0317" w:rsidRPr="000F0D5C" w:rsidRDefault="00FE0317" w:rsidP="00FE0317">
      <w:pPr>
        <w:pStyle w:val="Paragraph"/>
        <w:rPr>
          <w:lang w:val="en-US"/>
        </w:rPr>
      </w:pPr>
      <w:r w:rsidRPr="000F0D5C">
        <w:rPr>
          <w:lang w:val="en-US"/>
        </w:rPr>
        <w:t xml:space="preserve">AV concentrations in lymph, serum, urine, and tissues were determined using a sandwich immunoassay. Briefly, </w:t>
      </w:r>
      <w:proofErr w:type="spellStart"/>
      <w:r w:rsidRPr="000F0D5C">
        <w:rPr>
          <w:lang w:val="en-US"/>
        </w:rPr>
        <w:t>Maxisorp</w:t>
      </w:r>
      <w:proofErr w:type="spellEnd"/>
      <w:r w:rsidRPr="000F0D5C">
        <w:rPr>
          <w:lang w:val="en-US"/>
        </w:rPr>
        <w:t xml:space="preserve"> (NUNC Inc., USA) 96-well plates were coated with immunopurified polyclonal antibodies from serum of sheep hyperimmunized against </w:t>
      </w:r>
      <w:r w:rsidRPr="000F0D5C">
        <w:rPr>
          <w:iCs/>
          <w:lang w:val="en-US"/>
        </w:rPr>
        <w:t>horse F(ab´)</w:t>
      </w:r>
      <w:r w:rsidRPr="000F0D5C">
        <w:rPr>
          <w:iCs/>
          <w:vertAlign w:val="subscript"/>
          <w:lang w:val="en-US"/>
        </w:rPr>
        <w:t>2</w:t>
      </w:r>
      <w:r w:rsidRPr="000F0D5C">
        <w:rPr>
          <w:lang w:val="en-US"/>
        </w:rPr>
        <w:t>. A 0.5% gelatin solution was applied as the blocking solution. For detection, commercial rabbit antibodies against horse F(ab´)</w:t>
      </w:r>
      <w:r w:rsidRPr="000F0D5C">
        <w:rPr>
          <w:vertAlign w:val="subscript"/>
          <w:lang w:val="en-US"/>
        </w:rPr>
        <w:t>2</w:t>
      </w:r>
      <w:r w:rsidRPr="000F0D5C">
        <w:rPr>
          <w:lang w:val="en-US"/>
        </w:rPr>
        <w:t xml:space="preserve"> peroxidase conjugate were </w:t>
      </w:r>
      <w:proofErr w:type="gramStart"/>
      <w:r w:rsidRPr="000F0D5C">
        <w:rPr>
          <w:lang w:val="en-US"/>
        </w:rPr>
        <w:t>used</w:t>
      </w:r>
      <w:proofErr w:type="gramEnd"/>
      <w:r w:rsidRPr="000F0D5C">
        <w:rPr>
          <w:lang w:val="en-US"/>
        </w:rPr>
        <w:t xml:space="preserve"> and the assay was revealed with ABTS. For quantification, a standard curve was established using 1:2 serial dilutions, starting with an AV concentration of 3 µg/ml. The standard curve had a lower limit of quantification of 0.36 (0.08) µg/ml.</w:t>
      </w:r>
    </w:p>
    <w:p w:rsidR="00FE0317" w:rsidRPr="000F0D5C" w:rsidRDefault="00FE0317" w:rsidP="00FE0317">
      <w:pPr>
        <w:pStyle w:val="Ttulo2"/>
        <w:rPr>
          <w:lang w:val="en-US"/>
        </w:rPr>
      </w:pPr>
      <w:r w:rsidRPr="000F0D5C">
        <w:rPr>
          <w:lang w:val="en-US"/>
        </w:rPr>
        <w:lastRenderedPageBreak/>
        <w:t xml:space="preserve">Determination of concentration by sandwich immunoassay of 3FTxs from </w:t>
      </w:r>
      <w:r w:rsidRPr="000F0D5C">
        <w:rPr>
          <w:highlight w:val="yellow"/>
          <w:lang w:val="en-US"/>
        </w:rPr>
        <w:t xml:space="preserve">Micrurus </w:t>
      </w:r>
      <w:proofErr w:type="spellStart"/>
      <w:r w:rsidRPr="000F0D5C">
        <w:rPr>
          <w:highlight w:val="yellow"/>
          <w:lang w:val="en-US"/>
        </w:rPr>
        <w:t>fulvius</w:t>
      </w:r>
      <w:proofErr w:type="spellEnd"/>
      <w:r w:rsidRPr="000F0D5C">
        <w:rPr>
          <w:lang w:val="en-US"/>
        </w:rPr>
        <w:t xml:space="preserve"> venom </w:t>
      </w:r>
    </w:p>
    <w:p w:rsidR="00FE0317" w:rsidRPr="000F0D5C" w:rsidRDefault="00FE0317" w:rsidP="00FE0317">
      <w:pPr>
        <w:pStyle w:val="Paragraph"/>
        <w:rPr>
          <w:bCs/>
          <w:iCs/>
          <w:lang w:val="en-US"/>
        </w:rPr>
      </w:pPr>
      <w:r w:rsidRPr="000F0D5C">
        <w:rPr>
          <w:bCs/>
          <w:iCs/>
          <w:lang w:val="en-US"/>
        </w:rPr>
        <w:t xml:space="preserve">A sandwich immunoassay for non-toxic 3FTx of </w:t>
      </w:r>
      <w:r w:rsidRPr="000F0D5C">
        <w:rPr>
          <w:bCs/>
          <w:i/>
          <w:iCs/>
          <w:lang w:val="en-US"/>
        </w:rPr>
        <w:t xml:space="preserve">Micrurus </w:t>
      </w:r>
      <w:proofErr w:type="spellStart"/>
      <w:r w:rsidRPr="000F0D5C">
        <w:rPr>
          <w:bCs/>
          <w:i/>
          <w:iCs/>
          <w:lang w:val="en-US"/>
        </w:rPr>
        <w:t>fulvius</w:t>
      </w:r>
      <w:proofErr w:type="spellEnd"/>
      <w:r w:rsidRPr="000F0D5C">
        <w:rPr>
          <w:bCs/>
          <w:iCs/>
          <w:lang w:val="en-US"/>
        </w:rPr>
        <w:t xml:space="preserve"> venom</w:t>
      </w:r>
      <w:r w:rsidRPr="000F0D5C">
        <w:rPr>
          <w:i/>
          <w:lang w:val="en-US"/>
        </w:rPr>
        <w:t xml:space="preserve"> </w:t>
      </w:r>
      <w:r w:rsidRPr="000F0D5C">
        <w:rPr>
          <w:lang w:val="en-US"/>
        </w:rPr>
        <w:fldChar w:fldCharType="begin" w:fldLock="1"/>
      </w:r>
      <w:r w:rsidRPr="000F0D5C">
        <w:rPr>
          <w:lang w:val="en-US"/>
        </w:rPr>
        <w:instrText>ADDIN CSL_CITATION {"citationItems":[{"id":"ITEM-1","itemData":{"DOI":"10.1016/j.jprot.2014.02.027","ISBN":"1876-7737 (Electronic)","ISSN":"1876-7737","PMID":"24613619","abstract":"UNLABELLED Here we show for the first time that the venom from an elapid (Micrurus fulvius) contains three finger toxin (3FTxs) peptides with low toxicity but high content of lethal phospholipases A2 (PLA2). The intravenous venom LD50 in mice was 0.3μg/g. Fractionation on a C18 column yielded 22 fractions; in terms of abundance, 58.3% of them were components of 13-14kDa and 24.9% were molecules of 6-7kDa. Two fractions with PLA2 activity represented 33.4% of the whole venom and were the most lethal fractions. Fractions with low molecular mass (&lt;7000Da) partially and reversibly blocked the nicotinic acetylcholine receptor (nAChR), with the exception of one that blocked it completely. The fraction that blocked 100% contained two protein species whose dose-response was determined; the IC50s were 13±1 and 9.5±0.3nM. Despite the apparent effect on nAChR none of the low molecular mass fractions were lethal in mice, at concentrations of 1μg/g. From 2D-PAGE and LC-MS/MS, we identified fourteen species of PLA2, four protein species of C-type lectin, three zinc metalloproteinases, one phosphodiesterase and one 3FTx. The N-terminal amino acid sequence of fractions with biological interest was obtained. BIOLOGICAL SIGNIFICANCE In contrast with coral snake venoms from South America, M. fulvius has minor amounts of low molecular mass components, but high content of PLA2, which is responsible for the venom lethality of this species. The results reported here contribute to better understanding of envenomation development and to improve antivenom design and production. These findings break from the paradigm that neurotoxicity caused by Micrurus venoms is mainly attributable to 3FTx neurotoxins and encourage future studies on Micrurus evolution and venom specialization. This article is part of a Special Issue entitled Non-model organisms.","author":[{"dropping-particle":"","family":"Vergara","given":"Irene","non-dropping-particle":"","parse-names":false,"suffix":""},{"dropping-particle":"","family":"Pedraza-Escalona","given":"Martha","non-dropping-particle":"","parse-names":false,"suffix":""},{"dropping-particle":"","family":"Paniagua","given":"Dayanira","non-dropping-particle":"","parse-names":false,"suffix":""},{"dropping-particle":"","family":"Restano-Cassulini","given":"Rita","non-dropping-particle":"","parse-names":false,"suffix":""},{"dropping-particle":"","family":"Zamudio","given":"Fernando","non-dropping-particle":"","parse-names":false,"suffix":""},{"dropping-particle":"","family":"Batista","given":"Cesar V F","non-dropping-particle":"","parse-names":false,"suffix":""},{"dropping-particle":"","family":"Possani","given":"Lourival D.","non-dropping-particle":"","parse-names":false,"suffix":""},{"dropping-particle":"","family":"Alagón","given":"Alejandro","non-dropping-particle":"","parse-names":false,"suffix":""}],"container-title":"Journal of proteomics","id":"ITEM-1","issued":{"date-parts":[["2014","6","13"]]},"page":"295-306","publisher":"Elsevier B.V.","title":"Eastern coral snake Micrurus fulvius venom toxicity in mice is mainly determined by neurotoxic phospholipases A2.","type":"article-journal","volume":"105"},"uris":["http://www.mendeley.com/documents/?uuid=bef70982-7190-45af-ad60-f3d78becd3c6"]}],"mendeley":{"formattedCitation":"[1]","plainTextFormattedCitation":"[1]","previouslyFormattedCitation":"[1]"},"properties":{"noteIndex":0},"schema":"https://github.com/citation-style-language/schema/raw/master/csl-citation.json"}</w:instrText>
      </w:r>
      <w:r w:rsidRPr="000F0D5C">
        <w:rPr>
          <w:lang w:val="en-US"/>
        </w:rPr>
        <w:fldChar w:fldCharType="separate"/>
      </w:r>
      <w:r w:rsidRPr="000F0D5C">
        <w:rPr>
          <w:noProof/>
          <w:lang w:val="en-US"/>
        </w:rPr>
        <w:t>[1]</w:t>
      </w:r>
      <w:r w:rsidRPr="000F0D5C">
        <w:rPr>
          <w:lang w:val="en-US"/>
        </w:rPr>
        <w:fldChar w:fldCharType="end"/>
      </w:r>
      <w:r w:rsidRPr="000F0D5C">
        <w:rPr>
          <w:bCs/>
          <w:iCs/>
          <w:lang w:val="en-US"/>
        </w:rPr>
        <w:t xml:space="preserve"> in ovine serum samples was developed </w:t>
      </w:r>
      <w:r w:rsidRPr="000F0D5C">
        <w:rPr>
          <w:lang w:val="en-US"/>
        </w:rPr>
        <w:fldChar w:fldCharType="begin" w:fldLock="1"/>
      </w:r>
      <w:r w:rsidRPr="000F0D5C">
        <w:rPr>
          <w:lang w:val="en-US"/>
        </w:rPr>
        <w:instrText>ADDIN CSL_CITATION {"citationItems":[{"id":"ITEM-1","itemData":{"author":[{"dropping-particle":"","family":"Linares","given":"Raúl Román","non-dropping-particle":"","parse-names":false,"suffix":""}],"id":"ITEM-1","issued":{"date-parts":[["2013"]]},"publisher":"Benemérita Universidad Autónoma de Puebla","publisher-place":"[Puebla (MX)]","title":"Desarrollo y optimización de un método analítico tipo ELISA para la cuantificación de proteínas de bajo peso molecular del veneno de Micrurus fulvius en suero y linfa ovinas [bachelor's thesis]","type":"book"},"uris":["http://www.mendeley.com/documents/?uuid=33f0f8fd-ae34-444e-9295-435e2bc6c758"]}],"mendeley":{"formattedCitation":"[26]","plainTextFormattedCitation":"[26]","previouslyFormattedCitation":"[26]"},"properties":{"noteIndex":0},"schema":"https://github.com/citation-style-language/schema/raw/master/csl-citation.json"}</w:instrText>
      </w:r>
      <w:r w:rsidRPr="000F0D5C">
        <w:rPr>
          <w:lang w:val="en-US"/>
        </w:rPr>
        <w:fldChar w:fldCharType="separate"/>
      </w:r>
      <w:r w:rsidRPr="000F0D5C">
        <w:rPr>
          <w:noProof/>
          <w:lang w:val="en-US"/>
        </w:rPr>
        <w:t>[26]</w:t>
      </w:r>
      <w:r w:rsidRPr="000F0D5C">
        <w:rPr>
          <w:lang w:val="en-US"/>
        </w:rPr>
        <w:fldChar w:fldCharType="end"/>
      </w:r>
      <w:r w:rsidRPr="000F0D5C">
        <w:rPr>
          <w:lang w:val="en-US"/>
        </w:rPr>
        <w:t xml:space="preserve">. </w:t>
      </w:r>
      <w:r w:rsidRPr="000F0D5C">
        <w:rPr>
          <w:bCs/>
          <w:iCs/>
          <w:lang w:val="en-US"/>
        </w:rPr>
        <w:t xml:space="preserve"> Immunopurified antibodies were obtained by passing rabbit immune serum against whole </w:t>
      </w:r>
      <w:r w:rsidRPr="000F0D5C">
        <w:rPr>
          <w:bCs/>
          <w:i/>
          <w:iCs/>
          <w:lang w:val="en-US"/>
        </w:rPr>
        <w:t xml:space="preserve">M. </w:t>
      </w:r>
      <w:proofErr w:type="spellStart"/>
      <w:r w:rsidRPr="000F0D5C">
        <w:rPr>
          <w:bCs/>
          <w:i/>
          <w:iCs/>
          <w:lang w:val="en-US"/>
        </w:rPr>
        <w:t>fulvius</w:t>
      </w:r>
      <w:proofErr w:type="spellEnd"/>
      <w:r w:rsidRPr="000F0D5C">
        <w:rPr>
          <w:bCs/>
          <w:iCs/>
          <w:lang w:val="en-US"/>
        </w:rPr>
        <w:t xml:space="preserve"> venom through a Sepharose-4B column with covalently attached (</w:t>
      </w:r>
      <w:proofErr w:type="spellStart"/>
      <w:r w:rsidRPr="000F0D5C">
        <w:rPr>
          <w:bCs/>
          <w:iCs/>
          <w:lang w:val="en-US"/>
        </w:rPr>
        <w:t>CNBr</w:t>
      </w:r>
      <w:proofErr w:type="spellEnd"/>
      <w:r w:rsidRPr="000F0D5C">
        <w:rPr>
          <w:bCs/>
          <w:iCs/>
          <w:lang w:val="en-US"/>
        </w:rPr>
        <w:t xml:space="preserve"> chemistry) RP-HPLC purified 3FTx </w:t>
      </w:r>
      <w:r w:rsidRPr="000F0D5C">
        <w:rPr>
          <w:i/>
          <w:lang w:val="en-US"/>
        </w:rPr>
        <w:t xml:space="preserve"> </w:t>
      </w:r>
      <w:r w:rsidRPr="000F0D5C">
        <w:rPr>
          <w:lang w:val="en-US"/>
        </w:rPr>
        <w:fldChar w:fldCharType="begin" w:fldLock="1"/>
      </w:r>
      <w:r w:rsidRPr="000F0D5C">
        <w:rPr>
          <w:lang w:val="en-US"/>
        </w:rPr>
        <w:instrText>ADDIN CSL_CITATION {"citationItems":[{"id":"ITEM-1","itemData":{"DOI":"10.1016/j.jprot.2014.02.027","ISBN":"1876-7737 (Electronic)","ISSN":"1876-7737","PMID":"24613619","abstract":"UNLABELLED Here we show for the first time that the venom from an elapid (Micrurus fulvius) contains three finger toxin (3FTxs) peptides with low toxicity but high content of lethal phospholipases A2 (PLA2). The intravenous venom LD50 in mice was 0.3μg/g. Fractionation on a C18 column yielded 22 fractions; in terms of abundance, 58.3% of them were components of 13-14kDa and 24.9% were molecules of 6-7kDa. Two fractions with PLA2 activity represented 33.4% of the whole venom and were the most lethal fractions. Fractions with low molecular mass (&lt;7000Da) partially and reversibly blocked the nicotinic acetylcholine receptor (nAChR), with the exception of one that blocked it completely. The fraction that blocked 100% contained two protein species whose dose-response was determined; the IC50s were 13±1 and 9.5±0.3nM. Despite the apparent effect on nAChR none of the low molecular mass fractions were lethal in mice, at concentrations of 1μg/g. From 2D-PAGE and LC-MS/MS, we identified fourteen species of PLA2, four protein species of C-type lectin, three zinc metalloproteinases, one phosphodiesterase and one 3FTx. The N-terminal amino acid sequence of fractions with biological interest was obtained. BIOLOGICAL SIGNIFICANCE In contrast with coral snake venoms from South America, M. fulvius has minor amounts of low molecular mass components, but high content of PLA2, which is responsible for the venom lethality of this species. The results reported here contribute to better understanding of envenomation development and to improve antivenom design and production. These findings break from the paradigm that neurotoxicity caused by Micrurus venoms is mainly attributable to 3FTx neurotoxins and encourage future studies on Micrurus evolution and venom specialization. This article is part of a Special Issue entitled Non-model organisms.","author":[{"dropping-particle":"","family":"Vergara","given":"Irene","non-dropping-particle":"","parse-names":false,"suffix":""},{"dropping-particle":"","family":"Pedraza-Escalona","given":"Martha","non-dropping-particle":"","parse-names":false,"suffix":""},{"dropping-particle":"","family":"Paniagua","given":"Dayanira","non-dropping-particle":"","parse-names":false,"suffix":""},{"dropping-particle":"","family":"Restano-Cassulini","given":"Rita","non-dropping-particle":"","parse-names":false,"suffix":""},{"dropping-particle":"","family":"Zamudio","given":"Fernando","non-dropping-particle":"","parse-names":false,"suffix":""},{"dropping-particle":"","family":"Batista","given":"Cesar V F","non-dropping-particle":"","parse-names":false,"suffix":""},{"dropping-particle":"","family":"Possani","given":"Lourival D.","non-dropping-particle":"","parse-names":false,"suffix":""},{"dropping-particle":"","family":"Alagón","given":"Alejandro","non-dropping-particle":"","parse-names":false,"suffix":""}],"container-title":"Journal of proteomics","id":"ITEM-1","issued":{"date-parts":[["2014","6","13"]]},"page":"295-306","publisher":"Elsevier B.V.","title":"Eastern coral snake Micrurus fulvius venom toxicity in mice is mainly determined by neurotoxic phospholipases A2.","type":"article-journal","volume":"105"},"uris":["http://www.mendeley.com/documents/?uuid=bef70982-7190-45af-ad60-f3d78becd3c6"]}],"mendeley":{"formattedCitation":"[1]","plainTextFormattedCitation":"[1]","previouslyFormattedCitation":"[1]"},"properties":{"noteIndex":0},"schema":"https://github.com/citation-style-language/schema/raw/master/csl-citation.json"}</w:instrText>
      </w:r>
      <w:r w:rsidRPr="000F0D5C">
        <w:rPr>
          <w:lang w:val="en-US"/>
        </w:rPr>
        <w:fldChar w:fldCharType="separate"/>
      </w:r>
      <w:r w:rsidRPr="000F0D5C">
        <w:rPr>
          <w:noProof/>
          <w:lang w:val="en-US"/>
        </w:rPr>
        <w:t>[1]</w:t>
      </w:r>
      <w:r w:rsidRPr="000F0D5C">
        <w:rPr>
          <w:lang w:val="en-US"/>
        </w:rPr>
        <w:fldChar w:fldCharType="end"/>
      </w:r>
      <w:r w:rsidRPr="000F0D5C">
        <w:rPr>
          <w:bCs/>
          <w:iCs/>
          <w:lang w:val="en-US"/>
        </w:rPr>
        <w:t>. The resulting antibodies were used both as capture (non-</w:t>
      </w:r>
      <w:proofErr w:type="spellStart"/>
      <w:r w:rsidRPr="000F0D5C">
        <w:rPr>
          <w:bCs/>
          <w:iCs/>
          <w:lang w:val="en-US"/>
        </w:rPr>
        <w:t>biotinilated</w:t>
      </w:r>
      <w:proofErr w:type="spellEnd"/>
      <w:r w:rsidRPr="000F0D5C">
        <w:rPr>
          <w:bCs/>
          <w:iCs/>
          <w:lang w:val="en-US"/>
        </w:rPr>
        <w:t>) and as detection (</w:t>
      </w:r>
      <w:proofErr w:type="spellStart"/>
      <w:r w:rsidRPr="000F0D5C">
        <w:rPr>
          <w:bCs/>
          <w:iCs/>
          <w:lang w:val="en-US"/>
        </w:rPr>
        <w:t>biotinilated</w:t>
      </w:r>
      <w:proofErr w:type="spellEnd"/>
      <w:r w:rsidRPr="000F0D5C">
        <w:rPr>
          <w:bCs/>
          <w:iCs/>
          <w:lang w:val="en-US"/>
        </w:rPr>
        <w:t xml:space="preserve">) antibodies. Signal was developed with Streptavidin-Peroxidase conjugate and ABTS. </w:t>
      </w:r>
      <w:r w:rsidRPr="000F0D5C">
        <w:rPr>
          <w:bCs/>
          <w:iCs/>
          <w:color w:val="000000" w:themeColor="text1"/>
          <w:lang w:val="en-US"/>
        </w:rPr>
        <w:t xml:space="preserve">The assay had a lower limit of quantification of 1.2 (0.3) ng/ml. This assay detected only proteins of approximately 7 </w:t>
      </w:r>
      <w:proofErr w:type="spellStart"/>
      <w:r w:rsidRPr="000F0D5C">
        <w:rPr>
          <w:bCs/>
          <w:iCs/>
          <w:color w:val="000000" w:themeColor="text1"/>
          <w:lang w:val="en-US"/>
        </w:rPr>
        <w:t>kDa</w:t>
      </w:r>
      <w:proofErr w:type="spellEnd"/>
      <w:r w:rsidRPr="000F0D5C">
        <w:rPr>
          <w:bCs/>
          <w:iCs/>
          <w:color w:val="000000" w:themeColor="text1"/>
          <w:lang w:val="en-US"/>
        </w:rPr>
        <w:t>, excluding detection of PLA</w:t>
      </w:r>
      <w:r w:rsidRPr="000F0D5C">
        <w:rPr>
          <w:bCs/>
          <w:iCs/>
          <w:color w:val="000000" w:themeColor="text1"/>
          <w:vertAlign w:val="subscript"/>
          <w:lang w:val="en-US"/>
        </w:rPr>
        <w:t xml:space="preserve">2 </w:t>
      </w:r>
      <w:r w:rsidRPr="000F0D5C">
        <w:rPr>
          <w:bCs/>
          <w:iCs/>
          <w:color w:val="000000" w:themeColor="text1"/>
          <w:lang w:val="en-US"/>
        </w:rPr>
        <w:t>or other proteins of different molecular weight detectable by SDS-PAGE.</w:t>
      </w:r>
    </w:p>
    <w:p w:rsidR="00FE0317" w:rsidRPr="000F0D5C" w:rsidRDefault="00FE0317" w:rsidP="00FE0317">
      <w:pPr>
        <w:pStyle w:val="Ttulo2"/>
        <w:rPr>
          <w:lang w:val="en-US"/>
        </w:rPr>
      </w:pPr>
      <w:r w:rsidRPr="000F0D5C">
        <w:rPr>
          <w:lang w:val="en-US"/>
        </w:rPr>
        <w:t>Pharmacokinetic parameters</w:t>
      </w:r>
    </w:p>
    <w:p w:rsidR="00FE0317" w:rsidRPr="000F0D5C" w:rsidRDefault="00FE0317" w:rsidP="00FE0317">
      <w:pPr>
        <w:pStyle w:val="Newparagraph"/>
        <w:rPr>
          <w:lang w:val="en-US"/>
        </w:rPr>
      </w:pPr>
      <w:r w:rsidRPr="000F0D5C">
        <w:rPr>
          <w:lang w:val="en-US"/>
        </w:rPr>
        <w:t>For group 1, AV pharmacokinetic was fitted to a tri-compartment analysis described by equation 1.</w:t>
      </w:r>
    </w:p>
    <w:p w:rsidR="00FE0317" w:rsidRPr="000F0D5C" w:rsidRDefault="00FE0317" w:rsidP="00FE0317">
      <w:pPr>
        <w:pStyle w:val="Newparagraph"/>
        <w:jc w:val="center"/>
        <w:rPr>
          <w:lang w:val="en-US"/>
        </w:rPr>
      </w:pPr>
      <m:oMath>
        <m:r>
          <w:rPr>
            <w:rFonts w:ascii="Cambria Math" w:hAnsi="Cambria Math"/>
            <w:lang w:val="en-US"/>
          </w:rPr>
          <m:t>Cp</m:t>
        </m:r>
        <m:d>
          <m:dPr>
            <m:ctrlPr>
              <w:rPr>
                <w:rFonts w:ascii="Cambria Math" w:hAnsi="Cambria Math"/>
                <w:i/>
                <w:lang w:val="en-US"/>
              </w:rPr>
            </m:ctrlPr>
          </m:dPr>
          <m:e>
            <m:r>
              <w:rPr>
                <w:rFonts w:ascii="Cambria Math" w:hAnsi="Cambria Math"/>
                <w:lang w:val="en-US"/>
              </w:rPr>
              <m:t>t</m:t>
            </m:r>
          </m:e>
        </m:d>
        <m:r>
          <w:rPr>
            <w:rFonts w:ascii="Cambria Math" w:hAnsi="Cambria Math"/>
            <w:lang w:val="en-US"/>
          </w:rPr>
          <m:t>=</m:t>
        </m:r>
        <m:sSup>
          <m:sSupPr>
            <m:ctrlPr>
              <w:rPr>
                <w:rFonts w:ascii="Cambria Math" w:hAnsi="Cambria Math"/>
                <w:i/>
                <w:lang w:val="en-US"/>
              </w:rPr>
            </m:ctrlPr>
          </m:sSupPr>
          <m:e>
            <m:r>
              <w:rPr>
                <w:rFonts w:ascii="Cambria Math" w:hAnsi="Cambria Math"/>
                <w:lang w:val="en-US"/>
              </w:rPr>
              <m:t>Ae</m:t>
            </m:r>
          </m:e>
          <m:sup>
            <m:r>
              <w:rPr>
                <w:rFonts w:ascii="Cambria Math" w:hAnsi="Cambria Math"/>
                <w:lang w:val="en-US"/>
              </w:rPr>
              <m:t>-αt</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Be</m:t>
            </m:r>
          </m:e>
          <m:sup>
            <m:r>
              <w:rPr>
                <w:rFonts w:ascii="Cambria Math" w:hAnsi="Cambria Math"/>
                <w:lang w:val="en-US"/>
              </w:rPr>
              <m:t>-βt</m:t>
            </m:r>
          </m:sup>
        </m:sSup>
      </m:oMath>
      <w:r w:rsidRPr="000F0D5C">
        <w:rPr>
          <w:lang w:val="en-US"/>
        </w:rPr>
        <w:t xml:space="preserve">       (1)</w:t>
      </w:r>
    </w:p>
    <w:p w:rsidR="00FE0317" w:rsidRPr="000F0D5C" w:rsidRDefault="00FE0317" w:rsidP="00FE0317">
      <w:pPr>
        <w:pStyle w:val="Newparagraph"/>
        <w:rPr>
          <w:lang w:val="en-US"/>
        </w:rPr>
      </w:pPr>
      <w:r w:rsidRPr="000F0D5C">
        <w:rPr>
          <w:lang w:val="en-US"/>
        </w:rPr>
        <w:t xml:space="preserve"> Half-lives were calculated using equations 2, 3, and 4.</w:t>
      </w:r>
    </w:p>
    <w:p w:rsidR="00FE0317" w:rsidRPr="000F0D5C" w:rsidRDefault="000F0D5C" w:rsidP="00FE0317">
      <w:pPr>
        <w:pStyle w:val="Newparagraph"/>
        <w:jc w:val="center"/>
        <w:rPr>
          <w:lang w:val="en-US"/>
        </w:rPr>
      </w:pPr>
      <m:oMath>
        <m:sSub>
          <m:sSubPr>
            <m:ctrlPr>
              <w:rPr>
                <w:rFonts w:ascii="Cambria Math" w:hAnsi="Cambria Math"/>
                <w:i/>
                <w:lang w:val="en-US"/>
              </w:rPr>
            </m:ctrlPr>
          </m:sSubPr>
          <m:e>
            <m:r>
              <w:rPr>
                <w:rFonts w:ascii="Cambria Math" w:hAnsi="Cambria Math"/>
                <w:lang w:val="en-US"/>
              </w:rPr>
              <m:t>t</m:t>
            </m:r>
          </m:e>
          <m:sub>
            <m:f>
              <m:fPr>
                <m:type m:val="skw"/>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r>
              <w:rPr>
                <w:rFonts w:ascii="Cambria Math" w:hAnsi="Cambria Math"/>
                <w:lang w:val="en-US"/>
              </w:rPr>
              <m:t xml:space="preserve"> ,2</m:t>
            </m:r>
          </m:sub>
        </m:sSub>
        <m:r>
          <w:rPr>
            <w:rFonts w:ascii="Cambria Math" w:hAnsi="Cambria Math"/>
            <w:lang w:val="en-US"/>
          </w:rPr>
          <m:t>=</m:t>
        </m:r>
        <m:func>
          <m:funcPr>
            <m:ctrlPr>
              <w:rPr>
                <w:rFonts w:ascii="Cambria Math" w:hAnsi="Cambria Math"/>
                <w:lang w:val="en-US"/>
              </w:rPr>
            </m:ctrlPr>
          </m:funcPr>
          <m:fName>
            <m:r>
              <m:rPr>
                <m:sty m:val="p"/>
              </m:rPr>
              <w:rPr>
                <w:rFonts w:ascii="Cambria Math" w:hAnsi="Cambria Math"/>
                <w:lang w:val="en-US"/>
              </w:rPr>
              <m:t>ln</m:t>
            </m:r>
          </m:fName>
          <m:e>
            <m:d>
              <m:dPr>
                <m:ctrlPr>
                  <w:rPr>
                    <w:rFonts w:ascii="Cambria Math" w:hAnsi="Cambria Math"/>
                    <w:i/>
                    <w:lang w:val="en-US"/>
                  </w:rPr>
                </m:ctrlPr>
              </m:dPr>
              <m:e>
                <m:r>
                  <w:rPr>
                    <w:rFonts w:ascii="Cambria Math" w:hAnsi="Cambria Math"/>
                    <w:lang w:val="en-US"/>
                  </w:rPr>
                  <m:t>2</m:t>
                </m:r>
              </m:e>
            </m:d>
          </m:e>
        </m:func>
        <m:r>
          <w:rPr>
            <w:rFonts w:ascii="Cambria Math" w:hAnsi="Cambria Math"/>
            <w:lang w:val="en-US"/>
          </w:rPr>
          <m:t>/α</m:t>
        </m:r>
      </m:oMath>
      <w:r w:rsidR="00FE0317" w:rsidRPr="000F0D5C">
        <w:rPr>
          <w:lang w:val="en-US"/>
        </w:rPr>
        <w:t xml:space="preserve">              (2)</w:t>
      </w:r>
    </w:p>
    <w:p w:rsidR="00FE0317" w:rsidRPr="000F0D5C" w:rsidRDefault="000F0D5C" w:rsidP="000F0D5C">
      <w:pPr>
        <w:pStyle w:val="Newparagraph"/>
        <w:jc w:val="center"/>
        <w:rPr>
          <w:lang w:val="en-US"/>
        </w:rPr>
      </w:pPr>
      <m:oMath>
        <m:sSub>
          <m:sSubPr>
            <m:ctrlPr>
              <w:rPr>
                <w:rFonts w:ascii="Cambria Math" w:hAnsi="Cambria Math"/>
                <w:i/>
                <w:lang w:val="en-US"/>
              </w:rPr>
            </m:ctrlPr>
          </m:sSubPr>
          <m:e>
            <m:r>
              <w:rPr>
                <w:rFonts w:ascii="Cambria Math" w:hAnsi="Cambria Math"/>
                <w:lang w:val="en-US"/>
              </w:rPr>
              <m:t>t</m:t>
            </m:r>
          </m:e>
          <m:sub>
            <m:f>
              <m:fPr>
                <m:type m:val="skw"/>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r>
              <w:rPr>
                <w:rFonts w:ascii="Cambria Math" w:hAnsi="Cambria Math"/>
                <w:lang w:val="en-US"/>
              </w:rPr>
              <m:t xml:space="preserve"> ,3</m:t>
            </m:r>
          </m:sub>
        </m:sSub>
        <m:r>
          <w:rPr>
            <w:rFonts w:ascii="Cambria Math" w:hAnsi="Cambria Math"/>
            <w:lang w:val="en-US"/>
          </w:rPr>
          <m:t>=</m:t>
        </m:r>
        <m:func>
          <m:funcPr>
            <m:ctrlPr>
              <w:rPr>
                <w:rFonts w:ascii="Cambria Math" w:hAnsi="Cambria Math"/>
                <w:lang w:val="en-US"/>
              </w:rPr>
            </m:ctrlPr>
          </m:funcPr>
          <m:fName>
            <m:r>
              <m:rPr>
                <m:sty m:val="p"/>
              </m:rPr>
              <w:rPr>
                <w:rFonts w:ascii="Cambria Math" w:hAnsi="Cambria Math"/>
                <w:lang w:val="en-US"/>
              </w:rPr>
              <m:t>ln</m:t>
            </m:r>
          </m:fName>
          <m:e>
            <m:d>
              <m:dPr>
                <m:ctrlPr>
                  <w:rPr>
                    <w:rFonts w:ascii="Cambria Math" w:hAnsi="Cambria Math"/>
                    <w:i/>
                    <w:lang w:val="en-US"/>
                  </w:rPr>
                </m:ctrlPr>
              </m:dPr>
              <m:e>
                <m:r>
                  <w:rPr>
                    <w:rFonts w:ascii="Cambria Math" w:hAnsi="Cambria Math"/>
                    <w:lang w:val="en-US"/>
                  </w:rPr>
                  <m:t>2</m:t>
                </m:r>
              </m:e>
            </m:d>
          </m:e>
        </m:func>
        <m:r>
          <w:rPr>
            <w:rFonts w:ascii="Cambria Math" w:hAnsi="Cambria Math"/>
            <w:lang w:val="en-US"/>
          </w:rPr>
          <m:t>/β</m:t>
        </m:r>
      </m:oMath>
      <w:r w:rsidR="00FE0317" w:rsidRPr="000F0D5C">
        <w:rPr>
          <w:lang w:val="en-US"/>
        </w:rPr>
        <w:t xml:space="preserve">             (3)</w:t>
      </w:r>
    </w:p>
    <w:p w:rsidR="00FE0317" w:rsidRPr="000F0D5C" w:rsidRDefault="00FE0317" w:rsidP="00FE0317">
      <w:pPr>
        <w:pStyle w:val="Newparagraph"/>
        <w:rPr>
          <w:lang w:val="en-US"/>
        </w:rPr>
      </w:pPr>
      <w:r w:rsidRPr="000F0D5C">
        <w:rPr>
          <w:lang w:val="en-US"/>
        </w:rPr>
        <w:t>Apparent volume of serum (central) compartment (</w:t>
      </w:r>
      <w:proofErr w:type="spellStart"/>
      <w:r w:rsidRPr="000F0D5C">
        <w:rPr>
          <w:lang w:val="en-US"/>
        </w:rPr>
        <w:t>V</w:t>
      </w:r>
      <w:r w:rsidRPr="000F0D5C">
        <w:rPr>
          <w:vertAlign w:val="subscript"/>
          <w:lang w:val="en-US"/>
        </w:rPr>
        <w:t>c</w:t>
      </w:r>
      <w:proofErr w:type="spellEnd"/>
      <w:r w:rsidR="000F0D5C">
        <w:rPr>
          <w:lang w:val="en-US"/>
        </w:rPr>
        <w:t>) was estimated using equation 4</w:t>
      </w:r>
      <w:r w:rsidRPr="000F0D5C">
        <w:rPr>
          <w:lang w:val="en-US"/>
        </w:rPr>
        <w:t>.</w:t>
      </w:r>
    </w:p>
    <w:p w:rsidR="00FE0317" w:rsidRPr="000F0D5C" w:rsidRDefault="000F0D5C" w:rsidP="00FE0317">
      <w:pPr>
        <w:pStyle w:val="Newparagraph"/>
        <w:jc w:val="center"/>
        <w:rPr>
          <w:lang w:val="en-US"/>
        </w:rPr>
      </w:pPr>
      <m:oMath>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c</m:t>
            </m:r>
          </m:sub>
        </m:sSub>
        <m:r>
          <w:rPr>
            <w:rFonts w:ascii="Cambria Math" w:hAnsi="Cambria Math"/>
            <w:lang w:val="en-US"/>
          </w:rPr>
          <m:t>=Dose/(A+B)</m:t>
        </m:r>
      </m:oMath>
      <w:r w:rsidR="00FE0317" w:rsidRPr="000F0D5C">
        <w:rPr>
          <w:lang w:val="en-US"/>
        </w:rPr>
        <w:t xml:space="preserve">    </w:t>
      </w:r>
      <w:r>
        <w:rPr>
          <w:lang w:val="en-US"/>
        </w:rPr>
        <w:t>(4</w:t>
      </w:r>
      <w:r w:rsidR="00FE0317" w:rsidRPr="000F0D5C">
        <w:rPr>
          <w:lang w:val="en-US"/>
        </w:rPr>
        <w:t>)</w:t>
      </w:r>
    </w:p>
    <w:p w:rsidR="00FE0317" w:rsidRPr="000F0D5C" w:rsidRDefault="00FE0317" w:rsidP="00FE0317">
      <w:pPr>
        <w:pStyle w:val="Paragraph"/>
        <w:rPr>
          <w:lang w:val="en-US"/>
        </w:rPr>
      </w:pPr>
      <w:r w:rsidRPr="000F0D5C">
        <w:rPr>
          <w:lang w:val="en-US"/>
        </w:rPr>
        <w:t>Total exposure to venom and AV that reaches systemic circulation</w:t>
      </w:r>
      <w:r w:rsidRPr="000F0D5C" w:rsidDel="00BB4EAE">
        <w:rPr>
          <w:lang w:val="en-US"/>
        </w:rPr>
        <w:t xml:space="preserve"> </w:t>
      </w:r>
      <w:r w:rsidRPr="000F0D5C">
        <w:rPr>
          <w:lang w:val="en-US"/>
        </w:rPr>
        <w:t xml:space="preserve">was measured using the </w:t>
      </w:r>
      <w:r w:rsidRPr="000F0D5C">
        <w:rPr>
          <w:lang w:val="en-US"/>
        </w:rPr>
        <w:lastRenderedPageBreak/>
        <w:t xml:space="preserve">area under the curve (AUC), calculated by trapezoidal numerical integration </w:t>
      </w:r>
      <w:r w:rsidR="000F0D5C">
        <w:rPr>
          <w:lang w:val="en-US"/>
        </w:rPr>
        <w:t>(equation 5</w:t>
      </w:r>
      <w:r w:rsidRPr="000F0D5C">
        <w:rPr>
          <w:lang w:val="en-US"/>
        </w:rPr>
        <w:t xml:space="preserve">). </w:t>
      </w:r>
    </w:p>
    <w:p w:rsidR="00FE0317" w:rsidRPr="000F0D5C" w:rsidRDefault="000F0D5C" w:rsidP="00FE0317">
      <w:pPr>
        <w:pStyle w:val="Displayedequation"/>
        <w:rPr>
          <w:lang w:val="en-US"/>
        </w:rPr>
      </w:pPr>
      <m:oMath>
        <m:sSub>
          <m:sSubPr>
            <m:ctrlPr>
              <w:rPr>
                <w:rFonts w:ascii="Cambria Math" w:hAnsi="Cambria Math"/>
                <w:lang w:val="en-US"/>
              </w:rPr>
            </m:ctrlPr>
          </m:sSubPr>
          <m:e>
            <m:r>
              <w:rPr>
                <w:rFonts w:ascii="Cambria Math" w:hAnsi="Cambria Math"/>
                <w:lang w:val="en-US"/>
              </w:rPr>
              <m:t>AUC</m:t>
            </m:r>
            <m:ctrlPr>
              <w:rPr>
                <w:rFonts w:ascii="Cambria Math" w:hAnsi="Cambria Math"/>
                <w:i/>
                <w:iCs/>
                <w:lang w:val="en-US"/>
              </w:rPr>
            </m:ctrlPr>
          </m:e>
          <m:sub>
            <m:r>
              <m:rPr>
                <m:sty m:val="p"/>
              </m:rPr>
              <w:rPr>
                <w:rFonts w:ascii="Cambria Math" w:hAnsi="Cambria Math"/>
                <w:lang w:val="en-US"/>
              </w:rPr>
              <m:t>0-</m:t>
            </m:r>
            <m:r>
              <w:rPr>
                <w:rFonts w:ascii="Cambria Math" w:hAnsi="Cambria Math"/>
                <w:lang w:val="en-US"/>
              </w:rPr>
              <m:t>t</m:t>
            </m:r>
          </m:sub>
        </m:sSub>
        <m:r>
          <m:rPr>
            <m:sty m:val="p"/>
          </m:rPr>
          <w:rPr>
            <w:rFonts w:ascii="Cambria Math" w:hAnsi="Cambria Math"/>
            <w:lang w:val="en-US"/>
          </w:rPr>
          <m:t>=</m:t>
        </m:r>
        <m:nary>
          <m:naryPr>
            <m:limLoc m:val="subSup"/>
            <m:ctrlPr>
              <w:rPr>
                <w:rFonts w:ascii="Cambria Math" w:hAnsi="Cambria Math"/>
                <w:lang w:val="en-US"/>
              </w:rPr>
            </m:ctrlPr>
          </m:naryPr>
          <m:sub>
            <m:r>
              <m:rPr>
                <m:sty m:val="p"/>
              </m:rPr>
              <w:rPr>
                <w:rFonts w:ascii="Cambria Math" w:hAnsi="Cambria Math"/>
                <w:lang w:val="en-US"/>
              </w:rPr>
              <m:t>0</m:t>
            </m:r>
          </m:sub>
          <m:sup>
            <m:r>
              <w:rPr>
                <w:rFonts w:ascii="Cambria Math" w:hAnsi="Cambria Math"/>
                <w:lang w:val="en-US"/>
              </w:rPr>
              <m:t>t</m:t>
            </m:r>
          </m:sup>
          <m:e>
            <m:r>
              <w:rPr>
                <w:rFonts w:ascii="Cambria Math" w:hAnsi="Cambria Math"/>
                <w:lang w:val="en-US"/>
              </w:rPr>
              <m:t>Csdt</m:t>
            </m:r>
          </m:e>
        </m:nary>
        <m:r>
          <m:rPr>
            <m:sty m:val="p"/>
          </m:rPr>
          <w:rPr>
            <w:rFonts w:ascii="Cambria Math" w:hAnsi="Cambria Math"/>
            <w:lang w:val="en-US"/>
          </w:rPr>
          <m:t>=</m:t>
        </m:r>
        <m:nary>
          <m:naryPr>
            <m:chr m:val="∑"/>
            <m:limLoc m:val="undOvr"/>
            <m:ctrlPr>
              <w:rPr>
                <w:rFonts w:ascii="Cambria Math" w:hAnsi="Cambria Math"/>
                <w:lang w:val="en-US"/>
              </w:rPr>
            </m:ctrlPr>
          </m:naryPr>
          <m:sub>
            <m:r>
              <w:rPr>
                <w:rFonts w:ascii="Cambria Math" w:hAnsi="Cambria Math"/>
                <w:lang w:val="en-US"/>
              </w:rPr>
              <m:t>i</m:t>
            </m:r>
            <m:r>
              <m:rPr>
                <m:sty m:val="p"/>
              </m:rPr>
              <w:rPr>
                <w:rFonts w:ascii="Cambria Math" w:hAnsi="Cambria Math"/>
                <w:lang w:val="en-US"/>
              </w:rPr>
              <m:t>=0</m:t>
            </m:r>
          </m:sub>
          <m:sup>
            <m:r>
              <w:rPr>
                <w:rFonts w:ascii="Cambria Math" w:hAnsi="Cambria Math"/>
                <w:lang w:val="en-US"/>
              </w:rPr>
              <m:t>i</m:t>
            </m:r>
            <m:r>
              <m:rPr>
                <m:sty m:val="p"/>
              </m:rPr>
              <w:rPr>
                <w:rFonts w:ascii="Cambria Math" w:hAnsi="Cambria Math"/>
                <w:lang w:val="en-US"/>
              </w:rPr>
              <m:t>=</m:t>
            </m:r>
            <m:r>
              <w:rPr>
                <w:rFonts w:ascii="Cambria Math" w:hAnsi="Cambria Math"/>
                <w:lang w:val="en-US"/>
              </w:rPr>
              <m:t>t</m:t>
            </m:r>
          </m:sup>
          <m:e>
            <m:d>
              <m:dPr>
                <m:ctrlPr>
                  <w:rPr>
                    <w:rFonts w:ascii="Cambria Math" w:hAnsi="Cambria Math"/>
                    <w:lang w:val="en-US"/>
                  </w:rPr>
                </m:ctrlPr>
              </m:dPr>
              <m:e>
                <m:f>
                  <m:fPr>
                    <m:type m:val="skw"/>
                    <m:ctrlPr>
                      <w:rPr>
                        <w:rFonts w:ascii="Cambria Math" w:hAnsi="Cambria Math"/>
                        <w:lang w:val="en-US"/>
                      </w:rPr>
                    </m:ctrlPr>
                  </m:fPr>
                  <m:num>
                    <m:r>
                      <m:rPr>
                        <m:sty m:val="p"/>
                      </m:rPr>
                      <w:rPr>
                        <w:rFonts w:ascii="Cambria Math" w:hAnsi="Cambria Math"/>
                        <w:lang w:val="en-US"/>
                      </w:rPr>
                      <m:t>1</m:t>
                    </m:r>
                  </m:num>
                  <m:den>
                    <m:r>
                      <m:rPr>
                        <m:sty m:val="p"/>
                      </m:rPr>
                      <w:rPr>
                        <w:rFonts w:ascii="Cambria Math" w:hAnsi="Cambria Math"/>
                        <w:lang w:val="en-US"/>
                      </w:rPr>
                      <m:t>2</m:t>
                    </m:r>
                  </m:den>
                </m:f>
              </m:e>
            </m:d>
            <m:r>
              <m:rPr>
                <m:sty m:val="p"/>
              </m:rPr>
              <w:rPr>
                <w:rFonts w:ascii="Cambria Math" w:hAnsi="Cambria Math"/>
                <w:lang w:val="en-US"/>
              </w:rPr>
              <m:t>×</m:t>
            </m:r>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Cs</m:t>
                    </m:r>
                  </m:e>
                  <m:sub>
                    <m: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Cs</m:t>
                    </m:r>
                  </m:e>
                  <m:sub>
                    <m:r>
                      <w:rPr>
                        <w:rFonts w:ascii="Cambria Math" w:hAnsi="Cambria Math"/>
                        <w:lang w:val="en-US"/>
                      </w:rPr>
                      <m:t>i</m:t>
                    </m:r>
                    <m:r>
                      <m:rPr>
                        <m:sty m:val="p"/>
                      </m:rPr>
                      <w:rPr>
                        <w:rFonts w:ascii="Cambria Math" w:hAnsi="Cambria Math"/>
                        <w:lang w:val="en-US"/>
                      </w:rPr>
                      <m:t>+1</m:t>
                    </m:r>
                  </m:sub>
                </m:sSub>
              </m:e>
            </m:d>
            <m:r>
              <m:rPr>
                <m:sty m:val="p"/>
              </m:rPr>
              <w:rPr>
                <w:rFonts w:ascii="Cambria Math" w:hAnsi="Cambria Math"/>
                <w:lang w:val="en-US"/>
              </w:rPr>
              <m:t>×</m:t>
            </m:r>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i</m:t>
                    </m:r>
                    <m:r>
                      <m:rPr>
                        <m:sty m:val="p"/>
                      </m:rPr>
                      <w:rPr>
                        <w:rFonts w:ascii="Cambria Math" w:hAnsi="Cambria Math"/>
                        <w:lang w:val="en-US"/>
                      </w:rPr>
                      <m:t>+1</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i</m:t>
                    </m:r>
                  </m:sub>
                </m:sSub>
              </m:e>
            </m:d>
          </m:e>
        </m:nary>
      </m:oMath>
      <w:r w:rsidR="00FE0317" w:rsidRPr="000F0D5C">
        <w:rPr>
          <w:lang w:val="en-US"/>
        </w:rPr>
        <w:t xml:space="preserve">           </w:t>
      </w:r>
      <w:r>
        <w:rPr>
          <w:lang w:val="en-US"/>
        </w:rPr>
        <w:t>(5</w:t>
      </w:r>
      <w:r w:rsidR="00FE0317" w:rsidRPr="000F0D5C">
        <w:rPr>
          <w:lang w:val="en-US"/>
        </w:rPr>
        <w:t>)</w:t>
      </w:r>
    </w:p>
    <w:p w:rsidR="00FE0317" w:rsidRPr="000F0D5C" w:rsidRDefault="00FE0317" w:rsidP="00FE0317">
      <w:pPr>
        <w:pStyle w:val="Newparagraph"/>
        <w:rPr>
          <w:vertAlign w:val="subscript"/>
          <w:lang w:val="en-US"/>
        </w:rPr>
      </w:pPr>
      <w:r w:rsidRPr="000F0D5C">
        <w:rPr>
          <w:lang w:val="en-US"/>
        </w:rPr>
        <w:t>The fraction of the</w:t>
      </w:r>
      <w:r w:rsidRPr="000F0D5C">
        <w:rPr>
          <w:color w:val="267571"/>
          <w:lang w:val="en-US"/>
        </w:rPr>
        <w:t xml:space="preserve"> </w:t>
      </w:r>
      <w:r w:rsidRPr="000F0D5C">
        <w:rPr>
          <w:lang w:val="en-US"/>
        </w:rPr>
        <w:t>dose administered</w:t>
      </w:r>
      <w:r w:rsidRPr="000F0D5C">
        <w:rPr>
          <w:color w:val="267571"/>
          <w:lang w:val="en-US"/>
        </w:rPr>
        <w:t xml:space="preserve"> </w:t>
      </w:r>
      <w:r w:rsidRPr="000F0D5C">
        <w:rPr>
          <w:lang w:val="en-US"/>
        </w:rPr>
        <w:t xml:space="preserve">SC that reaches systemic circulation was expressed as bioavailability (F), calculated with </w:t>
      </w:r>
      <w:r w:rsidR="000F0D5C">
        <w:rPr>
          <w:lang w:val="en-US"/>
        </w:rPr>
        <w:t>equation 6</w:t>
      </w:r>
      <w:r w:rsidRPr="000F0D5C">
        <w:rPr>
          <w:lang w:val="en-US"/>
        </w:rPr>
        <w:t xml:space="preserve">, using the mean of </w:t>
      </w:r>
      <w:proofErr w:type="spellStart"/>
      <w:r w:rsidRPr="000F0D5C">
        <w:rPr>
          <w:lang w:val="en-US"/>
        </w:rPr>
        <w:t>AUC</w:t>
      </w:r>
      <w:r w:rsidRPr="000F0D5C">
        <w:rPr>
          <w:vertAlign w:val="subscript"/>
          <w:lang w:val="en-US"/>
        </w:rPr>
        <w:t>iv</w:t>
      </w:r>
      <w:proofErr w:type="spellEnd"/>
      <w:r w:rsidRPr="000F0D5C">
        <w:rPr>
          <w:vertAlign w:val="subscript"/>
          <w:lang w:val="en-US"/>
        </w:rPr>
        <w:t xml:space="preserve"> </w:t>
      </w:r>
      <w:r w:rsidRPr="000F0D5C">
        <w:rPr>
          <w:lang w:val="en-US"/>
        </w:rPr>
        <w:t xml:space="preserve">for venom reported previously </w:t>
      </w:r>
      <w:r w:rsidRPr="000F0D5C">
        <w:rPr>
          <w:lang w:val="en-US"/>
        </w:rPr>
        <w:fldChar w:fldCharType="begin" w:fldLock="1"/>
      </w:r>
      <w:r w:rsidRPr="000F0D5C">
        <w:rPr>
          <w:lang w:val="en-US"/>
        </w:rPr>
        <w:instrText>ADDIN CSL_CITATION {"citationItems":[{"id":"ITEM-1","itemData":{"ISBN":"0024-7766 (Print)\\r0024-7766","ISSN":"0024-7766","PMID":"23700761","abstract":"The contribution of the lymphatic system to the absorption and systemic bioavailability of Micrurus fulvius venom after subcutaneous (SC) administration was assessed using a central lymph-cannulated sheep model. Micrurus fulvius venom was administered either by intravenous bolus (IV) or subcutaneous injection (SC) in 12 sheep with and without thoracic duct cannulation and drainage. Venom concentration in serum and lymph was determined by a sandwich enzyme-linked immunosorbent assay (ELISA) in samples collected over a 6-hour period and in tissues harvested at the end of the experiment. Pharmacokinetic parameters were determined by a non-compartmental analysis. In the lymphatic cannulated group, over the 6 hours after the venom was administered, 69% of administered dose was accounted for in blood (45%) and lymph (25%). Negligible levels of venom were detected in organs and urine implying that the steady state observed after SC administration is maintained by a slow absorption process. Comparison of kinetics of the thoracic duct cannulated and non-cannulated groups showed that lymphatic absorption contributed in an important way to maintenance of this steady state. These results show that the limiting process in the pharmacokinetics of Micrurus fulvius venom following SC administration is absorption, and that the lymphatic system plays a key role in this process.","author":[{"dropping-particle":"","family":"Paniagua","given":"D","non-dropping-particle":"","parse-names":false,"suffix":""},{"dropping-particle":"","family":"Jiménez","given":"L","non-dropping-particle":"","parse-names":false,"suffix":""},{"dropping-particle":"","family":"Romero","given":"C","non-dropping-particle":"","parse-names":false,"suffix":""},{"dropping-particle":"","family":"Vergara","given":"I","non-dropping-particle":"","parse-names":false,"suffix":""},{"dropping-particle":"","family":"Calderón","given":"A","non-dropping-particle":"","parse-names":false,"suffix":""},{"dropping-particle":"","family":"Benard","given":"M","non-dropping-particle":"","parse-names":false,"suffix":""},{"dropping-particle":"","family":"Bernas","given":"M J","non-dropping-particle":"","parse-names":false,"suffix":""},{"dropping-particle":"","family":"Rilo","given":"H","non-dropping-particle":"","parse-names":false,"suffix":""},{"dropping-particle":"","family":"Roodt","given":"A","non-dropping-particle":"de","parse-names":false,"suffix":""},{"dropping-particle":"","family":"Suze","given":"G","non-dropping-particle":"D'","parse-names":false,"suffix":""},{"dropping-particle":"","family":"Witte","given":"M H","non-dropping-particle":"","parse-names":false,"suffix":""},{"dropping-particle":"","family":"Boyer","given":"L","non-dropping-particle":"","parse-names":false,"suffix":""},{"dropping-particle":"","family":"Alagón","given":"A","non-dropping-particle":"","parse-names":false,"suffix":""}],"container-title":"Lymphology","id":"ITEM-1","issue":"4","issued":{"date-parts":[["2012","12"]]},"page":"144-53","title":"Lymphatic route of transport and pharmacokinetics of Micrurus fulvius (coral snake) venom in sheep.","type":"article-journal","volume":"45"},"uris":["http://www.mendeley.com/documents/?uuid=99010b5d-6c5d-3b7d-b032-ee7cdfdd6427"]}],"mendeley":{"formattedCitation":"[8]","plainTextFormattedCitation":"[8]","previouslyFormattedCitation":"[8]"},"properties":{"noteIndex":0},"schema":"https://github.com/citation-style-language/schema/raw/master/csl-citation.json"}</w:instrText>
      </w:r>
      <w:r w:rsidRPr="000F0D5C">
        <w:rPr>
          <w:lang w:val="en-US"/>
        </w:rPr>
        <w:fldChar w:fldCharType="separate"/>
      </w:r>
      <w:r w:rsidRPr="000F0D5C">
        <w:rPr>
          <w:noProof/>
          <w:lang w:val="en-US"/>
        </w:rPr>
        <w:t>[8]</w:t>
      </w:r>
      <w:r w:rsidRPr="000F0D5C">
        <w:rPr>
          <w:lang w:val="en-US"/>
        </w:rPr>
        <w:fldChar w:fldCharType="end"/>
      </w:r>
      <w:r w:rsidRPr="000F0D5C">
        <w:rPr>
          <w:lang w:val="en-US"/>
        </w:rPr>
        <w:t>.</w:t>
      </w:r>
    </w:p>
    <w:p w:rsidR="00FE0317" w:rsidRPr="000F0D5C" w:rsidRDefault="00FE0317" w:rsidP="00FE0317">
      <w:pPr>
        <w:pStyle w:val="Displayedequation"/>
        <w:rPr>
          <w:lang w:val="en-US"/>
        </w:rPr>
      </w:pPr>
      <m:oMath>
        <m:r>
          <w:rPr>
            <w:rFonts w:ascii="Cambria Math" w:hAnsi="Cambria Math"/>
            <w:lang w:val="en-US"/>
          </w:rPr>
          <m:t>F</m:t>
        </m:r>
        <m:r>
          <m:rPr>
            <m:sty m:val="p"/>
          </m:rPr>
          <w:rPr>
            <w:rFonts w:ascii="Cambria Math" w:hAnsi="Cambria Math"/>
            <w:lang w:val="en-US"/>
          </w:rPr>
          <m:t>=</m:t>
        </m:r>
        <m:f>
          <m:fPr>
            <m:type m:val="skw"/>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AUC</m:t>
                </m:r>
              </m:e>
              <m:sub>
                <m:r>
                  <w:rPr>
                    <w:rFonts w:ascii="Cambria Math" w:hAnsi="Cambria Math"/>
                    <w:lang w:val="en-US"/>
                  </w:rPr>
                  <m:t>S</m:t>
                </m:r>
                <m:r>
                  <m:rPr>
                    <m:sty m:val="p"/>
                  </m:rPr>
                  <w:rPr>
                    <w:rFonts w:ascii="Cambria Math" w:hAnsi="Cambria Math"/>
                    <w:lang w:val="en-US"/>
                  </w:rPr>
                  <m:t>.</m:t>
                </m:r>
                <m:r>
                  <w:rPr>
                    <w:rFonts w:ascii="Cambria Math" w:hAnsi="Cambria Math"/>
                    <w:lang w:val="en-US"/>
                  </w:rPr>
                  <m:t>C</m:t>
                </m:r>
                <m:r>
                  <m:rPr>
                    <m:sty m:val="p"/>
                  </m:rPr>
                  <w:rPr>
                    <w:rFonts w:ascii="Cambria Math" w:hAnsi="Cambria Math"/>
                    <w:lang w:val="en-US"/>
                  </w:rPr>
                  <m:t>.</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D</m:t>
                </m:r>
              </m:e>
              <m:sub>
                <m:r>
                  <w:rPr>
                    <w:rFonts w:ascii="Cambria Math" w:hAnsi="Cambria Math"/>
                    <w:lang w:val="en-US"/>
                  </w:rPr>
                  <m:t>I</m:t>
                </m:r>
                <m:r>
                  <m:rPr>
                    <m:sty m:val="p"/>
                  </m:rPr>
                  <w:rPr>
                    <w:rFonts w:ascii="Cambria Math" w:hAnsi="Cambria Math"/>
                    <w:lang w:val="en-US"/>
                  </w:rPr>
                  <m:t>.</m:t>
                </m:r>
                <m:r>
                  <w:rPr>
                    <w:rFonts w:ascii="Cambria Math" w:hAnsi="Cambria Math"/>
                    <w:lang w:val="en-US"/>
                  </w:rPr>
                  <m:t>V</m:t>
                </m:r>
                <m:r>
                  <m:rPr>
                    <m:sty m:val="p"/>
                  </m:rPr>
                  <w:rPr>
                    <w:rFonts w:ascii="Cambria Math" w:hAnsi="Cambria Math"/>
                    <w:lang w:val="en-US"/>
                  </w:rPr>
                  <m:t>.</m:t>
                </m:r>
              </m:sub>
            </m:sSub>
          </m:num>
          <m:den>
            <m:sSub>
              <m:sSubPr>
                <m:ctrlPr>
                  <w:rPr>
                    <w:rFonts w:ascii="Cambria Math" w:hAnsi="Cambria Math"/>
                    <w:lang w:val="en-US"/>
                  </w:rPr>
                </m:ctrlPr>
              </m:sSubPr>
              <m:e>
                <m:r>
                  <w:rPr>
                    <w:rFonts w:ascii="Cambria Math" w:hAnsi="Cambria Math"/>
                    <w:lang w:val="en-US"/>
                  </w:rPr>
                  <m:t>AUC</m:t>
                </m:r>
              </m:e>
              <m:sub>
                <m:r>
                  <w:rPr>
                    <w:rFonts w:ascii="Cambria Math" w:hAnsi="Cambria Math"/>
                    <w:lang w:val="en-US"/>
                  </w:rPr>
                  <m:t>I</m:t>
                </m:r>
                <m:r>
                  <m:rPr>
                    <m:sty m:val="p"/>
                  </m:rPr>
                  <w:rPr>
                    <w:rFonts w:ascii="Cambria Math" w:hAnsi="Cambria Math"/>
                    <w:lang w:val="en-US"/>
                  </w:rPr>
                  <m:t>.</m:t>
                </m:r>
                <m:r>
                  <w:rPr>
                    <w:rFonts w:ascii="Cambria Math" w:hAnsi="Cambria Math"/>
                    <w:lang w:val="en-US"/>
                  </w:rPr>
                  <m:t>V</m:t>
                </m:r>
                <m:r>
                  <m:rPr>
                    <m:sty m:val="p"/>
                  </m:rPr>
                  <w:rPr>
                    <w:rFonts w:ascii="Cambria Math" w:hAnsi="Cambria Math"/>
                    <w:lang w:val="en-US"/>
                  </w:rPr>
                  <m:t>.</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D</m:t>
                </m:r>
              </m:e>
              <m:sub>
                <m:r>
                  <w:rPr>
                    <w:rFonts w:ascii="Cambria Math" w:hAnsi="Cambria Math"/>
                    <w:lang w:val="en-US"/>
                  </w:rPr>
                  <m:t>S</m:t>
                </m:r>
                <m:r>
                  <m:rPr>
                    <m:sty m:val="p"/>
                  </m:rPr>
                  <w:rPr>
                    <w:rFonts w:ascii="Cambria Math" w:hAnsi="Cambria Math"/>
                    <w:lang w:val="en-US"/>
                  </w:rPr>
                  <m:t>.</m:t>
                </m:r>
                <m:r>
                  <w:rPr>
                    <w:rFonts w:ascii="Cambria Math" w:hAnsi="Cambria Math"/>
                    <w:lang w:val="en-US"/>
                  </w:rPr>
                  <m:t>C</m:t>
                </m:r>
                <m:r>
                  <m:rPr>
                    <m:sty m:val="p"/>
                  </m:rPr>
                  <w:rPr>
                    <w:rFonts w:ascii="Cambria Math" w:hAnsi="Cambria Math"/>
                    <w:lang w:val="en-US"/>
                  </w:rPr>
                  <m:t>.</m:t>
                </m:r>
              </m:sub>
            </m:sSub>
          </m:den>
        </m:f>
      </m:oMath>
      <w:r w:rsidRPr="000F0D5C">
        <w:rPr>
          <w:lang w:val="en-US"/>
        </w:rPr>
        <w:t xml:space="preserve">        </w:t>
      </w:r>
      <w:r w:rsidR="000F0D5C">
        <w:rPr>
          <w:lang w:val="en-US"/>
        </w:rPr>
        <w:t>(6</w:t>
      </w:r>
      <w:r w:rsidRPr="000F0D5C">
        <w:rPr>
          <w:lang w:val="en-US"/>
        </w:rPr>
        <w:t>)</w:t>
      </w:r>
    </w:p>
    <w:p w:rsidR="00FE0317" w:rsidRPr="000F0D5C" w:rsidRDefault="00FE0317" w:rsidP="00FE0317">
      <w:pPr>
        <w:pStyle w:val="Newparagraph"/>
        <w:rPr>
          <w:lang w:val="en-US"/>
        </w:rPr>
      </w:pPr>
      <w:r w:rsidRPr="000F0D5C">
        <w:rPr>
          <w:lang w:val="en-US"/>
        </w:rPr>
        <w:t>Clearance (CL) describes the process of irreversible elimination of venom and AV from systemic circulation and was calculated as follows:</w:t>
      </w:r>
    </w:p>
    <w:p w:rsidR="00FE0317" w:rsidRPr="000F0D5C" w:rsidRDefault="00FE0317" w:rsidP="00FE0317">
      <w:pPr>
        <w:pStyle w:val="Displayedequation"/>
        <w:rPr>
          <w:lang w:val="en-US"/>
        </w:rPr>
      </w:pPr>
      <m:oMath>
        <m:r>
          <w:rPr>
            <w:rFonts w:ascii="Cambria Math" w:hAnsi="Cambria Math"/>
            <w:lang w:val="en-US"/>
          </w:rPr>
          <m:t>CL</m:t>
        </m:r>
        <m:r>
          <m:rPr>
            <m:sty m:val="p"/>
          </m:rPr>
          <w:rPr>
            <w:rFonts w:ascii="Cambria Math" w:hAnsi="Cambria Math"/>
            <w:lang w:val="en-US"/>
          </w:rPr>
          <m:t xml:space="preserve">= </m:t>
        </m:r>
        <m:f>
          <m:fPr>
            <m:type m:val="skw"/>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D</m:t>
                </m:r>
              </m:e>
              <m:sub>
                <m:r>
                  <w:rPr>
                    <w:rFonts w:ascii="Cambria Math" w:hAnsi="Cambria Math"/>
                    <w:lang w:val="en-US"/>
                  </w:rPr>
                  <m:t>I</m:t>
                </m:r>
                <m:r>
                  <m:rPr>
                    <m:sty m:val="p"/>
                  </m:rPr>
                  <w:rPr>
                    <w:rFonts w:ascii="Cambria Math" w:hAnsi="Cambria Math"/>
                    <w:lang w:val="en-US"/>
                  </w:rPr>
                  <m:t>.</m:t>
                </m:r>
                <m:r>
                  <w:rPr>
                    <w:rFonts w:ascii="Cambria Math" w:hAnsi="Cambria Math"/>
                    <w:lang w:val="en-US"/>
                  </w:rPr>
                  <m:t>V</m:t>
                </m:r>
                <m:r>
                  <m:rPr>
                    <m:sty m:val="p"/>
                  </m:rPr>
                  <w:rPr>
                    <w:rFonts w:ascii="Cambria Math" w:hAnsi="Cambria Math"/>
                    <w:lang w:val="en-US"/>
                  </w:rPr>
                  <m:t>.</m:t>
                </m:r>
              </m:sub>
            </m:sSub>
          </m:num>
          <m:den>
            <m:sSub>
              <m:sSubPr>
                <m:ctrlPr>
                  <w:rPr>
                    <w:rFonts w:ascii="Cambria Math" w:hAnsi="Cambria Math"/>
                    <w:lang w:val="en-US"/>
                  </w:rPr>
                </m:ctrlPr>
              </m:sSubPr>
              <m:e>
                <m:r>
                  <w:rPr>
                    <w:rFonts w:ascii="Cambria Math" w:hAnsi="Cambria Math"/>
                    <w:lang w:val="en-US"/>
                  </w:rPr>
                  <m:t>AUC</m:t>
                </m:r>
              </m:e>
              <m:sub>
                <m:r>
                  <w:rPr>
                    <w:rFonts w:ascii="Cambria Math" w:hAnsi="Cambria Math"/>
                    <w:lang w:val="en-US"/>
                  </w:rPr>
                  <m:t>I</m:t>
                </m:r>
                <m:r>
                  <m:rPr>
                    <m:sty m:val="p"/>
                  </m:rPr>
                  <w:rPr>
                    <w:rFonts w:ascii="Cambria Math" w:hAnsi="Cambria Math"/>
                    <w:lang w:val="en-US"/>
                  </w:rPr>
                  <m:t>.</m:t>
                </m:r>
                <m:r>
                  <w:rPr>
                    <w:rFonts w:ascii="Cambria Math" w:hAnsi="Cambria Math"/>
                    <w:lang w:val="en-US"/>
                  </w:rPr>
                  <m:t>V</m:t>
                </m:r>
                <m:r>
                  <m:rPr>
                    <m:sty m:val="p"/>
                  </m:rPr>
                  <w:rPr>
                    <w:rFonts w:ascii="Cambria Math" w:hAnsi="Cambria Math"/>
                    <w:lang w:val="en-US"/>
                  </w:rPr>
                  <m:t>.</m:t>
                </m:r>
              </m:sub>
            </m:sSub>
          </m:den>
        </m:f>
      </m:oMath>
      <w:r w:rsidRPr="000F0D5C">
        <w:rPr>
          <w:lang w:val="en-US"/>
        </w:rPr>
        <w:t xml:space="preserve">               (</w:t>
      </w:r>
      <w:r w:rsidR="000F0D5C">
        <w:rPr>
          <w:lang w:val="en-US"/>
        </w:rPr>
        <w:t>7</w:t>
      </w:r>
      <w:r w:rsidRPr="000F0D5C">
        <w:rPr>
          <w:lang w:val="en-US"/>
        </w:rPr>
        <w:t>)</w:t>
      </w:r>
    </w:p>
    <w:p w:rsidR="00FE0317" w:rsidRPr="000F0D5C" w:rsidRDefault="00FE0317" w:rsidP="00FE0317">
      <w:pPr>
        <w:pStyle w:val="Newparagraph"/>
        <w:rPr>
          <w:lang w:val="en-US"/>
        </w:rPr>
      </w:pPr>
      <w:r w:rsidRPr="000F0D5C">
        <w:rPr>
          <w:lang w:val="en-US"/>
        </w:rPr>
        <w:t>Mean residence time (MRT) refers to average time that venom and AV stays in the body; it is defined by:</w:t>
      </w:r>
    </w:p>
    <w:p w:rsidR="00FE0317" w:rsidRPr="000F0D5C" w:rsidRDefault="00FE0317" w:rsidP="00FE0317">
      <w:pPr>
        <w:pStyle w:val="Displayedequation"/>
        <w:rPr>
          <w:lang w:val="en-US"/>
        </w:rPr>
      </w:pPr>
      <m:oMath>
        <m:r>
          <w:rPr>
            <w:rFonts w:ascii="Cambria Math" w:hAnsi="Cambria Math"/>
            <w:lang w:val="en-US"/>
          </w:rPr>
          <m:t>MRT</m:t>
        </m:r>
        <m:r>
          <m:rPr>
            <m:sty m:val="p"/>
          </m:rPr>
          <w:rPr>
            <w:rFonts w:ascii="Cambria Math" w:hAnsi="Cambria Math"/>
            <w:lang w:val="en-US"/>
          </w:rPr>
          <m:t xml:space="preserve"> =</m:t>
        </m:r>
        <m:f>
          <m:fPr>
            <m:type m:val="skw"/>
            <m:ctrlPr>
              <w:rPr>
                <w:rFonts w:ascii="Cambria Math" w:hAnsi="Cambria Math"/>
                <w:lang w:val="en-US"/>
              </w:rPr>
            </m:ctrlPr>
          </m:fPr>
          <m:num>
            <m:r>
              <w:rPr>
                <w:rFonts w:ascii="Cambria Math" w:hAnsi="Cambria Math"/>
                <w:lang w:val="en-US"/>
              </w:rPr>
              <m:t>AUMC</m:t>
            </m:r>
          </m:num>
          <m:den>
            <m:r>
              <w:rPr>
                <w:rFonts w:ascii="Cambria Math" w:hAnsi="Cambria Math"/>
                <w:lang w:val="en-US"/>
              </w:rPr>
              <m:t>AUC</m:t>
            </m:r>
          </m:den>
        </m:f>
      </m:oMath>
      <w:r w:rsidRPr="000F0D5C">
        <w:rPr>
          <w:lang w:val="en-US"/>
        </w:rPr>
        <w:t xml:space="preserve">             </w:t>
      </w:r>
      <w:r w:rsidR="000F0D5C">
        <w:rPr>
          <w:lang w:val="en-US"/>
        </w:rPr>
        <w:t>(8</w:t>
      </w:r>
      <w:r w:rsidRPr="000F0D5C">
        <w:rPr>
          <w:lang w:val="en-US"/>
        </w:rPr>
        <w:t>)</w:t>
      </w:r>
    </w:p>
    <w:p w:rsidR="00FE0317" w:rsidRPr="000F0D5C" w:rsidRDefault="00FE0317" w:rsidP="00FE0317">
      <w:pPr>
        <w:pStyle w:val="Newparagraph"/>
        <w:rPr>
          <w:lang w:val="en-US"/>
        </w:rPr>
      </w:pPr>
      <w:r w:rsidRPr="000F0D5C">
        <w:rPr>
          <w:lang w:val="en-US"/>
        </w:rPr>
        <w:t xml:space="preserve"> The area under the first moment curve (AUMC) was estimated using trapezoidal numerical integration: </w:t>
      </w:r>
    </w:p>
    <w:p w:rsidR="00FE0317" w:rsidRPr="000F0D5C" w:rsidRDefault="000F0D5C" w:rsidP="00FE0317">
      <w:pPr>
        <w:pStyle w:val="Displayedequation"/>
        <w:rPr>
          <w:lang w:val="en-US"/>
        </w:rPr>
      </w:pPr>
      <m:oMath>
        <m:sSub>
          <m:sSubPr>
            <m:ctrlPr>
              <w:rPr>
                <w:rFonts w:ascii="Cambria Math" w:hAnsi="Cambria Math"/>
                <w:lang w:val="en-US"/>
              </w:rPr>
            </m:ctrlPr>
          </m:sSubPr>
          <m:e>
            <m:r>
              <w:rPr>
                <w:rFonts w:ascii="Cambria Math" w:hAnsi="Cambria Math"/>
                <w:lang w:val="en-US"/>
              </w:rPr>
              <m:t>AUMC</m:t>
            </m:r>
          </m:e>
          <m:sub>
            <m:r>
              <m:rPr>
                <m:sty m:val="p"/>
              </m:rPr>
              <w:rPr>
                <w:rFonts w:ascii="Cambria Math" w:hAnsi="Cambria Math"/>
                <w:lang w:val="en-US"/>
              </w:rPr>
              <m:t>0-</m:t>
            </m:r>
            <m:r>
              <w:rPr>
                <w:rFonts w:ascii="Cambria Math" w:hAnsi="Cambria Math"/>
                <w:lang w:val="en-US"/>
              </w:rPr>
              <m:t>t</m:t>
            </m:r>
          </m:sub>
        </m:sSub>
        <m:r>
          <m:rPr>
            <m:sty m:val="p"/>
          </m:rPr>
          <w:rPr>
            <w:rFonts w:ascii="Cambria Math" w:hAnsi="Cambria Math"/>
            <w:lang w:val="en-US"/>
          </w:rPr>
          <m:t>=</m:t>
        </m:r>
        <m:nary>
          <m:naryPr>
            <m:limLoc m:val="subSup"/>
            <m:ctrlPr>
              <w:rPr>
                <w:rFonts w:ascii="Cambria Math" w:hAnsi="Cambria Math"/>
                <w:lang w:val="en-US"/>
              </w:rPr>
            </m:ctrlPr>
          </m:naryPr>
          <m:sub>
            <m:r>
              <m:rPr>
                <m:sty m:val="p"/>
              </m:rPr>
              <w:rPr>
                <w:rFonts w:ascii="Cambria Math" w:hAnsi="Cambria Math"/>
                <w:lang w:val="en-US"/>
              </w:rPr>
              <m:t>0</m:t>
            </m:r>
          </m:sub>
          <m:sup>
            <m:r>
              <w:rPr>
                <w:rFonts w:ascii="Cambria Math" w:hAnsi="Cambria Math"/>
                <w:lang w:val="en-US"/>
              </w:rPr>
              <m:t>t</m:t>
            </m:r>
          </m:sup>
          <m:e>
            <m:r>
              <w:rPr>
                <w:rFonts w:ascii="Cambria Math" w:hAnsi="Cambria Math"/>
                <w:lang w:val="en-US"/>
              </w:rPr>
              <m:t>Csdt</m:t>
            </m:r>
          </m:e>
        </m:nary>
        <m:r>
          <m:rPr>
            <m:sty m:val="p"/>
          </m:rPr>
          <w:rPr>
            <w:rFonts w:ascii="Cambria Math" w:hAnsi="Cambria Math"/>
            <w:lang w:val="en-US"/>
          </w:rPr>
          <m:t>=</m:t>
        </m:r>
        <m:nary>
          <m:naryPr>
            <m:chr m:val="∑"/>
            <m:limLoc m:val="undOvr"/>
            <m:ctrlPr>
              <w:rPr>
                <w:rFonts w:ascii="Cambria Math" w:hAnsi="Cambria Math"/>
                <w:lang w:val="en-US"/>
              </w:rPr>
            </m:ctrlPr>
          </m:naryPr>
          <m:sub>
            <m:r>
              <w:rPr>
                <w:rFonts w:ascii="Cambria Math" w:hAnsi="Cambria Math"/>
                <w:lang w:val="en-US"/>
              </w:rPr>
              <m:t>i</m:t>
            </m:r>
            <m:r>
              <m:rPr>
                <m:sty m:val="p"/>
              </m:rPr>
              <w:rPr>
                <w:rFonts w:ascii="Cambria Math" w:hAnsi="Cambria Math"/>
                <w:lang w:val="en-US"/>
              </w:rPr>
              <m:t>=0</m:t>
            </m:r>
          </m:sub>
          <m:sup>
            <m:r>
              <w:rPr>
                <w:rFonts w:ascii="Cambria Math" w:hAnsi="Cambria Math"/>
                <w:lang w:val="en-US"/>
              </w:rPr>
              <m:t>i</m:t>
            </m:r>
            <m:r>
              <m:rPr>
                <m:sty m:val="p"/>
              </m:rPr>
              <w:rPr>
                <w:rFonts w:ascii="Cambria Math" w:hAnsi="Cambria Math"/>
                <w:lang w:val="en-US"/>
              </w:rPr>
              <m:t>=</m:t>
            </m:r>
            <m:r>
              <w:rPr>
                <w:rFonts w:ascii="Cambria Math" w:hAnsi="Cambria Math"/>
                <w:lang w:val="en-US"/>
              </w:rPr>
              <m:t>t</m:t>
            </m:r>
          </m:sup>
          <m:e>
            <m:d>
              <m:dPr>
                <m:ctrlPr>
                  <w:rPr>
                    <w:rFonts w:ascii="Cambria Math" w:hAnsi="Cambria Math"/>
                    <w:lang w:val="en-US"/>
                  </w:rPr>
                </m:ctrlPr>
              </m:dPr>
              <m:e>
                <m:f>
                  <m:fPr>
                    <m:type m:val="lin"/>
                    <m:ctrlPr>
                      <w:rPr>
                        <w:rFonts w:ascii="Cambria Math" w:hAnsi="Cambria Math"/>
                        <w:lang w:val="en-US"/>
                      </w:rPr>
                    </m:ctrlPr>
                  </m:fPr>
                  <m:num>
                    <m:r>
                      <m:rPr>
                        <m:sty m:val="p"/>
                      </m:rPr>
                      <w:rPr>
                        <w:rFonts w:ascii="Cambria Math" w:hAnsi="Cambria Math"/>
                        <w:lang w:val="en-US"/>
                      </w:rPr>
                      <m:t>1</m:t>
                    </m:r>
                  </m:num>
                  <m:den>
                    <m:r>
                      <m:rPr>
                        <m:sty m:val="p"/>
                      </m:rPr>
                      <w:rPr>
                        <w:rFonts w:ascii="Cambria Math" w:hAnsi="Cambria Math"/>
                        <w:lang w:val="en-US"/>
                      </w:rPr>
                      <m:t>6</m:t>
                    </m:r>
                  </m:den>
                </m:f>
              </m:e>
            </m:d>
            <m:r>
              <m:rPr>
                <m:sty m:val="p"/>
              </m:rPr>
              <w:rPr>
                <w:rFonts w:ascii="Cambria Math" w:hAnsi="Cambria Math"/>
                <w:lang w:val="en-US"/>
              </w:rPr>
              <m:t>×</m:t>
            </m:r>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i</m:t>
                    </m:r>
                    <m:r>
                      <m:rPr>
                        <m:sty m:val="p"/>
                      </m:rPr>
                      <w:rPr>
                        <w:rFonts w:ascii="Cambria Math" w:hAnsi="Cambria Math"/>
                        <w:lang w:val="en-US"/>
                      </w:rPr>
                      <m:t>+1</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i</m:t>
                    </m:r>
                  </m:sub>
                </m:sSub>
              </m:e>
            </m:d>
            <m:r>
              <m:rPr>
                <m:sty m:val="p"/>
              </m:rPr>
              <w:rPr>
                <w:rFonts w:ascii="Cambria Math" w:hAnsi="Cambria Math"/>
                <w:lang w:val="en-US"/>
              </w:rPr>
              <m:t>×</m:t>
            </m:r>
            <m:d>
              <m:dPr>
                <m:begChr m:val="["/>
                <m:endChr m:val="]"/>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i</m:t>
                    </m:r>
                    <m:r>
                      <m:rPr>
                        <m:sty m:val="p"/>
                      </m:rPr>
                      <w:rPr>
                        <w:rFonts w:ascii="Cambria Math" w:hAnsi="Cambria Math"/>
                        <w:lang w:val="en-US"/>
                      </w:rPr>
                      <m:t>+1</m:t>
                    </m:r>
                  </m:sub>
                </m:sSub>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Cs</m:t>
                        </m:r>
                      </m:e>
                      <m:sub>
                        <m:r>
                          <w:rPr>
                            <w:rFonts w:ascii="Cambria Math" w:hAnsi="Cambria Math"/>
                            <w:lang w:val="en-US"/>
                          </w:rPr>
                          <m:t>i</m:t>
                        </m:r>
                      </m:sub>
                    </m:sSub>
                    <m:r>
                      <m:rPr>
                        <m:sty m:val="p"/>
                      </m:rPr>
                      <w:rPr>
                        <w:rFonts w:ascii="Cambria Math" w:hAnsi="Cambria Math"/>
                        <w:lang w:val="en-US"/>
                      </w:rPr>
                      <m:t xml:space="preserve">+ </m:t>
                    </m:r>
                    <m:sSub>
                      <m:sSubPr>
                        <m:ctrlPr>
                          <w:rPr>
                            <w:rFonts w:ascii="Cambria Math" w:hAnsi="Cambria Math"/>
                            <w:lang w:val="en-US"/>
                          </w:rPr>
                        </m:ctrlPr>
                      </m:sSubPr>
                      <m:e>
                        <m:r>
                          <m:rPr>
                            <m:sty m:val="p"/>
                          </m:rPr>
                          <w:rPr>
                            <w:rFonts w:ascii="Cambria Math" w:hAnsi="Cambria Math"/>
                            <w:lang w:val="en-US"/>
                          </w:rPr>
                          <m:t>2</m:t>
                        </m:r>
                        <m:r>
                          <w:rPr>
                            <w:rFonts w:ascii="Cambria Math" w:hAnsi="Cambria Math"/>
                            <w:lang w:val="en-US"/>
                          </w:rPr>
                          <m:t>Cs</m:t>
                        </m:r>
                      </m:e>
                      <m:sub>
                        <m:r>
                          <w:rPr>
                            <w:rFonts w:ascii="Cambria Math" w:hAnsi="Cambria Math"/>
                            <w:lang w:val="en-US"/>
                          </w:rPr>
                          <m:t>i</m:t>
                        </m:r>
                        <m:r>
                          <m:rPr>
                            <m:sty m:val="p"/>
                          </m:rPr>
                          <w:rPr>
                            <w:rFonts w:ascii="Cambria Math" w:hAnsi="Cambria Math"/>
                            <w:lang w:val="en-US"/>
                          </w:rPr>
                          <m:t>+1</m:t>
                        </m:r>
                      </m:sub>
                    </m:sSub>
                  </m:e>
                </m:d>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i</m:t>
                    </m:r>
                  </m:sub>
                </m:sSub>
                <m:d>
                  <m:dPr>
                    <m:ctrlPr>
                      <w:rPr>
                        <w:rFonts w:ascii="Cambria Math" w:hAnsi="Cambria Math"/>
                        <w:lang w:val="en-US"/>
                      </w:rPr>
                    </m:ctrlPr>
                  </m:dPr>
                  <m:e>
                    <m:sSub>
                      <m:sSubPr>
                        <m:ctrlPr>
                          <w:rPr>
                            <w:rFonts w:ascii="Cambria Math" w:hAnsi="Cambria Math"/>
                            <w:lang w:val="en-US"/>
                          </w:rPr>
                        </m:ctrlPr>
                      </m:sSubPr>
                      <m:e>
                        <m:r>
                          <m:rPr>
                            <m:sty m:val="p"/>
                          </m:rPr>
                          <w:rPr>
                            <w:rFonts w:ascii="Cambria Math" w:hAnsi="Cambria Math"/>
                            <w:lang w:val="en-US"/>
                          </w:rPr>
                          <m:t>2</m:t>
                        </m:r>
                        <m:r>
                          <w:rPr>
                            <w:rFonts w:ascii="Cambria Math" w:hAnsi="Cambria Math"/>
                            <w:lang w:val="en-US"/>
                          </w:rPr>
                          <m:t>Cs</m:t>
                        </m:r>
                      </m:e>
                      <m:sub>
                        <m:r>
                          <w:rPr>
                            <w:rFonts w:ascii="Cambria Math" w:hAnsi="Cambria Math"/>
                            <w:lang w:val="en-US"/>
                          </w:rPr>
                          <m:t>i</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Cs</m:t>
                        </m:r>
                      </m:e>
                      <m:sub>
                        <m:r>
                          <w:rPr>
                            <w:rFonts w:ascii="Cambria Math" w:hAnsi="Cambria Math"/>
                            <w:lang w:val="en-US"/>
                          </w:rPr>
                          <m:t>i</m:t>
                        </m:r>
                        <m:r>
                          <m:rPr>
                            <m:sty m:val="p"/>
                          </m:rPr>
                          <w:rPr>
                            <w:rFonts w:ascii="Cambria Math" w:hAnsi="Cambria Math"/>
                            <w:lang w:val="en-US"/>
                          </w:rPr>
                          <m:t>+1</m:t>
                        </m:r>
                      </m:sub>
                    </m:sSub>
                  </m:e>
                </m:d>
              </m:e>
            </m:d>
          </m:e>
        </m:nary>
      </m:oMath>
      <w:r w:rsidR="00FE0317" w:rsidRPr="000F0D5C">
        <w:rPr>
          <w:lang w:val="en-US"/>
        </w:rPr>
        <w:t xml:space="preserve">                        (</w:t>
      </w:r>
      <w:r>
        <w:rPr>
          <w:lang w:val="en-US"/>
        </w:rPr>
        <w:t>9</w:t>
      </w:r>
      <w:r w:rsidR="00FE0317" w:rsidRPr="000F0D5C">
        <w:rPr>
          <w:lang w:val="en-US"/>
        </w:rPr>
        <w:t>)</w:t>
      </w:r>
    </w:p>
    <w:p w:rsidR="00FE0317" w:rsidRPr="000F0D5C" w:rsidRDefault="00FE0317" w:rsidP="00FE0317">
      <w:pPr>
        <w:pStyle w:val="Newparagraph"/>
        <w:rPr>
          <w:lang w:val="en-US"/>
        </w:rPr>
      </w:pPr>
      <w:r w:rsidRPr="000F0D5C">
        <w:rPr>
          <w:lang w:val="en-US"/>
        </w:rPr>
        <w:t>Volume of distribution at steady state (</w:t>
      </w:r>
      <w:proofErr w:type="spellStart"/>
      <w:r w:rsidRPr="000F0D5C">
        <w:rPr>
          <w:lang w:val="en-US"/>
        </w:rPr>
        <w:t>Vss</w:t>
      </w:r>
      <w:proofErr w:type="spellEnd"/>
      <w:r w:rsidRPr="000F0D5C">
        <w:rPr>
          <w:lang w:val="en-US"/>
        </w:rPr>
        <w:t>) refers to apparent volume of distribution when the concentration vs. time profile curve reaches equilibrium:</w:t>
      </w:r>
    </w:p>
    <w:p w:rsidR="00FE0317" w:rsidRPr="000F0D5C" w:rsidRDefault="00FE0317" w:rsidP="00FE0317">
      <w:pPr>
        <w:pStyle w:val="Displayedequation"/>
        <w:rPr>
          <w:lang w:val="en-US"/>
        </w:rPr>
      </w:pPr>
      <m:oMath>
        <m:r>
          <w:rPr>
            <w:rFonts w:ascii="Cambria Math" w:hAnsi="Cambria Math"/>
            <w:lang w:val="en-US"/>
          </w:rPr>
          <w:lastRenderedPageBreak/>
          <m:t>Vss =CL×MRT</m:t>
        </m:r>
      </m:oMath>
      <w:r w:rsidRPr="000F0D5C">
        <w:rPr>
          <w:lang w:val="en-US"/>
        </w:rPr>
        <w:t xml:space="preserve">                   </w:t>
      </w:r>
      <w:r w:rsidR="000F0D5C">
        <w:rPr>
          <w:lang w:val="en-US"/>
        </w:rPr>
        <w:t>(10</w:t>
      </w:r>
      <w:r w:rsidRPr="000F0D5C">
        <w:rPr>
          <w:lang w:val="en-US"/>
        </w:rPr>
        <w:t>)</w:t>
      </w:r>
    </w:p>
    <w:p w:rsidR="00FE0317" w:rsidRPr="000F0D5C" w:rsidRDefault="00FE0317" w:rsidP="00FE0317">
      <w:pPr>
        <w:pStyle w:val="Newparagraph"/>
        <w:rPr>
          <w:lang w:val="en-US"/>
        </w:rPr>
      </w:pPr>
      <w:r w:rsidRPr="000F0D5C">
        <w:rPr>
          <w:lang w:val="en-US"/>
        </w:rPr>
        <w:t>Maximum concentration (</w:t>
      </w:r>
      <w:proofErr w:type="spellStart"/>
      <w:r w:rsidRPr="000F0D5C">
        <w:rPr>
          <w:lang w:val="en-US"/>
        </w:rPr>
        <w:t>C</w:t>
      </w:r>
      <w:r w:rsidRPr="000F0D5C">
        <w:rPr>
          <w:vertAlign w:val="subscript"/>
          <w:lang w:val="en-US"/>
        </w:rPr>
        <w:t>max</w:t>
      </w:r>
      <w:proofErr w:type="spellEnd"/>
      <w:r w:rsidRPr="000F0D5C">
        <w:rPr>
          <w:lang w:val="en-US"/>
        </w:rPr>
        <w:t>), and the last concentration measured at the end of experiment (</w:t>
      </w:r>
      <w:proofErr w:type="spellStart"/>
      <w:r w:rsidRPr="000F0D5C">
        <w:rPr>
          <w:lang w:val="en-US"/>
        </w:rPr>
        <w:t>Cz</w:t>
      </w:r>
      <w:proofErr w:type="spellEnd"/>
      <w:r w:rsidRPr="000F0D5C">
        <w:rPr>
          <w:lang w:val="en-US"/>
        </w:rPr>
        <w:t>), were taken directly from experimental data, for both venom and AV.</w:t>
      </w:r>
    </w:p>
    <w:p w:rsidR="00FE0317" w:rsidRPr="000F0D5C" w:rsidRDefault="00FE0317" w:rsidP="00FE0317">
      <w:pPr>
        <w:pStyle w:val="Newparagraph"/>
        <w:rPr>
          <w:lang w:val="en-US"/>
        </w:rPr>
      </w:pPr>
      <w:r w:rsidRPr="000F0D5C">
        <w:rPr>
          <w:lang w:val="en-US"/>
        </w:rPr>
        <w:t>For group 3, the quantity of venom and AV in each lymph sample was calculated by multiplying the concentration obtained in each sample by the corresponding volume, and the cumulative amount was estimated by adding together the quantities previously calculated. Total recovery of venom was calculated as the sum of systemic availability in blood (F) and cumulative fraction of the dose recovered in lymph.</w:t>
      </w:r>
    </w:p>
    <w:p w:rsidR="00FE0317" w:rsidRDefault="00FE0317" w:rsidP="00FE0317">
      <w:pPr>
        <w:pStyle w:val="Newparagraph"/>
        <w:rPr>
          <w:lang w:val="en-US"/>
        </w:rPr>
      </w:pPr>
      <w:r w:rsidRPr="000F0D5C">
        <w:rPr>
          <w:lang w:val="en-US"/>
        </w:rPr>
        <w:t>Statistical comparisons between treatment groups were conducted for all parameters using the Student t-test.</w:t>
      </w:r>
    </w:p>
    <w:p w:rsidR="00274AC8" w:rsidRPr="00FE0317" w:rsidRDefault="00274AC8">
      <w:pPr>
        <w:rPr>
          <w:lang w:val="en-US"/>
        </w:rPr>
      </w:pPr>
    </w:p>
    <w:sectPr w:rsidR="00274AC8" w:rsidRPr="00FE031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Y2MbS0MDMzMLC0MLJU0lEKTi0uzszPAykwqgUAUqILgSwAAAA="/>
  </w:docVars>
  <w:rsids>
    <w:rsidRoot w:val="00FE0317"/>
    <w:rsid w:val="000F0D5C"/>
    <w:rsid w:val="00274AC8"/>
    <w:rsid w:val="00956821"/>
    <w:rsid w:val="00EF0A1F"/>
    <w:rsid w:val="00FE03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3818D"/>
  <w15:chartTrackingRefBased/>
  <w15:docId w15:val="{A9641BE7-F2C0-422B-8844-DD2994027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2">
    <w:name w:val="heading 2"/>
    <w:basedOn w:val="Normal"/>
    <w:next w:val="Paragraph"/>
    <w:link w:val="Ttulo2Car"/>
    <w:qFormat/>
    <w:rsid w:val="00FE0317"/>
    <w:pPr>
      <w:keepNext/>
      <w:spacing w:before="360" w:after="60" w:line="360" w:lineRule="auto"/>
      <w:ind w:right="567"/>
      <w:contextualSpacing/>
      <w:outlineLvl w:val="1"/>
    </w:pPr>
    <w:rPr>
      <w:rFonts w:ascii="Times New Roman" w:eastAsia="Times New Roman" w:hAnsi="Times New Roman" w:cs="Arial"/>
      <w:b/>
      <w:bCs/>
      <w:i/>
      <w:iCs/>
      <w:sz w:val="24"/>
      <w:szCs w:val="28"/>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E0317"/>
    <w:rPr>
      <w:rFonts w:ascii="Times New Roman" w:eastAsia="Times New Roman" w:hAnsi="Times New Roman" w:cs="Arial"/>
      <w:b/>
      <w:bCs/>
      <w:i/>
      <w:iCs/>
      <w:sz w:val="24"/>
      <w:szCs w:val="28"/>
      <w:lang w:val="en-GB" w:eastAsia="en-GB"/>
    </w:rPr>
  </w:style>
  <w:style w:type="paragraph" w:customStyle="1" w:styleId="Paragraph">
    <w:name w:val="Paragraph"/>
    <w:basedOn w:val="Normal"/>
    <w:next w:val="Newparagraph"/>
    <w:qFormat/>
    <w:rsid w:val="00FE0317"/>
    <w:pPr>
      <w:widowControl w:val="0"/>
      <w:spacing w:before="240" w:after="0" w:line="480" w:lineRule="auto"/>
    </w:pPr>
    <w:rPr>
      <w:rFonts w:ascii="Times New Roman" w:eastAsia="Times New Roman" w:hAnsi="Times New Roman" w:cs="Times New Roman"/>
      <w:sz w:val="24"/>
      <w:szCs w:val="24"/>
      <w:lang w:val="en-GB" w:eastAsia="en-GB"/>
    </w:rPr>
  </w:style>
  <w:style w:type="paragraph" w:customStyle="1" w:styleId="Newparagraph">
    <w:name w:val="New paragraph"/>
    <w:basedOn w:val="Normal"/>
    <w:qFormat/>
    <w:rsid w:val="00FE0317"/>
    <w:pPr>
      <w:spacing w:after="0" w:line="480" w:lineRule="auto"/>
      <w:ind w:firstLine="720"/>
    </w:pPr>
    <w:rPr>
      <w:rFonts w:ascii="Times New Roman" w:eastAsia="Times New Roman" w:hAnsi="Times New Roman" w:cs="Times New Roman"/>
      <w:sz w:val="24"/>
      <w:szCs w:val="24"/>
      <w:lang w:val="en-GB" w:eastAsia="en-GB"/>
    </w:rPr>
  </w:style>
  <w:style w:type="paragraph" w:customStyle="1" w:styleId="Displayedequation">
    <w:name w:val="Displayed equation"/>
    <w:basedOn w:val="Normal"/>
    <w:next w:val="Paragraph"/>
    <w:qFormat/>
    <w:rsid w:val="00FE0317"/>
    <w:pPr>
      <w:tabs>
        <w:tab w:val="center" w:pos="4253"/>
        <w:tab w:val="right" w:pos="8222"/>
      </w:tabs>
      <w:spacing w:before="240" w:after="240" w:line="480" w:lineRule="auto"/>
      <w:jc w:val="center"/>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5116</Words>
  <Characters>29164</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Dayanira Sheira Paniagua Meza</dc:creator>
  <cp:keywords/>
  <dc:description/>
  <cp:lastModifiedBy>Dayanira Sheira Paniagua Meza</cp:lastModifiedBy>
  <cp:revision>3</cp:revision>
  <dcterms:created xsi:type="dcterms:W3CDTF">2018-11-11T16:40:00Z</dcterms:created>
  <dcterms:modified xsi:type="dcterms:W3CDTF">2018-11-11T16:44:00Z</dcterms:modified>
</cp:coreProperties>
</file>