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F4" w:rsidRPr="00FC7363" w:rsidRDefault="00FC7363" w:rsidP="00FC73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363">
        <w:rPr>
          <w:rFonts w:ascii="Times New Roman" w:hAnsi="Times New Roman" w:cs="Times New Roman"/>
          <w:sz w:val="24"/>
          <w:szCs w:val="24"/>
        </w:rPr>
        <w:t xml:space="preserve">Supplemental Table 1. Causes of death among patients with moderate or </w:t>
      </w:r>
      <w:r>
        <w:rPr>
          <w:rFonts w:ascii="Times New Roman" w:hAnsi="Times New Roman" w:cs="Times New Roman"/>
          <w:sz w:val="24"/>
          <w:szCs w:val="24"/>
        </w:rPr>
        <w:t>severe</w:t>
      </w:r>
      <w:r w:rsidRPr="00FC7363">
        <w:rPr>
          <w:rFonts w:ascii="Times New Roman" w:hAnsi="Times New Roman" w:cs="Times New Roman"/>
          <w:sz w:val="24"/>
          <w:szCs w:val="24"/>
        </w:rPr>
        <w:t xml:space="preserve"> mitral regurgitation at baseline who underwent CABG versus CABG+SVR with or without mitral valve repair.</w:t>
      </w:r>
    </w:p>
    <w:p w:rsidR="002608F4" w:rsidRPr="00FC7363" w:rsidRDefault="002608F4" w:rsidP="00260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8"/>
        <w:gridCol w:w="2042"/>
        <w:gridCol w:w="2233"/>
        <w:gridCol w:w="2164"/>
        <w:gridCol w:w="2392"/>
        <w:gridCol w:w="1831"/>
      </w:tblGrid>
      <w:tr w:rsidR="00F05C13" w:rsidRPr="00FC7363" w:rsidTr="00F05C13">
        <w:tc>
          <w:tcPr>
            <w:tcW w:w="2288" w:type="dxa"/>
            <w:shd w:val="clear" w:color="auto" w:fill="BFBFBF" w:themeFill="background1" w:themeFillShade="BF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CABG Only</w:t>
            </w: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(N=50)</w:t>
            </w:r>
          </w:p>
        </w:tc>
        <w:tc>
          <w:tcPr>
            <w:tcW w:w="2233" w:type="dxa"/>
            <w:shd w:val="clear" w:color="auto" w:fill="BFBFBF" w:themeFill="background1" w:themeFillShade="BF"/>
            <w:vAlign w:val="bottom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CABG+MVRe</w:t>
            </w:r>
            <w:proofErr w:type="spellEnd"/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(N=44)</w:t>
            </w:r>
          </w:p>
        </w:tc>
        <w:tc>
          <w:tcPr>
            <w:tcW w:w="2164" w:type="dxa"/>
            <w:shd w:val="clear" w:color="auto" w:fill="BFBFBF" w:themeFill="background1" w:themeFillShade="BF"/>
            <w:vAlign w:val="bottom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CABG+SVR Only</w:t>
            </w: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(N=62)</w:t>
            </w:r>
          </w:p>
        </w:tc>
        <w:tc>
          <w:tcPr>
            <w:tcW w:w="2392" w:type="dxa"/>
            <w:shd w:val="clear" w:color="auto" w:fill="BFBFBF" w:themeFill="background1" w:themeFillShade="BF"/>
            <w:vAlign w:val="bottom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CABG+SVR+MVRe</w:t>
            </w:r>
            <w:proofErr w:type="spellEnd"/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(N=48)</w:t>
            </w:r>
          </w:p>
        </w:tc>
        <w:tc>
          <w:tcPr>
            <w:tcW w:w="1831" w:type="dxa"/>
            <w:shd w:val="clear" w:color="auto" w:fill="BFBFBF" w:themeFill="background1" w:themeFillShade="BF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(N=204)</w:t>
            </w:r>
          </w:p>
        </w:tc>
      </w:tr>
      <w:tr w:rsidR="00F05C13" w:rsidRPr="00FC7363" w:rsidTr="00F05C13">
        <w:tc>
          <w:tcPr>
            <w:tcW w:w="2288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All-cause death</w:t>
            </w:r>
          </w:p>
        </w:tc>
        <w:tc>
          <w:tcPr>
            <w:tcW w:w="2042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21 (42%)</w:t>
            </w:r>
          </w:p>
        </w:tc>
        <w:tc>
          <w:tcPr>
            <w:tcW w:w="2233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10 (23%)</w:t>
            </w:r>
          </w:p>
        </w:tc>
        <w:tc>
          <w:tcPr>
            <w:tcW w:w="2164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21 (34%)</w:t>
            </w:r>
          </w:p>
        </w:tc>
        <w:tc>
          <w:tcPr>
            <w:tcW w:w="2392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20 (42%)</w:t>
            </w:r>
          </w:p>
        </w:tc>
        <w:tc>
          <w:tcPr>
            <w:tcW w:w="1831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72 (35%)</w:t>
            </w:r>
          </w:p>
        </w:tc>
      </w:tr>
      <w:tr w:rsidR="00F05C13" w:rsidRPr="00FC7363" w:rsidTr="00F05C13">
        <w:tc>
          <w:tcPr>
            <w:tcW w:w="2288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Cardiovascular death</w:t>
            </w:r>
          </w:p>
        </w:tc>
        <w:tc>
          <w:tcPr>
            <w:tcW w:w="2042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C13" w:rsidRPr="00FC7363" w:rsidRDefault="00E37FA8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15 (30%)</w:t>
            </w:r>
          </w:p>
        </w:tc>
        <w:tc>
          <w:tcPr>
            <w:tcW w:w="2233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FA8" w:rsidRPr="00FC7363" w:rsidRDefault="00E37FA8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10 (23%)</w:t>
            </w:r>
          </w:p>
        </w:tc>
        <w:tc>
          <w:tcPr>
            <w:tcW w:w="2164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FA8" w:rsidRPr="00FC7363" w:rsidRDefault="009C0E7E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17 (27%)</w:t>
            </w:r>
          </w:p>
        </w:tc>
        <w:tc>
          <w:tcPr>
            <w:tcW w:w="2392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E7E" w:rsidRPr="00FC7363" w:rsidRDefault="009C0E7E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18 (38%)</w:t>
            </w:r>
          </w:p>
        </w:tc>
        <w:tc>
          <w:tcPr>
            <w:tcW w:w="1831" w:type="dxa"/>
          </w:tcPr>
          <w:p w:rsidR="00F05C13" w:rsidRPr="00FC7363" w:rsidRDefault="00F05C13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E7E" w:rsidRPr="00FC7363" w:rsidRDefault="009C0E7E" w:rsidP="00260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3">
              <w:rPr>
                <w:rFonts w:ascii="Times New Roman" w:hAnsi="Times New Roman" w:cs="Times New Roman"/>
                <w:sz w:val="24"/>
                <w:szCs w:val="24"/>
              </w:rPr>
              <w:t>60 (29%)</w:t>
            </w:r>
          </w:p>
        </w:tc>
      </w:tr>
    </w:tbl>
    <w:p w:rsidR="002608F4" w:rsidRDefault="002608F4" w:rsidP="00FC73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7363" w:rsidRPr="00FC7363" w:rsidRDefault="00FC7363" w:rsidP="00FC73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CABG, coronary artery bypass grafting; </w:t>
      </w:r>
      <w:proofErr w:type="spellStart"/>
      <w:r>
        <w:rPr>
          <w:rFonts w:ascii="Times New Roman" w:hAnsi="Times New Roman" w:cs="Times New Roman"/>
          <w:sz w:val="24"/>
          <w:szCs w:val="24"/>
        </w:rPr>
        <w:t>MVRe</w:t>
      </w:r>
      <w:proofErr w:type="spellEnd"/>
      <w:r>
        <w:rPr>
          <w:rFonts w:ascii="Times New Roman" w:hAnsi="Times New Roman" w:cs="Times New Roman"/>
          <w:sz w:val="24"/>
          <w:szCs w:val="24"/>
        </w:rPr>
        <w:t>, mitral valve repair; SVR, surgical ventricular reconstruction</w:t>
      </w:r>
    </w:p>
    <w:sectPr w:rsidR="00FC7363" w:rsidRPr="00FC7363" w:rsidSect="002608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/>
  <w:defaultTabStop w:val="720"/>
  <w:characterSpacingControl w:val="doNotCompress"/>
  <w:compat>
    <w:useFELayout/>
  </w:compat>
  <w:rsids>
    <w:rsidRoot w:val="003D4299"/>
    <w:rsid w:val="002608F4"/>
    <w:rsid w:val="003A4A92"/>
    <w:rsid w:val="003D4299"/>
    <w:rsid w:val="006C6096"/>
    <w:rsid w:val="006D7AB0"/>
    <w:rsid w:val="007F0A24"/>
    <w:rsid w:val="008868A9"/>
    <w:rsid w:val="008B76D9"/>
    <w:rsid w:val="009C0E7E"/>
    <w:rsid w:val="00E37FA8"/>
    <w:rsid w:val="00F05C13"/>
    <w:rsid w:val="00FC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>Duke Medicine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Lilin She, Ph.D.</dc:creator>
  <cp:lastModifiedBy>Michael Tsang</cp:lastModifiedBy>
  <cp:revision>2</cp:revision>
  <dcterms:created xsi:type="dcterms:W3CDTF">2018-12-01T07:07:00Z</dcterms:created>
  <dcterms:modified xsi:type="dcterms:W3CDTF">2018-12-01T07:07:00Z</dcterms:modified>
</cp:coreProperties>
</file>