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02C50" w14:textId="77777777" w:rsidR="009F53D8" w:rsidRPr="009F53D8" w:rsidRDefault="009F53D8" w:rsidP="009F53D8">
      <w:pPr>
        <w:spacing w:after="0" w:line="48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Supplementary Material</w:t>
      </w:r>
    </w:p>
    <w:p w14:paraId="01C0DED2" w14:textId="77777777" w:rsidR="009F53D8" w:rsidRDefault="009F53D8" w:rsidP="009F53D8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C73F24A" w14:textId="77777777" w:rsidR="00E459E0" w:rsidRPr="003958D9" w:rsidRDefault="00E459E0" w:rsidP="00E459E0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"/>
        </w:rPr>
      </w:pPr>
      <w:r w:rsidRPr="003958D9">
        <w:rPr>
          <w:rFonts w:ascii="Times New Roman" w:hAnsi="Times New Roman"/>
          <w:sz w:val="24"/>
          <w:szCs w:val="24"/>
          <w:lang w:val="en"/>
        </w:rPr>
        <w:t xml:space="preserve">The patient had a previous diagnosis of asymptomatic Multiple Myeloma (MM) </w:t>
      </w:r>
      <w:r>
        <w:rPr>
          <w:rFonts w:ascii="Times New Roman" w:hAnsi="Times New Roman"/>
          <w:sz w:val="24"/>
          <w:szCs w:val="24"/>
          <w:lang w:val="en"/>
        </w:rPr>
        <w:t>of IgG-</w:t>
      </w:r>
      <w:r w:rsidRPr="003958D9">
        <w:rPr>
          <w:rFonts w:ascii="Times New Roman" w:hAnsi="Times New Roman"/>
          <w:sz w:val="24"/>
          <w:szCs w:val="24"/>
          <w:lang w:val="en"/>
        </w:rPr>
        <w:t>lambda</w:t>
      </w:r>
      <w:r>
        <w:rPr>
          <w:rFonts w:ascii="Times New Roman" w:hAnsi="Times New Roman"/>
          <w:sz w:val="24"/>
          <w:szCs w:val="24"/>
          <w:lang w:val="en"/>
        </w:rPr>
        <w:t xml:space="preserve"> type</w:t>
      </w:r>
      <w:r w:rsidRPr="003958D9">
        <w:rPr>
          <w:rFonts w:ascii="Times New Roman" w:hAnsi="Times New Roman"/>
          <w:sz w:val="24"/>
          <w:szCs w:val="24"/>
          <w:lang w:val="en"/>
        </w:rPr>
        <w:t xml:space="preserve">, </w:t>
      </w:r>
      <w:r>
        <w:rPr>
          <w:rFonts w:ascii="Times New Roman" w:hAnsi="Times New Roman"/>
          <w:sz w:val="24"/>
          <w:szCs w:val="24"/>
          <w:lang w:val="en"/>
        </w:rPr>
        <w:t>made</w:t>
      </w:r>
      <w:r w:rsidRPr="003958D9">
        <w:rPr>
          <w:rFonts w:ascii="Times New Roman" w:hAnsi="Times New Roman"/>
          <w:sz w:val="24"/>
          <w:szCs w:val="24"/>
          <w:lang w:val="en"/>
        </w:rPr>
        <w:t xml:space="preserve"> 8 years before, in </w:t>
      </w:r>
      <w:r>
        <w:rPr>
          <w:rFonts w:ascii="Times New Roman" w:hAnsi="Times New Roman"/>
          <w:sz w:val="24"/>
          <w:szCs w:val="24"/>
          <w:lang w:val="en"/>
        </w:rPr>
        <w:t xml:space="preserve">a </w:t>
      </w:r>
      <w:r w:rsidRPr="003958D9">
        <w:rPr>
          <w:rFonts w:ascii="Times New Roman" w:hAnsi="Times New Roman"/>
          <w:sz w:val="24"/>
          <w:szCs w:val="24"/>
          <w:lang w:val="en"/>
        </w:rPr>
        <w:t xml:space="preserve">regular hematologic follow-up. </w:t>
      </w:r>
    </w:p>
    <w:p w14:paraId="5F30C507" w14:textId="49ED3843" w:rsidR="009F53D8" w:rsidRDefault="009F53D8" w:rsidP="009F53D8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"/>
        </w:rPr>
      </w:pPr>
      <w:r w:rsidRPr="003958D9">
        <w:rPr>
          <w:rFonts w:ascii="Times New Roman" w:hAnsi="Times New Roman"/>
          <w:sz w:val="24"/>
          <w:szCs w:val="24"/>
          <w:lang w:val="en-US"/>
        </w:rPr>
        <w:t xml:space="preserve">Neurologic examination revealed gait impairment, due to bilateral steppage and sensory ataxia. She had severe, bilateral, symmetric </w:t>
      </w:r>
      <w:r w:rsidRPr="003958D9">
        <w:rPr>
          <w:rFonts w:ascii="Times New Roman" w:hAnsi="Times New Roman"/>
          <w:sz w:val="24"/>
          <w:szCs w:val="24"/>
          <w:lang w:val="en"/>
        </w:rPr>
        <w:t xml:space="preserve">weakness and </w:t>
      </w:r>
      <w:r>
        <w:rPr>
          <w:rFonts w:ascii="Times New Roman" w:hAnsi="Times New Roman"/>
          <w:sz w:val="24"/>
          <w:szCs w:val="24"/>
          <w:lang w:val="en"/>
        </w:rPr>
        <w:t>a</w:t>
      </w:r>
      <w:r w:rsidRPr="003958D9">
        <w:rPr>
          <w:rFonts w:ascii="Times New Roman" w:hAnsi="Times New Roman"/>
          <w:sz w:val="24"/>
          <w:szCs w:val="24"/>
          <w:lang w:val="en"/>
        </w:rPr>
        <w:t xml:space="preserve">trophy affecting </w:t>
      </w:r>
      <w:proofErr w:type="spellStart"/>
      <w:r w:rsidRPr="003958D9">
        <w:rPr>
          <w:rFonts w:ascii="Times New Roman" w:hAnsi="Times New Roman"/>
          <w:sz w:val="24"/>
          <w:szCs w:val="24"/>
          <w:lang w:val="en"/>
        </w:rPr>
        <w:t>semidistal</w:t>
      </w:r>
      <w:proofErr w:type="spellEnd"/>
      <w:r w:rsidRPr="003958D9">
        <w:rPr>
          <w:rFonts w:ascii="Times New Roman" w:hAnsi="Times New Roman"/>
          <w:sz w:val="24"/>
          <w:szCs w:val="24"/>
          <w:lang w:val="en"/>
        </w:rPr>
        <w:t xml:space="preserve"> and distal muscles of all limbs</w:t>
      </w:r>
      <w:r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 w:rsidRPr="003958D9">
        <w:rPr>
          <w:rFonts w:ascii="Times New Roman" w:hAnsi="Times New Roman"/>
          <w:sz w:val="24"/>
          <w:szCs w:val="24"/>
          <w:lang w:val="en"/>
        </w:rPr>
        <w:t>paraesthesias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and hypoesthesia in a </w:t>
      </w:r>
      <w:r w:rsidRPr="003958D9">
        <w:rPr>
          <w:rFonts w:ascii="Times New Roman" w:hAnsi="Times New Roman"/>
          <w:sz w:val="24"/>
          <w:szCs w:val="24"/>
          <w:lang w:val="en"/>
        </w:rPr>
        <w:t xml:space="preserve">“stocking-and-glove” </w:t>
      </w:r>
      <w:r>
        <w:rPr>
          <w:rFonts w:ascii="Times New Roman" w:hAnsi="Times New Roman"/>
          <w:sz w:val="24"/>
          <w:szCs w:val="24"/>
          <w:lang w:val="en"/>
        </w:rPr>
        <w:t>pattern</w:t>
      </w:r>
      <w:r w:rsidRPr="003958D9">
        <w:rPr>
          <w:rFonts w:ascii="Times New Roman" w:hAnsi="Times New Roman"/>
          <w:sz w:val="24"/>
          <w:szCs w:val="24"/>
          <w:lang w:val="en"/>
        </w:rPr>
        <w:t xml:space="preserve"> </w:t>
      </w:r>
      <w:r w:rsidRPr="00E21440">
        <w:rPr>
          <w:rFonts w:ascii="Times New Roman" w:hAnsi="Times New Roman"/>
          <w:sz w:val="24"/>
          <w:szCs w:val="24"/>
          <w:lang w:val="en"/>
        </w:rPr>
        <w:t>a</w:t>
      </w:r>
      <w:r>
        <w:rPr>
          <w:rFonts w:ascii="Times New Roman" w:hAnsi="Times New Roman"/>
          <w:sz w:val="24"/>
          <w:szCs w:val="24"/>
          <w:lang w:val="en"/>
        </w:rPr>
        <w:t>nd loss of deep tendon reflexes</w:t>
      </w:r>
      <w:r w:rsidRPr="003958D9">
        <w:rPr>
          <w:rFonts w:ascii="Times New Roman" w:hAnsi="Times New Roman"/>
          <w:sz w:val="24"/>
          <w:szCs w:val="24"/>
          <w:lang w:val="en"/>
        </w:rPr>
        <w:t xml:space="preserve">. Cranial nerves were spared. She had no symptoms or signs of autonomic dysfunction. </w:t>
      </w:r>
    </w:p>
    <w:p w14:paraId="6D0373DC" w14:textId="7F459325" w:rsidR="009F53D8" w:rsidRPr="003958D9" w:rsidRDefault="009F53D8" w:rsidP="009F53D8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"/>
        </w:rPr>
      </w:pPr>
      <w:r w:rsidRPr="003958D9">
        <w:rPr>
          <w:rFonts w:ascii="Times New Roman" w:hAnsi="Times New Roman"/>
          <w:sz w:val="24"/>
          <w:szCs w:val="24"/>
          <w:lang w:val="en-US"/>
        </w:rPr>
        <w:t>Nerve conduction studies (NCS) were consistent with an axonal sensory-motor polyneuropathy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F53D8">
        <w:rPr>
          <w:rFonts w:ascii="Times New Roman" w:hAnsi="Times New Roman"/>
          <w:sz w:val="24"/>
          <w:szCs w:val="24"/>
          <w:lang w:val="en-US"/>
        </w:rPr>
        <w:t>(Supplementary Table)</w:t>
      </w:r>
      <w:r w:rsidRPr="003958D9">
        <w:rPr>
          <w:rFonts w:ascii="Times New Roman" w:hAnsi="Times New Roman"/>
          <w:sz w:val="24"/>
          <w:szCs w:val="24"/>
          <w:lang w:val="en-US"/>
        </w:rPr>
        <w:t xml:space="preserve">.  </w:t>
      </w:r>
    </w:p>
    <w:p w14:paraId="3880B95B" w14:textId="3B233DFA" w:rsidR="009F53D8" w:rsidRPr="003958D9" w:rsidRDefault="009F53D8" w:rsidP="009F53D8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958D9">
        <w:rPr>
          <w:rFonts w:ascii="Times New Roman" w:hAnsi="Times New Roman"/>
          <w:sz w:val="24"/>
          <w:szCs w:val="24"/>
          <w:lang w:val="en-US"/>
        </w:rPr>
        <w:t xml:space="preserve">Laboratory tests </w:t>
      </w:r>
      <w:r w:rsidR="00E459E0">
        <w:rPr>
          <w:rFonts w:ascii="Times New Roman" w:hAnsi="Times New Roman"/>
          <w:sz w:val="24"/>
          <w:szCs w:val="24"/>
          <w:lang w:val="en-US"/>
        </w:rPr>
        <w:t>confirmed</w:t>
      </w:r>
      <w:r w:rsidRPr="003958D9">
        <w:rPr>
          <w:rFonts w:ascii="Times New Roman" w:hAnsi="Times New Roman"/>
          <w:sz w:val="24"/>
          <w:szCs w:val="24"/>
          <w:lang w:val="en-US"/>
        </w:rPr>
        <w:t xml:space="preserve"> a serum IgG</w:t>
      </w:r>
      <w:r>
        <w:rPr>
          <w:rFonts w:ascii="Times New Roman" w:hAnsi="Times New Roman"/>
          <w:sz w:val="24"/>
          <w:szCs w:val="24"/>
          <w:lang w:val="en-US"/>
        </w:rPr>
        <w:t>-</w:t>
      </w:r>
      <w:r w:rsidRPr="003958D9">
        <w:rPr>
          <w:rFonts w:ascii="Times New Roman" w:hAnsi="Times New Roman"/>
          <w:sz w:val="24"/>
          <w:szCs w:val="24"/>
          <w:lang w:val="en-US"/>
        </w:rPr>
        <w:t xml:space="preserve">lambda monoclonal gammopathy with an IgG concentration of 4370 mg/dL (range: 700-1600) and a slight increase in free </w:t>
      </w:r>
      <w:r w:rsidRPr="003958D9">
        <w:rPr>
          <w:rFonts w:ascii="Symbol" w:hAnsi="Symbol"/>
          <w:sz w:val="24"/>
          <w:szCs w:val="24"/>
          <w:lang w:val="en-US"/>
        </w:rPr>
        <w:t></w:t>
      </w:r>
      <w:r w:rsidRPr="003958D9">
        <w:rPr>
          <w:rFonts w:ascii="Times New Roman" w:hAnsi="Times New Roman"/>
          <w:sz w:val="24"/>
          <w:szCs w:val="24"/>
          <w:lang w:val="en-US"/>
        </w:rPr>
        <w:t xml:space="preserve"> LCs (28.9 mg/L; range: 5.7-26.3) with a serum </w:t>
      </w:r>
      <w:r w:rsidRPr="003958D9">
        <w:rPr>
          <w:rFonts w:ascii="Symbol" w:hAnsi="Symbol"/>
          <w:sz w:val="24"/>
          <w:szCs w:val="24"/>
          <w:lang w:val="en-US"/>
        </w:rPr>
        <w:t></w:t>
      </w:r>
      <w:r w:rsidRPr="003958D9">
        <w:rPr>
          <w:rFonts w:ascii="Symbol" w:hAnsi="Symbol"/>
          <w:sz w:val="24"/>
          <w:szCs w:val="24"/>
          <w:lang w:val="en-US"/>
        </w:rPr>
        <w:t></w:t>
      </w:r>
      <w:r w:rsidRPr="003958D9">
        <w:rPr>
          <w:rFonts w:ascii="Symbol" w:hAnsi="Symbol"/>
          <w:sz w:val="24"/>
          <w:szCs w:val="24"/>
          <w:lang w:val="en-US"/>
        </w:rPr>
        <w:t></w:t>
      </w:r>
      <w:r w:rsidRPr="003958D9">
        <w:rPr>
          <w:rFonts w:ascii="Times New Roman" w:hAnsi="Times New Roman"/>
          <w:sz w:val="24"/>
          <w:szCs w:val="24"/>
          <w:lang w:val="en-US"/>
        </w:rPr>
        <w:t xml:space="preserve"> ratio of 0.13 (range: 0.26-1.65)</w:t>
      </w:r>
      <w:r>
        <w:rPr>
          <w:rFonts w:ascii="Times New Roman" w:hAnsi="Times New Roman"/>
          <w:sz w:val="24"/>
          <w:szCs w:val="24"/>
          <w:lang w:val="en-US"/>
        </w:rPr>
        <w:t>, and no</w:t>
      </w:r>
      <w:r w:rsidRPr="003958D9">
        <w:rPr>
          <w:rFonts w:ascii="Times New Roman" w:hAnsi="Times New Roman"/>
          <w:sz w:val="24"/>
          <w:szCs w:val="24"/>
          <w:lang w:val="en-US"/>
        </w:rPr>
        <w:t xml:space="preserve"> Bence Jones proteinuria. Remaining routine laboratory studies were all normal, including</w:t>
      </w:r>
      <w:r w:rsidRPr="00C6430D">
        <w:rPr>
          <w:lang w:val="en-GB"/>
        </w:rPr>
        <w:t xml:space="preserve"> </w:t>
      </w:r>
      <w:r w:rsidRPr="00C6430D">
        <w:rPr>
          <w:rFonts w:ascii="Times New Roman" w:hAnsi="Times New Roman"/>
          <w:sz w:val="24"/>
          <w:szCs w:val="24"/>
          <w:lang w:val="en-US"/>
        </w:rPr>
        <w:t xml:space="preserve">complete blood count, </w:t>
      </w:r>
      <w:r>
        <w:rPr>
          <w:rFonts w:ascii="Times New Roman" w:hAnsi="Times New Roman"/>
          <w:sz w:val="24"/>
          <w:szCs w:val="24"/>
          <w:lang w:val="en-US"/>
        </w:rPr>
        <w:t xml:space="preserve">renal function tests, </w:t>
      </w:r>
      <w:r w:rsidRPr="00C6430D">
        <w:rPr>
          <w:rFonts w:ascii="Times New Roman" w:hAnsi="Times New Roman"/>
          <w:sz w:val="24"/>
          <w:szCs w:val="24"/>
          <w:lang w:val="en-US"/>
        </w:rPr>
        <w:t>electrolytes,</w:t>
      </w:r>
      <w:r w:rsidRPr="003958D9">
        <w:rPr>
          <w:rFonts w:ascii="Times New Roman" w:hAnsi="Times New Roman"/>
          <w:sz w:val="24"/>
          <w:szCs w:val="24"/>
          <w:lang w:val="en-US"/>
        </w:rPr>
        <w:t xml:space="preserve"> beta-2 microglobulin, and auto-antibodies for systemic autoimmune disorders.</w:t>
      </w:r>
    </w:p>
    <w:p w14:paraId="3D53AA68" w14:textId="77777777" w:rsidR="009F53D8" w:rsidRDefault="009F53D8" w:rsidP="009F53D8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US"/>
        </w:rPr>
        <w:t>The c</w:t>
      </w:r>
      <w:r w:rsidRPr="003958D9">
        <w:rPr>
          <w:rFonts w:ascii="Times New Roman" w:hAnsi="Times New Roman"/>
          <w:sz w:val="24"/>
          <w:szCs w:val="24"/>
          <w:lang w:val="en-US"/>
        </w:rPr>
        <w:t xml:space="preserve">erebrospinal fluid analysis showed slight </w:t>
      </w:r>
      <w:r w:rsidRPr="003958D9">
        <w:rPr>
          <w:rFonts w:ascii="Times New Roman" w:hAnsi="Times New Roman"/>
          <w:bCs/>
          <w:sz w:val="24"/>
          <w:szCs w:val="24"/>
          <w:lang w:val="en-US" w:eastAsia="it-IT"/>
        </w:rPr>
        <w:t xml:space="preserve">hyperproteinorrachia (48 mg/dl; range: 20-40) without pleocytosis. </w:t>
      </w:r>
      <w:r>
        <w:rPr>
          <w:rFonts w:ascii="Times New Roman" w:hAnsi="Times New Roman"/>
          <w:bCs/>
          <w:sz w:val="24"/>
          <w:szCs w:val="24"/>
          <w:lang w:val="en-US" w:eastAsia="it-IT"/>
        </w:rPr>
        <w:t>A c</w:t>
      </w:r>
      <w:r w:rsidRPr="003958D9">
        <w:rPr>
          <w:rFonts w:ascii="Times New Roman" w:hAnsi="Times New Roman"/>
          <w:sz w:val="24"/>
          <w:szCs w:val="24"/>
          <w:lang w:val="en-US"/>
        </w:rPr>
        <w:t>ontrast-enhanced brain and spine</w:t>
      </w:r>
      <w:r>
        <w:rPr>
          <w:rFonts w:ascii="Times New Roman" w:hAnsi="Times New Roman"/>
          <w:sz w:val="24"/>
          <w:szCs w:val="24"/>
          <w:lang w:val="en-US"/>
        </w:rPr>
        <w:t xml:space="preserve"> MRI and</w:t>
      </w:r>
      <w:r w:rsidRPr="003958D9">
        <w:rPr>
          <w:rFonts w:ascii="Times New Roman" w:hAnsi="Times New Roman"/>
          <w:sz w:val="24"/>
          <w:szCs w:val="24"/>
          <w:lang w:val="en-US"/>
        </w:rPr>
        <w:t xml:space="preserve"> a whole-body CT </w:t>
      </w:r>
      <w:r>
        <w:rPr>
          <w:rFonts w:ascii="Times New Roman" w:hAnsi="Times New Roman"/>
          <w:sz w:val="24"/>
          <w:szCs w:val="24"/>
          <w:lang w:val="en-US"/>
        </w:rPr>
        <w:t>proved</w:t>
      </w:r>
      <w:r w:rsidRPr="003958D9">
        <w:rPr>
          <w:rFonts w:ascii="Times New Roman" w:hAnsi="Times New Roman"/>
          <w:sz w:val="24"/>
          <w:szCs w:val="24"/>
          <w:lang w:val="en-US"/>
        </w:rPr>
        <w:t xml:space="preserve"> both unremarkable, as well as cardiac investigations (EKG, ec</w:t>
      </w:r>
      <w:r>
        <w:rPr>
          <w:rFonts w:ascii="Times New Roman" w:hAnsi="Times New Roman"/>
          <w:sz w:val="24"/>
          <w:szCs w:val="24"/>
          <w:lang w:val="en-US"/>
        </w:rPr>
        <w:t>hocardiography, NT-proBNP determination</w:t>
      </w:r>
      <w:r w:rsidRPr="003958D9">
        <w:rPr>
          <w:rFonts w:ascii="Times New Roman" w:hAnsi="Times New Roman"/>
          <w:sz w:val="24"/>
          <w:szCs w:val="24"/>
          <w:lang w:val="en-US"/>
        </w:rPr>
        <w:t>).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E5025">
        <w:rPr>
          <w:rFonts w:ascii="Times New Roman" w:hAnsi="Times New Roman"/>
          <w:sz w:val="24"/>
          <w:szCs w:val="24"/>
          <w:lang w:val="en-GB"/>
        </w:rPr>
        <w:t xml:space="preserve">Whole-body </w:t>
      </w:r>
      <w:r w:rsidRPr="00A93FD4">
        <w:rPr>
          <w:rFonts w:ascii="Times New Roman" w:hAnsi="Times New Roman"/>
          <w:sz w:val="24"/>
          <w:szCs w:val="24"/>
          <w:vertAlign w:val="superscript"/>
          <w:lang w:val="en-GB"/>
        </w:rPr>
        <w:t>18</w:t>
      </w:r>
      <w:r w:rsidRPr="002E5025">
        <w:rPr>
          <w:rFonts w:ascii="Times New Roman" w:hAnsi="Times New Roman"/>
          <w:sz w:val="24"/>
          <w:szCs w:val="24"/>
          <w:lang w:val="en-GB"/>
        </w:rPr>
        <w:t xml:space="preserve">F-FDG PET/CT revealed a focal area of increased uptake in </w:t>
      </w:r>
      <w:r w:rsidRPr="003958D9">
        <w:rPr>
          <w:rFonts w:ascii="Times New Roman" w:hAnsi="Times New Roman"/>
          <w:sz w:val="24"/>
          <w:szCs w:val="24"/>
          <w:lang w:val="en-US"/>
        </w:rPr>
        <w:t>the soma of a thorac</w:t>
      </w:r>
      <w:r>
        <w:rPr>
          <w:rFonts w:ascii="Times New Roman" w:hAnsi="Times New Roman"/>
          <w:sz w:val="24"/>
          <w:szCs w:val="24"/>
          <w:lang w:val="en-US"/>
        </w:rPr>
        <w:t>ic vertebra (D10)</w:t>
      </w:r>
      <w:r w:rsidRPr="002E5025">
        <w:rPr>
          <w:rFonts w:ascii="Times New Roman" w:hAnsi="Times New Roman"/>
          <w:sz w:val="24"/>
          <w:szCs w:val="24"/>
          <w:lang w:val="en-GB"/>
        </w:rPr>
        <w:t>, not visible on skeletal X-rays.</w:t>
      </w:r>
    </w:p>
    <w:p w14:paraId="78C24B8E" w14:textId="68B92E1F" w:rsidR="00E459E0" w:rsidRPr="003958D9" w:rsidRDefault="00E459E0" w:rsidP="00E459E0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After providing written informed consent, t</w:t>
      </w:r>
      <w:r w:rsidRPr="003958D9">
        <w:rPr>
          <w:rFonts w:ascii="Times New Roman" w:hAnsi="Times New Roman"/>
          <w:sz w:val="24"/>
          <w:szCs w:val="24"/>
          <w:lang w:val="en-US"/>
        </w:rPr>
        <w:t>he patient underwent</w:t>
      </w:r>
      <w:r>
        <w:rPr>
          <w:rFonts w:ascii="Times New Roman" w:hAnsi="Times New Roman"/>
          <w:sz w:val="24"/>
          <w:szCs w:val="24"/>
          <w:lang w:val="en-US"/>
        </w:rPr>
        <w:t xml:space="preserve"> left</w:t>
      </w:r>
      <w:r w:rsidRPr="003958D9">
        <w:rPr>
          <w:rFonts w:ascii="Times New Roman" w:hAnsi="Times New Roman"/>
          <w:sz w:val="24"/>
          <w:szCs w:val="24"/>
          <w:lang w:val="en-US"/>
        </w:rPr>
        <w:t xml:space="preserve"> sural nerve biopsy. H&amp;E staining revealed a small </w:t>
      </w:r>
      <w:r>
        <w:rPr>
          <w:rFonts w:ascii="Times New Roman" w:hAnsi="Times New Roman"/>
          <w:sz w:val="24"/>
          <w:szCs w:val="24"/>
          <w:lang w:val="en-US"/>
        </w:rPr>
        <w:t>endoneural,</w:t>
      </w:r>
      <w:r w:rsidRPr="003958D9">
        <w:rPr>
          <w:rFonts w:ascii="Times New Roman" w:hAnsi="Times New Roman"/>
          <w:sz w:val="24"/>
          <w:szCs w:val="24"/>
          <w:lang w:val="en-US"/>
        </w:rPr>
        <w:t xml:space="preserve"> proteinaceous deposit </w:t>
      </w:r>
      <w:r>
        <w:rPr>
          <w:rFonts w:ascii="Times New Roman" w:hAnsi="Times New Roman"/>
          <w:sz w:val="24"/>
          <w:szCs w:val="24"/>
          <w:lang w:val="en-US"/>
        </w:rPr>
        <w:t xml:space="preserve">turning out </w:t>
      </w:r>
      <w:r w:rsidRPr="000D7634">
        <w:rPr>
          <w:rFonts w:ascii="Times New Roman" w:hAnsi="Times New Roman"/>
          <w:sz w:val="24"/>
          <w:szCs w:val="24"/>
          <w:lang w:val="en-US"/>
        </w:rPr>
        <w:t>negative for Congo red stain</w:t>
      </w:r>
      <w:r w:rsidRPr="003958D9">
        <w:rPr>
          <w:rFonts w:ascii="Times New Roman" w:hAnsi="Times New Roman"/>
          <w:sz w:val="24"/>
          <w:szCs w:val="24"/>
          <w:lang w:val="en-US"/>
        </w:rPr>
        <w:t>. Direct immunofluorescence using anti-</w:t>
      </w:r>
      <w:r>
        <w:rPr>
          <w:rFonts w:ascii="Times New Roman" w:hAnsi="Times New Roman"/>
          <w:sz w:val="24"/>
          <w:szCs w:val="24"/>
          <w:lang w:val="en-US"/>
        </w:rPr>
        <w:t>light chains (</w:t>
      </w:r>
      <w:r w:rsidRPr="003958D9">
        <w:rPr>
          <w:rFonts w:ascii="Times New Roman" w:hAnsi="Times New Roman"/>
          <w:sz w:val="24"/>
          <w:szCs w:val="24"/>
          <w:lang w:val="en-US"/>
        </w:rPr>
        <w:t>LCs</w:t>
      </w:r>
      <w:r>
        <w:rPr>
          <w:rFonts w:ascii="Times New Roman" w:hAnsi="Times New Roman"/>
          <w:sz w:val="24"/>
          <w:szCs w:val="24"/>
          <w:lang w:val="en-US"/>
        </w:rPr>
        <w:t>)</w:t>
      </w:r>
      <w:r w:rsidRPr="003958D9">
        <w:rPr>
          <w:rFonts w:ascii="Times New Roman" w:hAnsi="Times New Roman"/>
          <w:sz w:val="24"/>
          <w:szCs w:val="24"/>
          <w:lang w:val="en-US"/>
        </w:rPr>
        <w:t xml:space="preserve">, anti-IgG, and anti-transthyretin antibodies showed diffuse deposits of lambda LCs, </w:t>
      </w:r>
      <w:r>
        <w:rPr>
          <w:rFonts w:ascii="Times New Roman" w:hAnsi="Times New Roman"/>
          <w:sz w:val="24"/>
          <w:szCs w:val="24"/>
          <w:lang w:val="en-US"/>
        </w:rPr>
        <w:t xml:space="preserve">diagnostic for </w:t>
      </w:r>
      <w:r w:rsidR="001A101D">
        <w:rPr>
          <w:rFonts w:ascii="Times New Roman" w:hAnsi="Times New Roman"/>
          <w:sz w:val="24"/>
          <w:szCs w:val="24"/>
          <w:lang w:val="en-US"/>
        </w:rPr>
        <w:t>L</w:t>
      </w:r>
      <w:r>
        <w:rPr>
          <w:rFonts w:ascii="Times New Roman" w:hAnsi="Times New Roman"/>
          <w:sz w:val="24"/>
          <w:szCs w:val="24"/>
          <w:lang w:val="en-US"/>
        </w:rPr>
        <w:t xml:space="preserve">ight </w:t>
      </w:r>
      <w:r w:rsidR="001A101D">
        <w:rPr>
          <w:rFonts w:ascii="Times New Roman" w:hAnsi="Times New Roman"/>
          <w:sz w:val="24"/>
          <w:szCs w:val="24"/>
          <w:lang w:val="en-US"/>
        </w:rPr>
        <w:t>Chain D</w:t>
      </w:r>
      <w:r>
        <w:rPr>
          <w:rFonts w:ascii="Times New Roman" w:hAnsi="Times New Roman"/>
          <w:sz w:val="24"/>
          <w:szCs w:val="24"/>
          <w:lang w:val="en-US"/>
        </w:rPr>
        <w:t xml:space="preserve">eposition </w:t>
      </w:r>
      <w:r w:rsidR="001A101D">
        <w:rPr>
          <w:rFonts w:ascii="Times New Roman" w:hAnsi="Times New Roman"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  <w:lang w:val="en-US"/>
        </w:rPr>
        <w:t>isease (</w:t>
      </w:r>
      <w:r w:rsidRPr="003958D9">
        <w:rPr>
          <w:rFonts w:ascii="Times New Roman" w:hAnsi="Times New Roman"/>
          <w:sz w:val="24"/>
          <w:szCs w:val="24"/>
          <w:lang w:val="en-US"/>
        </w:rPr>
        <w:t>LCDD</w:t>
      </w:r>
      <w:r>
        <w:rPr>
          <w:rFonts w:ascii="Times New Roman" w:hAnsi="Times New Roman"/>
          <w:sz w:val="24"/>
          <w:szCs w:val="24"/>
          <w:lang w:val="en-US"/>
        </w:rPr>
        <w:t>)</w:t>
      </w:r>
      <w:r w:rsidRPr="003958D9">
        <w:rPr>
          <w:rFonts w:ascii="Times New Roman" w:hAnsi="Times New Roman"/>
          <w:sz w:val="24"/>
          <w:szCs w:val="24"/>
          <w:lang w:val="en-US"/>
        </w:rPr>
        <w:t xml:space="preserve"> neuropathy</w:t>
      </w:r>
      <w:r>
        <w:rPr>
          <w:rFonts w:ascii="Times New Roman" w:hAnsi="Times New Roman"/>
          <w:sz w:val="24"/>
          <w:szCs w:val="24"/>
          <w:lang w:val="en-US"/>
        </w:rPr>
        <w:t xml:space="preserve"> (Figure 1 A-</w:t>
      </w:r>
      <w:r w:rsidR="00C77320">
        <w:rPr>
          <w:rFonts w:ascii="Times New Roman" w:hAnsi="Times New Roman"/>
          <w:sz w:val="24"/>
          <w:szCs w:val="24"/>
          <w:lang w:val="en-US"/>
        </w:rPr>
        <w:t>H</w:t>
      </w:r>
      <w:r w:rsidRPr="00820101">
        <w:rPr>
          <w:rFonts w:ascii="Times New Roman" w:hAnsi="Times New Roman"/>
          <w:sz w:val="24"/>
          <w:szCs w:val="24"/>
          <w:lang w:val="en-US"/>
        </w:rPr>
        <w:t xml:space="preserve">). No other tissue biopsy was performed.  </w:t>
      </w:r>
    </w:p>
    <w:p w14:paraId="6299DAE5" w14:textId="77777777" w:rsidR="00C77320" w:rsidRDefault="00E459E0" w:rsidP="00E459E0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958D9">
        <w:rPr>
          <w:rFonts w:ascii="Times New Roman" w:hAnsi="Times New Roman"/>
          <w:sz w:val="24"/>
          <w:szCs w:val="24"/>
          <w:lang w:val="en-US"/>
        </w:rPr>
        <w:lastRenderedPageBreak/>
        <w:t xml:space="preserve">Considering these pathological findings, a bone marrow needle aspiration was performed, showing a plasmacytosis (15.8%) with some cellular atypia. </w:t>
      </w:r>
    </w:p>
    <w:p w14:paraId="50D98AFC" w14:textId="185A7DD4" w:rsidR="00E459E0" w:rsidRPr="003958D9" w:rsidRDefault="00E459E0" w:rsidP="00E459E0">
      <w:pPr>
        <w:spacing w:after="0" w:line="48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3958D9">
        <w:rPr>
          <w:rFonts w:ascii="Times New Roman" w:hAnsi="Times New Roman"/>
          <w:bCs/>
          <w:sz w:val="24"/>
          <w:szCs w:val="24"/>
          <w:lang w:val="en-US"/>
        </w:rPr>
        <w:t>The patient was then treated with chemotherapy according to the following scheme: nine cycles of melphalan, bortezomib</w:t>
      </w:r>
      <w:r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3958D9">
        <w:rPr>
          <w:rFonts w:ascii="Times New Roman" w:hAnsi="Times New Roman"/>
          <w:bCs/>
          <w:sz w:val="24"/>
          <w:szCs w:val="24"/>
          <w:lang w:val="en-US"/>
        </w:rPr>
        <w:t xml:space="preserve"> and dexamethasone, followed by bortezomib and dexamethasone.</w:t>
      </w:r>
    </w:p>
    <w:p w14:paraId="73680630" w14:textId="0B6399F6" w:rsidR="00E459E0" w:rsidRPr="00820101" w:rsidRDefault="00E459E0" w:rsidP="00820101">
      <w:pPr>
        <w:spacing w:after="0" w:line="48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820101">
        <w:rPr>
          <w:rFonts w:ascii="Times New Roman" w:hAnsi="Times New Roman"/>
          <w:bCs/>
          <w:sz w:val="24"/>
          <w:szCs w:val="24"/>
          <w:lang w:val="en-US"/>
        </w:rPr>
        <w:t xml:space="preserve">Follow-up </w:t>
      </w:r>
      <w:r w:rsidRPr="00820101">
        <w:rPr>
          <w:rFonts w:ascii="Times New Roman" w:hAnsi="Times New Roman"/>
          <w:sz w:val="24"/>
          <w:szCs w:val="24"/>
          <w:lang w:val="en"/>
        </w:rPr>
        <w:t xml:space="preserve">hematologic investigations </w:t>
      </w:r>
      <w:r w:rsidRPr="00820101">
        <w:rPr>
          <w:rFonts w:ascii="Times New Roman" w:hAnsi="Times New Roman"/>
          <w:bCs/>
          <w:sz w:val="24"/>
          <w:szCs w:val="24"/>
          <w:lang w:val="en-US"/>
        </w:rPr>
        <w:t>after treatment were unremarkable</w:t>
      </w:r>
      <w:r w:rsidR="00981406" w:rsidRPr="00820101">
        <w:rPr>
          <w:rFonts w:ascii="Times New Roman" w:hAnsi="Times New Roman"/>
          <w:bCs/>
          <w:sz w:val="24"/>
          <w:szCs w:val="24"/>
          <w:lang w:val="en-US"/>
        </w:rPr>
        <w:t xml:space="preserve"> (not detectable </w:t>
      </w:r>
      <w:r w:rsidR="001A101D" w:rsidRPr="00820101">
        <w:rPr>
          <w:rFonts w:ascii="Times New Roman" w:hAnsi="Times New Roman"/>
          <w:bCs/>
          <w:sz w:val="24"/>
          <w:szCs w:val="24"/>
          <w:lang w:val="en-US"/>
        </w:rPr>
        <w:t xml:space="preserve">serum </w:t>
      </w:r>
      <w:r w:rsidR="00981406" w:rsidRPr="00820101">
        <w:rPr>
          <w:rFonts w:ascii="Times New Roman" w:hAnsi="Times New Roman"/>
          <w:bCs/>
          <w:sz w:val="24"/>
          <w:szCs w:val="24"/>
          <w:lang w:val="en-US"/>
        </w:rPr>
        <w:t xml:space="preserve">M component; normalization of free lambda LCs and kappa/lambda ratio; plasma cells on </w:t>
      </w:r>
      <w:r w:rsidR="00981406" w:rsidRPr="00820101">
        <w:rPr>
          <w:rFonts w:ascii="Times New Roman" w:hAnsi="Times New Roman"/>
          <w:sz w:val="24"/>
          <w:szCs w:val="24"/>
          <w:lang w:val="en-US"/>
        </w:rPr>
        <w:t>bone marrow needle aspiration</w:t>
      </w:r>
      <w:r w:rsidR="00981406" w:rsidRPr="00820101">
        <w:rPr>
          <w:rFonts w:ascii="Times New Roman" w:hAnsi="Times New Roman"/>
          <w:bCs/>
          <w:sz w:val="24"/>
          <w:szCs w:val="24"/>
          <w:lang w:val="en-US"/>
        </w:rPr>
        <w:t>=0.5%).</w:t>
      </w:r>
      <w:r w:rsidRPr="0082010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1A101D" w:rsidRPr="00820101">
        <w:rPr>
          <w:rFonts w:ascii="Times New Roman" w:hAnsi="Times New Roman"/>
          <w:bCs/>
          <w:sz w:val="24"/>
          <w:szCs w:val="24"/>
          <w:lang w:val="en-US"/>
        </w:rPr>
        <w:t>Moreover</w:t>
      </w:r>
      <w:r w:rsidR="00981406">
        <w:rPr>
          <w:rFonts w:ascii="Times New Roman" w:hAnsi="Times New Roman"/>
          <w:bCs/>
          <w:sz w:val="24"/>
          <w:szCs w:val="24"/>
          <w:lang w:val="en-US"/>
        </w:rPr>
        <w:t xml:space="preserve">, a </w:t>
      </w:r>
      <w:r w:rsidRPr="003958D9">
        <w:rPr>
          <w:rFonts w:ascii="Times New Roman" w:hAnsi="Times New Roman"/>
          <w:bCs/>
          <w:sz w:val="24"/>
          <w:szCs w:val="24"/>
          <w:lang w:val="en-US"/>
        </w:rPr>
        <w:t xml:space="preserve">follow-up </w:t>
      </w:r>
      <w:r w:rsidRPr="003958D9">
        <w:rPr>
          <w:rFonts w:ascii="Times New Roman" w:hAnsi="Times New Roman"/>
          <w:sz w:val="24"/>
          <w:szCs w:val="24"/>
          <w:lang w:val="en-US"/>
        </w:rPr>
        <w:t xml:space="preserve">whole-body </w:t>
      </w:r>
      <w:r w:rsidRPr="003958D9">
        <w:rPr>
          <w:rFonts w:ascii="Times New Roman" w:hAnsi="Times New Roman"/>
          <w:sz w:val="24"/>
          <w:szCs w:val="24"/>
          <w:vertAlign w:val="superscript"/>
          <w:lang w:val="en-US"/>
        </w:rPr>
        <w:t>18</w:t>
      </w:r>
      <w:r w:rsidRPr="003958D9">
        <w:rPr>
          <w:rFonts w:ascii="Times New Roman" w:hAnsi="Times New Roman"/>
          <w:sz w:val="24"/>
          <w:szCs w:val="24"/>
          <w:lang w:val="en-US"/>
        </w:rPr>
        <w:t>F-FDG PET/CT showed the disappearance of the previously reported focal area of increased uptake</w:t>
      </w:r>
      <w:r w:rsidR="001A101D">
        <w:rPr>
          <w:rFonts w:ascii="Times New Roman" w:hAnsi="Times New Roman"/>
          <w:sz w:val="24"/>
          <w:szCs w:val="24"/>
          <w:lang w:val="en-US"/>
        </w:rPr>
        <w:t xml:space="preserve"> and</w:t>
      </w:r>
      <w:r w:rsidRPr="003958D9">
        <w:rPr>
          <w:rFonts w:ascii="Times New Roman" w:hAnsi="Times New Roman"/>
          <w:bCs/>
          <w:sz w:val="24"/>
          <w:szCs w:val="24"/>
          <w:lang w:val="en-US"/>
        </w:rPr>
        <w:t xml:space="preserve"> follow-up neurological and neurophysiological evaluations at 6, 12 and 24 months showed </w:t>
      </w:r>
      <w:r>
        <w:rPr>
          <w:rFonts w:ascii="Times New Roman" w:hAnsi="Times New Roman"/>
          <w:bCs/>
          <w:sz w:val="24"/>
          <w:szCs w:val="24"/>
          <w:lang w:val="en-US"/>
        </w:rPr>
        <w:t>stabilization</w:t>
      </w:r>
      <w:r w:rsidRPr="003958D9">
        <w:rPr>
          <w:rFonts w:ascii="Times New Roman" w:hAnsi="Times New Roman"/>
          <w:bCs/>
          <w:sz w:val="24"/>
          <w:szCs w:val="24"/>
          <w:lang w:val="en-US"/>
        </w:rPr>
        <w:t xml:space="preserve"> of the neuropathy.</w:t>
      </w:r>
      <w:bookmarkStart w:id="0" w:name="_GoBack"/>
      <w:bookmarkEnd w:id="0"/>
    </w:p>
    <w:sectPr w:rsidR="00E459E0" w:rsidRPr="008201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xNDAyNTIwNjI0NTZR0lEKTi0uzszPAykwrQUAd3dOwSwAAAA="/>
  </w:docVars>
  <w:rsids>
    <w:rsidRoot w:val="009F53D8"/>
    <w:rsid w:val="001A101D"/>
    <w:rsid w:val="002A3F5A"/>
    <w:rsid w:val="00820101"/>
    <w:rsid w:val="00981406"/>
    <w:rsid w:val="009F0ACB"/>
    <w:rsid w:val="009F53D8"/>
    <w:rsid w:val="00B83BB9"/>
    <w:rsid w:val="00C77320"/>
    <w:rsid w:val="00E4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E10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53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53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53D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53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53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53D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2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3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75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213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51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mario sabatelli</cp:lastModifiedBy>
  <cp:revision>7</cp:revision>
  <dcterms:created xsi:type="dcterms:W3CDTF">2019-07-12T13:04:00Z</dcterms:created>
  <dcterms:modified xsi:type="dcterms:W3CDTF">2019-07-16T16:18:00Z</dcterms:modified>
</cp:coreProperties>
</file>