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8CE2A3" w14:textId="0E070567" w:rsidR="00792A71" w:rsidRPr="00561A17" w:rsidRDefault="00B84393" w:rsidP="00B84393">
      <w:pPr>
        <w:rPr>
          <w:lang w:val="en-US"/>
        </w:rPr>
      </w:pPr>
      <w:r w:rsidRPr="00561A17">
        <w:rPr>
          <w:lang w:val="en-US"/>
        </w:rPr>
        <w:t>Appendix 2</w:t>
      </w:r>
      <w:r w:rsidR="00561A17" w:rsidRPr="00561A17">
        <w:rPr>
          <w:lang w:val="en-US"/>
        </w:rPr>
        <w:t>.</w:t>
      </w:r>
      <w:r w:rsidRPr="00561A17">
        <w:rPr>
          <w:lang w:val="en-US"/>
        </w:rPr>
        <w:t xml:space="preserve"> Summary of </w:t>
      </w:r>
      <w:r w:rsidR="00561A17" w:rsidRPr="00561A17">
        <w:rPr>
          <w:lang w:val="en-US"/>
        </w:rPr>
        <w:t>the empirical results</w:t>
      </w:r>
      <w:bookmarkStart w:id="0" w:name="_GoBack"/>
      <w:bookmarkEnd w:id="0"/>
    </w:p>
    <w:tbl>
      <w:tblPr>
        <w:tblStyle w:val="Tabellrutnt"/>
        <w:tblpPr w:leftFromText="141" w:rightFromText="141" w:horzAnchor="margin" w:tblpY="812"/>
        <w:tblW w:w="9918" w:type="dxa"/>
        <w:tblLayout w:type="fixed"/>
        <w:tblLook w:val="04A0" w:firstRow="1" w:lastRow="0" w:firstColumn="1" w:lastColumn="0" w:noHBand="0" w:noVBand="1"/>
      </w:tblPr>
      <w:tblGrid>
        <w:gridCol w:w="1271"/>
        <w:gridCol w:w="1700"/>
        <w:gridCol w:w="1802"/>
        <w:gridCol w:w="1467"/>
        <w:gridCol w:w="1836"/>
        <w:gridCol w:w="1842"/>
      </w:tblGrid>
      <w:tr w:rsidR="00B84393" w:rsidRPr="004B3D6D" w14:paraId="6F384F76" w14:textId="77777777" w:rsidTr="00113E38">
        <w:tc>
          <w:tcPr>
            <w:tcW w:w="1271" w:type="dxa"/>
          </w:tcPr>
          <w:p w14:paraId="188201EB" w14:textId="77777777" w:rsidR="00B84393" w:rsidRPr="0009096D" w:rsidRDefault="00B84393" w:rsidP="00113E38">
            <w:pPr>
              <w:spacing w:line="240" w:lineRule="auto"/>
              <w:rPr>
                <w:b/>
                <w:sz w:val="20"/>
                <w:szCs w:val="20"/>
                <w:lang w:val="en-US"/>
              </w:rPr>
            </w:pPr>
            <w:r w:rsidRPr="0009096D">
              <w:rPr>
                <w:b/>
                <w:sz w:val="20"/>
                <w:szCs w:val="20"/>
                <w:lang w:val="en-US"/>
              </w:rPr>
              <w:t xml:space="preserve">Policy </w:t>
            </w:r>
          </w:p>
          <w:p w14:paraId="4E90418D" w14:textId="77777777" w:rsidR="00B84393" w:rsidRPr="0009096D" w:rsidRDefault="00B84393" w:rsidP="00113E38">
            <w:pPr>
              <w:spacing w:line="240" w:lineRule="auto"/>
              <w:rPr>
                <w:b/>
                <w:sz w:val="20"/>
                <w:szCs w:val="20"/>
                <w:lang w:val="en-US"/>
              </w:rPr>
            </w:pPr>
            <w:r w:rsidRPr="0009096D">
              <w:rPr>
                <w:b/>
                <w:sz w:val="20"/>
                <w:szCs w:val="20"/>
                <w:lang w:val="en-US"/>
              </w:rPr>
              <w:t>instrument</w:t>
            </w:r>
          </w:p>
        </w:tc>
        <w:tc>
          <w:tcPr>
            <w:tcW w:w="1700" w:type="dxa"/>
          </w:tcPr>
          <w:p w14:paraId="0F2FAC5F" w14:textId="77777777" w:rsidR="00B84393" w:rsidRPr="0009096D" w:rsidRDefault="00B84393" w:rsidP="00113E38">
            <w:pPr>
              <w:spacing w:line="240" w:lineRule="auto"/>
              <w:rPr>
                <w:b/>
                <w:sz w:val="20"/>
                <w:szCs w:val="20"/>
                <w:lang w:val="en-US"/>
              </w:rPr>
            </w:pPr>
            <w:r w:rsidRPr="0009096D">
              <w:rPr>
                <w:b/>
                <w:sz w:val="20"/>
                <w:szCs w:val="20"/>
                <w:lang w:val="en-US"/>
              </w:rPr>
              <w:t>Questions posed to the case studies</w:t>
            </w:r>
          </w:p>
        </w:tc>
        <w:tc>
          <w:tcPr>
            <w:tcW w:w="1802" w:type="dxa"/>
          </w:tcPr>
          <w:p w14:paraId="32F46C70" w14:textId="77777777" w:rsidR="00B84393" w:rsidRPr="0009096D" w:rsidRDefault="00B84393" w:rsidP="00113E38">
            <w:pPr>
              <w:spacing w:line="240" w:lineRule="auto"/>
              <w:rPr>
                <w:b/>
                <w:sz w:val="20"/>
                <w:szCs w:val="20"/>
              </w:rPr>
            </w:pPr>
            <w:r w:rsidRPr="0009096D">
              <w:rPr>
                <w:b/>
                <w:sz w:val="20"/>
                <w:szCs w:val="20"/>
              </w:rPr>
              <w:t>MIP/MIA</w:t>
            </w:r>
          </w:p>
        </w:tc>
        <w:tc>
          <w:tcPr>
            <w:tcW w:w="1467" w:type="dxa"/>
          </w:tcPr>
          <w:p w14:paraId="65F0D9CE" w14:textId="77777777" w:rsidR="00B84393" w:rsidRPr="0009096D" w:rsidRDefault="00B84393" w:rsidP="00113E38">
            <w:pPr>
              <w:spacing w:line="240" w:lineRule="auto"/>
              <w:rPr>
                <w:b/>
                <w:sz w:val="20"/>
                <w:szCs w:val="20"/>
              </w:rPr>
            </w:pPr>
            <w:r w:rsidRPr="0009096D">
              <w:rPr>
                <w:b/>
                <w:sz w:val="20"/>
                <w:szCs w:val="20"/>
              </w:rPr>
              <w:t>FbL</w:t>
            </w:r>
          </w:p>
        </w:tc>
        <w:tc>
          <w:tcPr>
            <w:tcW w:w="1836" w:type="dxa"/>
          </w:tcPr>
          <w:p w14:paraId="63E09ADC" w14:textId="77777777" w:rsidR="00B84393" w:rsidRPr="0009096D" w:rsidRDefault="00B84393" w:rsidP="00113E38">
            <w:pPr>
              <w:spacing w:line="240" w:lineRule="auto"/>
              <w:rPr>
                <w:b/>
                <w:sz w:val="20"/>
                <w:szCs w:val="20"/>
              </w:rPr>
            </w:pPr>
            <w:r w:rsidRPr="0009096D">
              <w:rPr>
                <w:b/>
                <w:sz w:val="20"/>
                <w:szCs w:val="20"/>
              </w:rPr>
              <w:t>CHVL</w:t>
            </w:r>
          </w:p>
        </w:tc>
        <w:tc>
          <w:tcPr>
            <w:tcW w:w="1842" w:type="dxa"/>
          </w:tcPr>
          <w:p w14:paraId="3AA1E0C2" w14:textId="77777777" w:rsidR="00B84393" w:rsidRPr="0009096D" w:rsidRDefault="00B84393" w:rsidP="00113E38">
            <w:pPr>
              <w:spacing w:line="240" w:lineRule="auto"/>
              <w:rPr>
                <w:b/>
                <w:sz w:val="20"/>
                <w:szCs w:val="20"/>
              </w:rPr>
            </w:pPr>
            <w:r w:rsidRPr="0009096D">
              <w:rPr>
                <w:b/>
                <w:sz w:val="20"/>
                <w:szCs w:val="20"/>
              </w:rPr>
              <w:t>Open Lab Ebbinge</w:t>
            </w:r>
          </w:p>
        </w:tc>
      </w:tr>
      <w:tr w:rsidR="00B84393" w:rsidRPr="007473F4" w14:paraId="29D0D2A5" w14:textId="77777777" w:rsidTr="00113E38">
        <w:tc>
          <w:tcPr>
            <w:tcW w:w="1271" w:type="dxa"/>
          </w:tcPr>
          <w:p w14:paraId="5E4D4BAA" w14:textId="77777777" w:rsidR="00B84393" w:rsidRPr="004B3D6D" w:rsidRDefault="00B84393" w:rsidP="00113E38">
            <w:pPr>
              <w:pStyle w:val="Numberedlist"/>
              <w:numPr>
                <w:ilvl w:val="0"/>
                <w:numId w:val="0"/>
              </w:numPr>
              <w:spacing w:line="240" w:lineRule="auto"/>
              <w:rPr>
                <w:sz w:val="20"/>
                <w:szCs w:val="20"/>
                <w:lang w:val="en-US"/>
              </w:rPr>
            </w:pPr>
            <w:r w:rsidRPr="004B3D6D">
              <w:rPr>
                <w:sz w:val="20"/>
                <w:szCs w:val="20"/>
                <w:lang w:val="en-US"/>
              </w:rPr>
              <w:t>Nodality</w:t>
            </w:r>
          </w:p>
        </w:tc>
        <w:tc>
          <w:tcPr>
            <w:tcW w:w="1700" w:type="dxa"/>
          </w:tcPr>
          <w:p w14:paraId="565CA4E1" w14:textId="77777777" w:rsidR="00B84393" w:rsidRPr="004B3D6D" w:rsidRDefault="00B84393" w:rsidP="00113E38">
            <w:pPr>
              <w:spacing w:line="240" w:lineRule="auto"/>
              <w:rPr>
                <w:color w:val="000000"/>
                <w:sz w:val="20"/>
                <w:szCs w:val="20"/>
                <w:lang w:val="en-US" w:eastAsia="sv-SE"/>
              </w:rPr>
            </w:pPr>
            <w:r w:rsidRPr="004B3D6D">
              <w:rPr>
                <w:color w:val="000000"/>
                <w:sz w:val="20"/>
                <w:szCs w:val="20"/>
                <w:lang w:val="en-US" w:eastAsia="sv-SE"/>
              </w:rPr>
              <w:t xml:space="preserve">Q1: How is the municipality creating and participating in networks? </w:t>
            </w:r>
          </w:p>
        </w:tc>
        <w:tc>
          <w:tcPr>
            <w:tcW w:w="3269" w:type="dxa"/>
            <w:gridSpan w:val="2"/>
          </w:tcPr>
          <w:p w14:paraId="3B2E29B3" w14:textId="77777777" w:rsidR="00B84393" w:rsidRPr="004B3D6D" w:rsidRDefault="00B84393" w:rsidP="00113E38">
            <w:pPr>
              <w:spacing w:line="240" w:lineRule="auto"/>
              <w:jc w:val="both"/>
              <w:rPr>
                <w:sz w:val="20"/>
                <w:szCs w:val="20"/>
                <w:lang w:val="en-US"/>
              </w:rPr>
            </w:pPr>
            <w:r w:rsidRPr="00F3164C">
              <w:rPr>
                <w:sz w:val="20"/>
                <w:szCs w:val="20"/>
                <w:lang w:val="en-US"/>
              </w:rPr>
              <w:t xml:space="preserve">Through both ULLs municipalities of Malmö and Lund bring </w:t>
            </w:r>
            <w:r>
              <w:rPr>
                <w:sz w:val="20"/>
                <w:szCs w:val="20"/>
                <w:lang w:val="en-US"/>
              </w:rPr>
              <w:t xml:space="preserve">public and private </w:t>
            </w:r>
            <w:r w:rsidRPr="00F3164C">
              <w:rPr>
                <w:sz w:val="20"/>
                <w:szCs w:val="20"/>
                <w:lang w:val="en-US"/>
              </w:rPr>
              <w:t xml:space="preserve">actors together by </w:t>
            </w:r>
            <w:r>
              <w:rPr>
                <w:sz w:val="20"/>
                <w:szCs w:val="20"/>
                <w:lang w:val="en-US"/>
              </w:rPr>
              <w:t>creating</w:t>
            </w:r>
            <w:r w:rsidRPr="00F3164C">
              <w:rPr>
                <w:sz w:val="20"/>
                <w:szCs w:val="20"/>
                <w:lang w:val="en-US"/>
              </w:rPr>
              <w:t xml:space="preserve"> a meeting </w:t>
            </w:r>
            <w:r>
              <w:rPr>
                <w:sz w:val="20"/>
                <w:szCs w:val="20"/>
                <w:lang w:val="en-US"/>
              </w:rPr>
              <w:t xml:space="preserve">arena </w:t>
            </w:r>
            <w:r w:rsidRPr="00F3164C">
              <w:rPr>
                <w:sz w:val="20"/>
                <w:szCs w:val="20"/>
                <w:lang w:val="en-US"/>
              </w:rPr>
              <w:t>to share challenges and discuss innovations</w:t>
            </w:r>
            <w:r>
              <w:rPr>
                <w:sz w:val="20"/>
                <w:szCs w:val="20"/>
                <w:lang w:val="en-US"/>
              </w:rPr>
              <w:t>. Both municipalities are lead partners in ULLs and therefore directly participate in these networks.</w:t>
            </w:r>
          </w:p>
        </w:tc>
        <w:tc>
          <w:tcPr>
            <w:tcW w:w="1836" w:type="dxa"/>
          </w:tcPr>
          <w:p w14:paraId="75028952" w14:textId="77777777" w:rsidR="00B84393" w:rsidRPr="004B3D6D" w:rsidRDefault="00B84393" w:rsidP="00113E38">
            <w:pPr>
              <w:spacing w:line="240" w:lineRule="auto"/>
              <w:rPr>
                <w:color w:val="000000" w:themeColor="text1"/>
                <w:sz w:val="20"/>
                <w:szCs w:val="20"/>
                <w:lang w:val="en-US"/>
              </w:rPr>
            </w:pPr>
            <w:r>
              <w:rPr>
                <w:color w:val="000000" w:themeColor="text1"/>
                <w:sz w:val="20"/>
                <w:szCs w:val="20"/>
                <w:lang w:val="en-US"/>
              </w:rPr>
              <w:t xml:space="preserve">During the initial design phase of CHVL the municipality participated as a consortium partner in the tender for </w:t>
            </w:r>
            <w:r w:rsidRPr="00490185">
              <w:rPr>
                <w:sz w:val="20"/>
                <w:szCs w:val="20"/>
                <w:lang w:val="en-US"/>
              </w:rPr>
              <w:t>ERDF</w:t>
            </w:r>
            <w:r>
              <w:rPr>
                <w:sz w:val="20"/>
                <w:szCs w:val="20"/>
                <w:lang w:val="en-US"/>
              </w:rPr>
              <w:t xml:space="preserve"> funding for the lab activities. Overall, the municipality of Rotterdam is strongly embedded in diverse PPP networks on urban transformation.</w:t>
            </w:r>
          </w:p>
        </w:tc>
        <w:tc>
          <w:tcPr>
            <w:tcW w:w="1842" w:type="dxa"/>
          </w:tcPr>
          <w:p w14:paraId="7D5B120F" w14:textId="77777777" w:rsidR="00B84393" w:rsidRPr="004B3D6D" w:rsidRDefault="00B84393" w:rsidP="00113E38">
            <w:pPr>
              <w:spacing w:line="240" w:lineRule="auto"/>
              <w:rPr>
                <w:color w:val="000000" w:themeColor="text1"/>
                <w:sz w:val="20"/>
                <w:szCs w:val="20"/>
                <w:lang w:val="en-US"/>
              </w:rPr>
            </w:pPr>
            <w:r>
              <w:rPr>
                <w:color w:val="000000" w:themeColor="text1"/>
                <w:sz w:val="20"/>
                <w:szCs w:val="20"/>
                <w:lang w:val="en-US"/>
              </w:rPr>
              <w:t xml:space="preserve">In the case of OLE the municipality of Groningen teamed up with the initiating local retailers’ association and citizen initiatives in a later phase of the project to acquire EU funding in a collaborative effort. Today, </w:t>
            </w:r>
            <w:r>
              <w:rPr>
                <w:sz w:val="20"/>
                <w:szCs w:val="20"/>
                <w:lang w:val="en-US"/>
              </w:rPr>
              <w:t xml:space="preserve">the municipality of Groningen is actively participating in diverse networks on urban transformation. The municipality e.g. committed to participate with OLE in the Creative City challenge network. </w:t>
            </w:r>
          </w:p>
        </w:tc>
      </w:tr>
      <w:tr w:rsidR="00B84393" w:rsidRPr="004B3D6D" w14:paraId="54CF7CC0" w14:textId="77777777" w:rsidTr="00113E38">
        <w:tc>
          <w:tcPr>
            <w:tcW w:w="1271" w:type="dxa"/>
          </w:tcPr>
          <w:p w14:paraId="4B2DCDE5" w14:textId="77777777" w:rsidR="00B84393" w:rsidRPr="004B3D6D" w:rsidRDefault="00B84393" w:rsidP="00113E38">
            <w:pPr>
              <w:spacing w:line="240" w:lineRule="auto"/>
              <w:rPr>
                <w:sz w:val="20"/>
                <w:szCs w:val="20"/>
                <w:lang w:val="en-US" w:eastAsia="sv-SE"/>
              </w:rPr>
            </w:pPr>
          </w:p>
        </w:tc>
        <w:tc>
          <w:tcPr>
            <w:tcW w:w="1700" w:type="dxa"/>
          </w:tcPr>
          <w:p w14:paraId="3740AEBF" w14:textId="77777777" w:rsidR="00B84393" w:rsidRPr="004B3D6D" w:rsidRDefault="00B84393" w:rsidP="00113E38">
            <w:pPr>
              <w:spacing w:line="240" w:lineRule="auto"/>
              <w:rPr>
                <w:sz w:val="20"/>
                <w:szCs w:val="20"/>
                <w:lang w:val="en-US" w:eastAsia="sv-SE"/>
              </w:rPr>
            </w:pPr>
            <w:r w:rsidRPr="004B3D6D">
              <w:rPr>
                <w:sz w:val="20"/>
                <w:szCs w:val="20"/>
                <w:lang w:val="en-US" w:eastAsia="sv-SE"/>
              </w:rPr>
              <w:t>Q2: How has the municipality expanded participation of different actors?</w:t>
            </w:r>
          </w:p>
        </w:tc>
        <w:tc>
          <w:tcPr>
            <w:tcW w:w="3269" w:type="dxa"/>
            <w:gridSpan w:val="2"/>
          </w:tcPr>
          <w:p w14:paraId="477CA616" w14:textId="77777777" w:rsidR="00B84393" w:rsidRPr="004B3D6D" w:rsidRDefault="00B84393" w:rsidP="00113E38">
            <w:pPr>
              <w:spacing w:line="240" w:lineRule="auto"/>
              <w:rPr>
                <w:sz w:val="20"/>
                <w:szCs w:val="20"/>
                <w:lang w:val="en-US"/>
              </w:rPr>
            </w:pPr>
            <w:r>
              <w:rPr>
                <w:sz w:val="20"/>
                <w:szCs w:val="20"/>
                <w:lang w:val="en-US"/>
              </w:rPr>
              <w:t xml:space="preserve">Both municipalities created multi-actor “steering groups” that manage ULLs and in this way expand the participation. At the platform level, </w:t>
            </w:r>
            <w:r w:rsidRPr="00865EAC">
              <w:rPr>
                <w:sz w:val="20"/>
                <w:szCs w:val="20"/>
                <w:lang w:val="en-US"/>
              </w:rPr>
              <w:t>the ambition to co-create knowledge with users is not among the primary ambitions of municipalities</w:t>
            </w:r>
            <w:r>
              <w:rPr>
                <w:sz w:val="20"/>
                <w:szCs w:val="20"/>
                <w:lang w:val="en-US"/>
              </w:rPr>
              <w:t xml:space="preserve"> while the participation of citizens is rather expanded at the project level.</w:t>
            </w:r>
          </w:p>
        </w:tc>
        <w:tc>
          <w:tcPr>
            <w:tcW w:w="3678" w:type="dxa"/>
            <w:gridSpan w:val="2"/>
          </w:tcPr>
          <w:p w14:paraId="13FC6586" w14:textId="77777777" w:rsidR="00B84393" w:rsidRPr="004B3D6D" w:rsidRDefault="00B84393" w:rsidP="00113E38">
            <w:pPr>
              <w:spacing w:line="240" w:lineRule="auto"/>
              <w:rPr>
                <w:color w:val="000000" w:themeColor="text1"/>
                <w:sz w:val="20"/>
                <w:szCs w:val="20"/>
                <w:lang w:val="en-US"/>
              </w:rPr>
            </w:pPr>
            <w:r>
              <w:rPr>
                <w:color w:val="000000" w:themeColor="text1"/>
                <w:sz w:val="20"/>
                <w:szCs w:val="20"/>
                <w:lang w:val="en-US"/>
              </w:rPr>
              <w:t>Both ULLs were originally designed and set up with support from the municipality however, not (yet) with an actively enabling function in the initial phase, which was driven by other urban actors. With a more mature state of these ULL, the municipality then took a more pro-active role as a partner and network node. Through the municipal engagement in the lab activities the municipality also expanded cross-departmental collaboration within the municipality.</w:t>
            </w:r>
          </w:p>
        </w:tc>
      </w:tr>
      <w:tr w:rsidR="00B84393" w:rsidRPr="004B3D6D" w14:paraId="528F4BE3" w14:textId="77777777" w:rsidTr="00113E38">
        <w:tc>
          <w:tcPr>
            <w:tcW w:w="1271" w:type="dxa"/>
          </w:tcPr>
          <w:p w14:paraId="36F1BEFF" w14:textId="77777777" w:rsidR="00B84393" w:rsidRPr="004B3D6D" w:rsidRDefault="00B84393" w:rsidP="00113E38">
            <w:pPr>
              <w:spacing w:line="240" w:lineRule="auto"/>
              <w:rPr>
                <w:sz w:val="20"/>
                <w:szCs w:val="20"/>
                <w:lang w:val="en-US"/>
              </w:rPr>
            </w:pPr>
          </w:p>
        </w:tc>
        <w:tc>
          <w:tcPr>
            <w:tcW w:w="1700" w:type="dxa"/>
          </w:tcPr>
          <w:p w14:paraId="73391007" w14:textId="77777777" w:rsidR="00B84393" w:rsidRPr="004B3D6D" w:rsidRDefault="00B84393" w:rsidP="00113E38">
            <w:pPr>
              <w:spacing w:line="240" w:lineRule="auto"/>
              <w:rPr>
                <w:sz w:val="20"/>
                <w:szCs w:val="20"/>
                <w:lang w:val="en-US"/>
              </w:rPr>
            </w:pPr>
            <w:r w:rsidRPr="004B3D6D">
              <w:rPr>
                <w:color w:val="000000"/>
                <w:sz w:val="20"/>
                <w:szCs w:val="20"/>
                <w:lang w:val="en-US" w:eastAsia="sv-SE"/>
              </w:rPr>
              <w:t>Q3: What type of information is being disseminated and how?</w:t>
            </w:r>
          </w:p>
        </w:tc>
        <w:tc>
          <w:tcPr>
            <w:tcW w:w="1802" w:type="dxa"/>
          </w:tcPr>
          <w:p w14:paraId="6F28E31D" w14:textId="77777777" w:rsidR="00B84393" w:rsidRPr="004B3D6D" w:rsidRDefault="00B84393" w:rsidP="00113E38">
            <w:pPr>
              <w:spacing w:line="240" w:lineRule="auto"/>
              <w:rPr>
                <w:sz w:val="20"/>
                <w:szCs w:val="20"/>
                <w:lang w:val="en-US"/>
              </w:rPr>
            </w:pPr>
            <w:r>
              <w:rPr>
                <w:sz w:val="20"/>
                <w:szCs w:val="20"/>
                <w:lang w:val="en-US"/>
              </w:rPr>
              <w:t>Malmö</w:t>
            </w:r>
            <w:r w:rsidRPr="00C07EE4">
              <w:rPr>
                <w:sz w:val="20"/>
                <w:szCs w:val="20"/>
                <w:lang w:val="en-US"/>
              </w:rPr>
              <w:t xml:space="preserve"> municipality </w:t>
            </w:r>
            <w:r>
              <w:rPr>
                <w:sz w:val="20"/>
                <w:szCs w:val="20"/>
                <w:lang w:val="en-US"/>
              </w:rPr>
              <w:t>aligns its communication about MIP</w:t>
            </w:r>
            <w:r w:rsidRPr="00C07EE4">
              <w:rPr>
                <w:sz w:val="20"/>
                <w:szCs w:val="20"/>
                <w:lang w:val="en-US"/>
              </w:rPr>
              <w:t xml:space="preserve"> with local visions</w:t>
            </w:r>
            <w:r>
              <w:rPr>
                <w:sz w:val="20"/>
                <w:szCs w:val="20"/>
                <w:lang w:val="en-US"/>
              </w:rPr>
              <w:t xml:space="preserve"> and priorities on social </w:t>
            </w:r>
            <w:r w:rsidRPr="00C07EE4">
              <w:rPr>
                <w:sz w:val="20"/>
                <w:szCs w:val="20"/>
                <w:lang w:val="en-US"/>
              </w:rPr>
              <w:t>sustainability</w:t>
            </w:r>
            <w:r>
              <w:rPr>
                <w:sz w:val="20"/>
                <w:szCs w:val="20"/>
                <w:lang w:val="en-US"/>
              </w:rPr>
              <w:t>.</w:t>
            </w:r>
          </w:p>
        </w:tc>
        <w:tc>
          <w:tcPr>
            <w:tcW w:w="1467" w:type="dxa"/>
          </w:tcPr>
          <w:p w14:paraId="0E9DB212" w14:textId="77777777" w:rsidR="00B84393" w:rsidRPr="004B3D6D" w:rsidRDefault="00B84393" w:rsidP="00113E38">
            <w:pPr>
              <w:spacing w:line="240" w:lineRule="auto"/>
              <w:rPr>
                <w:sz w:val="20"/>
                <w:szCs w:val="20"/>
                <w:lang w:val="en-US"/>
              </w:rPr>
            </w:pPr>
            <w:r>
              <w:rPr>
                <w:sz w:val="20"/>
                <w:szCs w:val="20"/>
                <w:lang w:val="en-US"/>
              </w:rPr>
              <w:t>Lund</w:t>
            </w:r>
            <w:r w:rsidRPr="00C07EE4">
              <w:rPr>
                <w:sz w:val="20"/>
                <w:szCs w:val="20"/>
                <w:lang w:val="en-US"/>
              </w:rPr>
              <w:t xml:space="preserve"> municipality </w:t>
            </w:r>
            <w:r>
              <w:rPr>
                <w:sz w:val="20"/>
                <w:szCs w:val="20"/>
                <w:lang w:val="en-US"/>
              </w:rPr>
              <w:t>aligns its communication about FbL</w:t>
            </w:r>
            <w:r w:rsidRPr="00C07EE4">
              <w:rPr>
                <w:sz w:val="20"/>
                <w:szCs w:val="20"/>
                <w:lang w:val="en-US"/>
              </w:rPr>
              <w:t xml:space="preserve"> with local visions</w:t>
            </w:r>
            <w:r>
              <w:rPr>
                <w:sz w:val="20"/>
                <w:szCs w:val="20"/>
                <w:lang w:val="en-US"/>
              </w:rPr>
              <w:t xml:space="preserve"> on smart city development and promotion of sustainable innovations.</w:t>
            </w:r>
          </w:p>
        </w:tc>
        <w:tc>
          <w:tcPr>
            <w:tcW w:w="1836" w:type="dxa"/>
          </w:tcPr>
          <w:p w14:paraId="52C50A9F" w14:textId="77777777" w:rsidR="00B84393" w:rsidRPr="004B3D6D" w:rsidRDefault="00B84393" w:rsidP="00113E38">
            <w:pPr>
              <w:spacing w:line="240" w:lineRule="auto"/>
              <w:rPr>
                <w:sz w:val="20"/>
                <w:szCs w:val="20"/>
                <w:lang w:val="en-US"/>
              </w:rPr>
            </w:pPr>
            <w:r>
              <w:rPr>
                <w:sz w:val="20"/>
                <w:szCs w:val="20"/>
                <w:lang w:val="en-US"/>
              </w:rPr>
              <w:t xml:space="preserve">Over time, the strategic relevance of CHVL increased for the municipality and was taken up in their information and dissemination strategy as a reference case for </w:t>
            </w:r>
            <w:r w:rsidRPr="004271A6">
              <w:rPr>
                <w:sz w:val="20"/>
                <w:szCs w:val="20"/>
                <w:lang w:val="en-US"/>
              </w:rPr>
              <w:t xml:space="preserve">housing retrofitting and energy efficient buildings, which was </w:t>
            </w:r>
            <w:r>
              <w:rPr>
                <w:sz w:val="20"/>
                <w:szCs w:val="20"/>
                <w:lang w:val="en-US"/>
              </w:rPr>
              <w:t xml:space="preserve">explicitly </w:t>
            </w:r>
            <w:r w:rsidRPr="004271A6">
              <w:rPr>
                <w:sz w:val="20"/>
                <w:szCs w:val="20"/>
                <w:lang w:val="en-US"/>
              </w:rPr>
              <w:t xml:space="preserve">referred to in </w:t>
            </w:r>
            <w:r>
              <w:rPr>
                <w:sz w:val="20"/>
                <w:szCs w:val="20"/>
                <w:lang w:val="en-US"/>
              </w:rPr>
              <w:t>local visions and strategic programs.</w:t>
            </w:r>
          </w:p>
        </w:tc>
        <w:tc>
          <w:tcPr>
            <w:tcW w:w="1842" w:type="dxa"/>
          </w:tcPr>
          <w:p w14:paraId="6C35446F" w14:textId="77777777" w:rsidR="00B84393" w:rsidRPr="004B3D6D" w:rsidRDefault="00B84393" w:rsidP="00113E38">
            <w:pPr>
              <w:spacing w:line="240" w:lineRule="auto"/>
              <w:rPr>
                <w:sz w:val="20"/>
                <w:szCs w:val="20"/>
                <w:lang w:val="en-US"/>
              </w:rPr>
            </w:pPr>
            <w:r>
              <w:rPr>
                <w:sz w:val="20"/>
                <w:szCs w:val="20"/>
                <w:lang w:val="en-US"/>
              </w:rPr>
              <w:t xml:space="preserve">At a later stage of the lab activities, the municipality of Groningen supported the ULL communication and dissemination e.g. through its municipal websites about events in the lab and publications around the creative city challenge and the flexible city concept, as well as international </w:t>
            </w:r>
            <w:r>
              <w:rPr>
                <w:sz w:val="20"/>
                <w:szCs w:val="20"/>
                <w:lang w:val="en-US"/>
              </w:rPr>
              <w:lastRenderedPageBreak/>
              <w:t>nominations for OLE.</w:t>
            </w:r>
          </w:p>
        </w:tc>
      </w:tr>
      <w:tr w:rsidR="00B84393" w:rsidRPr="004B3D6D" w14:paraId="54B9C0FD" w14:textId="77777777" w:rsidTr="00113E38">
        <w:tc>
          <w:tcPr>
            <w:tcW w:w="1271" w:type="dxa"/>
          </w:tcPr>
          <w:p w14:paraId="5E5F1D27" w14:textId="77777777" w:rsidR="00B84393" w:rsidRPr="004B3D6D" w:rsidRDefault="00B84393" w:rsidP="00113E38">
            <w:pPr>
              <w:spacing w:line="240" w:lineRule="auto"/>
              <w:rPr>
                <w:sz w:val="20"/>
                <w:szCs w:val="20"/>
                <w:lang w:val="en-US"/>
              </w:rPr>
            </w:pPr>
            <w:r w:rsidRPr="004B3D6D">
              <w:rPr>
                <w:sz w:val="20"/>
                <w:szCs w:val="20"/>
                <w:lang w:val="en-US"/>
              </w:rPr>
              <w:lastRenderedPageBreak/>
              <w:t xml:space="preserve">Authority </w:t>
            </w:r>
          </w:p>
        </w:tc>
        <w:tc>
          <w:tcPr>
            <w:tcW w:w="1700" w:type="dxa"/>
          </w:tcPr>
          <w:p w14:paraId="01EE4B45" w14:textId="77777777" w:rsidR="00B84393" w:rsidRPr="004B3D6D" w:rsidRDefault="00B84393" w:rsidP="00113E38">
            <w:pPr>
              <w:spacing w:line="240" w:lineRule="auto"/>
              <w:rPr>
                <w:sz w:val="20"/>
                <w:szCs w:val="20"/>
              </w:rPr>
            </w:pPr>
            <w:r w:rsidRPr="004B3D6D">
              <w:rPr>
                <w:sz w:val="20"/>
                <w:szCs w:val="20"/>
              </w:rPr>
              <w:t>Q4: What kind of regulative tools are being used (if any)?</w:t>
            </w:r>
          </w:p>
          <w:p w14:paraId="2DCA5156" w14:textId="77777777" w:rsidR="00B84393" w:rsidRPr="004B3D6D" w:rsidRDefault="00B84393" w:rsidP="00113E38">
            <w:pPr>
              <w:spacing w:line="240" w:lineRule="auto"/>
              <w:rPr>
                <w:sz w:val="20"/>
                <w:szCs w:val="20"/>
                <w:lang w:val="en-US"/>
              </w:rPr>
            </w:pPr>
          </w:p>
        </w:tc>
        <w:tc>
          <w:tcPr>
            <w:tcW w:w="3269" w:type="dxa"/>
            <w:gridSpan w:val="2"/>
          </w:tcPr>
          <w:p w14:paraId="459F1DB8" w14:textId="77777777" w:rsidR="00B84393" w:rsidRPr="004B3D6D" w:rsidRDefault="00B84393" w:rsidP="00113E38">
            <w:pPr>
              <w:spacing w:line="240" w:lineRule="auto"/>
              <w:jc w:val="both"/>
              <w:rPr>
                <w:sz w:val="20"/>
                <w:szCs w:val="20"/>
                <w:lang w:val="en-US"/>
              </w:rPr>
            </w:pPr>
            <w:r>
              <w:rPr>
                <w:sz w:val="20"/>
                <w:szCs w:val="20"/>
                <w:lang w:val="en-US"/>
              </w:rPr>
              <w:t>Swedish Building and Planning Act is a conservative legal document that restricts innovation. Through both ULLs Malmö and Lund municipalities open urban spaces for innovation and experimentation with sustainability solutions.</w:t>
            </w:r>
          </w:p>
        </w:tc>
        <w:tc>
          <w:tcPr>
            <w:tcW w:w="1836" w:type="dxa"/>
          </w:tcPr>
          <w:p w14:paraId="044405A5" w14:textId="77777777" w:rsidR="00B84393" w:rsidRPr="004B3D6D" w:rsidRDefault="00B84393" w:rsidP="00113E38">
            <w:pPr>
              <w:spacing w:line="240" w:lineRule="auto"/>
              <w:rPr>
                <w:sz w:val="20"/>
                <w:szCs w:val="20"/>
                <w:lang w:val="en-US"/>
              </w:rPr>
            </w:pPr>
            <w:r w:rsidRPr="0005349B">
              <w:rPr>
                <w:sz w:val="20"/>
                <w:szCs w:val="20"/>
                <w:lang w:val="en-US"/>
              </w:rPr>
              <w:t>CHVL illustrates how the municipality makes use of its authority to create (or end) flexible, temporary conditions that enable experimentation in the urban fabric</w:t>
            </w:r>
            <w:r>
              <w:rPr>
                <w:sz w:val="20"/>
                <w:szCs w:val="20"/>
                <w:lang w:val="en-US"/>
              </w:rPr>
              <w:t xml:space="preserve"> with</w:t>
            </w:r>
            <w:r w:rsidRPr="0005349B">
              <w:rPr>
                <w:sz w:val="20"/>
                <w:szCs w:val="20"/>
                <w:lang w:val="en-US"/>
              </w:rPr>
              <w:t>.</w:t>
            </w:r>
          </w:p>
        </w:tc>
        <w:tc>
          <w:tcPr>
            <w:tcW w:w="1842" w:type="dxa"/>
          </w:tcPr>
          <w:p w14:paraId="409950B3" w14:textId="77777777" w:rsidR="00B84393" w:rsidRPr="004B3D6D" w:rsidRDefault="00B84393" w:rsidP="00113E38">
            <w:pPr>
              <w:spacing w:line="240" w:lineRule="auto"/>
              <w:rPr>
                <w:sz w:val="20"/>
                <w:szCs w:val="20"/>
                <w:lang w:val="en-US"/>
              </w:rPr>
            </w:pPr>
            <w:r>
              <w:rPr>
                <w:sz w:val="20"/>
                <w:szCs w:val="20"/>
                <w:lang w:val="en-US"/>
              </w:rPr>
              <w:t xml:space="preserve">Likewise, in the OLE case, the municipality of Groningen as one of the land owners, used </w:t>
            </w:r>
            <w:r w:rsidRPr="0005349B">
              <w:rPr>
                <w:sz w:val="20"/>
                <w:szCs w:val="20"/>
                <w:lang w:val="en-US"/>
              </w:rPr>
              <w:t xml:space="preserve">its authority to </w:t>
            </w:r>
            <w:r>
              <w:rPr>
                <w:sz w:val="20"/>
                <w:szCs w:val="20"/>
                <w:lang w:val="en-US"/>
              </w:rPr>
              <w:t>provided part of the land to experiment with the new form of urban re-development.</w:t>
            </w:r>
          </w:p>
        </w:tc>
      </w:tr>
      <w:tr w:rsidR="00B84393" w:rsidRPr="004B3D6D" w14:paraId="7EE21640" w14:textId="77777777" w:rsidTr="00113E38">
        <w:tc>
          <w:tcPr>
            <w:tcW w:w="1271" w:type="dxa"/>
          </w:tcPr>
          <w:p w14:paraId="752D7B34" w14:textId="77777777" w:rsidR="00B84393" w:rsidRPr="004B3D6D" w:rsidRDefault="00B84393" w:rsidP="00113E38">
            <w:pPr>
              <w:spacing w:line="240" w:lineRule="auto"/>
              <w:rPr>
                <w:sz w:val="20"/>
                <w:szCs w:val="20"/>
                <w:lang w:val="en-US"/>
              </w:rPr>
            </w:pPr>
          </w:p>
        </w:tc>
        <w:tc>
          <w:tcPr>
            <w:tcW w:w="1700" w:type="dxa"/>
          </w:tcPr>
          <w:p w14:paraId="6CDC7D2A" w14:textId="77777777" w:rsidR="00B84393" w:rsidRPr="004B3D6D" w:rsidRDefault="00B84393" w:rsidP="00113E38">
            <w:pPr>
              <w:spacing w:line="240" w:lineRule="auto"/>
              <w:rPr>
                <w:sz w:val="20"/>
                <w:szCs w:val="20"/>
                <w:lang w:val="en-US"/>
              </w:rPr>
            </w:pPr>
            <w:r w:rsidRPr="004B3D6D">
              <w:rPr>
                <w:sz w:val="20"/>
                <w:szCs w:val="20"/>
              </w:rPr>
              <w:t>Q5:  how does municipal authority manifest in enabling legal conditions and decisions?</w:t>
            </w:r>
          </w:p>
        </w:tc>
        <w:tc>
          <w:tcPr>
            <w:tcW w:w="3269" w:type="dxa"/>
            <w:gridSpan w:val="2"/>
          </w:tcPr>
          <w:p w14:paraId="61BA9716" w14:textId="77777777" w:rsidR="00B84393" w:rsidRPr="004B3D6D" w:rsidRDefault="00B84393" w:rsidP="00113E38">
            <w:pPr>
              <w:spacing w:line="240" w:lineRule="auto"/>
              <w:jc w:val="both"/>
              <w:rPr>
                <w:sz w:val="20"/>
                <w:szCs w:val="20"/>
                <w:lang w:val="en-US"/>
              </w:rPr>
            </w:pPr>
            <w:r>
              <w:rPr>
                <w:sz w:val="20"/>
                <w:szCs w:val="20"/>
                <w:lang w:val="en-US"/>
              </w:rPr>
              <w:t xml:space="preserve">Both </w:t>
            </w:r>
            <w:r w:rsidRPr="00776F02">
              <w:rPr>
                <w:sz w:val="20"/>
                <w:szCs w:val="20"/>
                <w:lang w:val="en-US"/>
              </w:rPr>
              <w:t xml:space="preserve">ULLs favour a transition from traditional top down governance approaches in which </w:t>
            </w:r>
            <w:r>
              <w:rPr>
                <w:sz w:val="20"/>
                <w:szCs w:val="20"/>
                <w:lang w:val="en-US"/>
              </w:rPr>
              <w:t xml:space="preserve">Malmö and Lund </w:t>
            </w:r>
            <w:r w:rsidRPr="00776F02">
              <w:rPr>
                <w:sz w:val="20"/>
                <w:szCs w:val="20"/>
                <w:lang w:val="en-US"/>
              </w:rPr>
              <w:t>municipalities exercise their power of authority towards more collaborative and inclusive governance processes</w:t>
            </w:r>
            <w:r>
              <w:rPr>
                <w:sz w:val="20"/>
                <w:szCs w:val="20"/>
                <w:lang w:val="en-US"/>
              </w:rPr>
              <w:t>. These provide flexibility for urban actors in the ways to achieve local sustainability goals</w:t>
            </w:r>
            <w:r w:rsidRPr="00776F02">
              <w:rPr>
                <w:sz w:val="20"/>
                <w:szCs w:val="20"/>
                <w:lang w:val="en-US"/>
              </w:rPr>
              <w:t>.</w:t>
            </w:r>
          </w:p>
        </w:tc>
        <w:tc>
          <w:tcPr>
            <w:tcW w:w="3678" w:type="dxa"/>
            <w:gridSpan w:val="2"/>
          </w:tcPr>
          <w:p w14:paraId="4E43174F" w14:textId="77777777" w:rsidR="00B84393" w:rsidRPr="004B3D6D" w:rsidRDefault="00B84393" w:rsidP="00113E38">
            <w:pPr>
              <w:spacing w:line="240" w:lineRule="auto"/>
              <w:rPr>
                <w:sz w:val="20"/>
                <w:szCs w:val="20"/>
                <w:lang w:val="en-US"/>
              </w:rPr>
            </w:pPr>
            <w:r>
              <w:rPr>
                <w:sz w:val="20"/>
                <w:szCs w:val="20"/>
                <w:lang w:val="en-US"/>
              </w:rPr>
              <w:t>These two</w:t>
            </w:r>
            <w:r w:rsidRPr="00131F60">
              <w:rPr>
                <w:sz w:val="20"/>
                <w:szCs w:val="20"/>
                <w:lang w:val="en-US"/>
              </w:rPr>
              <w:t xml:space="preserve"> ULLs </w:t>
            </w:r>
            <w:r>
              <w:rPr>
                <w:sz w:val="20"/>
                <w:szCs w:val="20"/>
                <w:lang w:val="en-US"/>
              </w:rPr>
              <w:t>on the one hand benefitted from municipal authority, when the municipality authorized the temporary (in between) use of land parcels within the city for ULL operations</w:t>
            </w:r>
            <w:r w:rsidRPr="00131F60">
              <w:rPr>
                <w:sz w:val="20"/>
                <w:szCs w:val="20"/>
                <w:lang w:val="en-US"/>
              </w:rPr>
              <w:t>.</w:t>
            </w:r>
            <w:r>
              <w:rPr>
                <w:sz w:val="20"/>
                <w:szCs w:val="20"/>
                <w:lang w:val="en-US"/>
              </w:rPr>
              <w:t xml:space="preserve"> On the other hand this authority was also used in the case of CHVL to “kick-out” the ULL after operations for 5 years, when the municipality as land owner considered re-developing the area.</w:t>
            </w:r>
          </w:p>
        </w:tc>
      </w:tr>
      <w:tr w:rsidR="00B84393" w:rsidRPr="004B3D6D" w14:paraId="77307653" w14:textId="77777777" w:rsidTr="00113E38">
        <w:tc>
          <w:tcPr>
            <w:tcW w:w="1271" w:type="dxa"/>
          </w:tcPr>
          <w:p w14:paraId="427C8C50" w14:textId="77777777" w:rsidR="00B84393" w:rsidRPr="004B3D6D" w:rsidRDefault="00B84393" w:rsidP="00113E38">
            <w:pPr>
              <w:spacing w:line="240" w:lineRule="auto"/>
              <w:rPr>
                <w:sz w:val="20"/>
                <w:szCs w:val="20"/>
                <w:lang w:val="en-US"/>
              </w:rPr>
            </w:pPr>
            <w:r w:rsidRPr="004B3D6D">
              <w:rPr>
                <w:sz w:val="20"/>
                <w:szCs w:val="20"/>
                <w:lang w:val="en-US"/>
              </w:rPr>
              <w:t xml:space="preserve">Treasury </w:t>
            </w:r>
          </w:p>
        </w:tc>
        <w:tc>
          <w:tcPr>
            <w:tcW w:w="1700" w:type="dxa"/>
          </w:tcPr>
          <w:p w14:paraId="3F1FA4AA" w14:textId="77777777" w:rsidR="00B84393" w:rsidRPr="004B3D6D" w:rsidRDefault="00B84393" w:rsidP="00113E38">
            <w:pPr>
              <w:spacing w:line="240" w:lineRule="auto"/>
              <w:rPr>
                <w:sz w:val="20"/>
                <w:szCs w:val="20"/>
                <w:lang w:val="en-US"/>
              </w:rPr>
            </w:pPr>
            <w:r w:rsidRPr="004B3D6D">
              <w:rPr>
                <w:sz w:val="20"/>
                <w:szCs w:val="20"/>
                <w:lang w:val="en-US" w:eastAsia="sv-SE"/>
              </w:rPr>
              <w:t xml:space="preserve">Q6: What kind of economic support is the municipality providing? </w:t>
            </w:r>
          </w:p>
        </w:tc>
        <w:tc>
          <w:tcPr>
            <w:tcW w:w="1802" w:type="dxa"/>
          </w:tcPr>
          <w:p w14:paraId="3BFCF22A" w14:textId="77777777" w:rsidR="00B84393" w:rsidRPr="004B3D6D" w:rsidRDefault="00B84393" w:rsidP="00113E38">
            <w:pPr>
              <w:spacing w:line="240" w:lineRule="auto"/>
              <w:rPr>
                <w:sz w:val="20"/>
                <w:szCs w:val="20"/>
                <w:lang w:val="en-US"/>
              </w:rPr>
            </w:pPr>
            <w:r>
              <w:rPr>
                <w:sz w:val="20"/>
                <w:szCs w:val="20"/>
                <w:lang w:val="en-US"/>
              </w:rPr>
              <w:t>Malmö municipality received basic funding for MIP from VINNOVA and ERDF and coordinates these budgets.</w:t>
            </w:r>
          </w:p>
        </w:tc>
        <w:tc>
          <w:tcPr>
            <w:tcW w:w="1467" w:type="dxa"/>
          </w:tcPr>
          <w:p w14:paraId="71E2F804" w14:textId="77777777" w:rsidR="00B84393" w:rsidRPr="004B3D6D" w:rsidRDefault="00B84393" w:rsidP="00113E38">
            <w:pPr>
              <w:spacing w:line="240" w:lineRule="auto"/>
              <w:rPr>
                <w:sz w:val="20"/>
                <w:szCs w:val="20"/>
                <w:lang w:val="en-US"/>
              </w:rPr>
            </w:pPr>
            <w:r>
              <w:rPr>
                <w:sz w:val="20"/>
                <w:szCs w:val="20"/>
                <w:lang w:val="en-US"/>
              </w:rPr>
              <w:t>Lund municipality received basic funding for FbL from VINNOVA. It also co-finances some projects.</w:t>
            </w:r>
          </w:p>
        </w:tc>
        <w:tc>
          <w:tcPr>
            <w:tcW w:w="3678" w:type="dxa"/>
            <w:gridSpan w:val="2"/>
          </w:tcPr>
          <w:p w14:paraId="2B51AB96" w14:textId="77777777" w:rsidR="00B84393" w:rsidRPr="004B3D6D" w:rsidRDefault="00B84393" w:rsidP="00113E38">
            <w:pPr>
              <w:spacing w:line="240" w:lineRule="auto"/>
              <w:rPr>
                <w:sz w:val="20"/>
                <w:szCs w:val="20"/>
                <w:lang w:val="en-US"/>
              </w:rPr>
            </w:pPr>
            <w:r>
              <w:rPr>
                <w:sz w:val="20"/>
                <w:szCs w:val="20"/>
                <w:lang w:val="en-US"/>
              </w:rPr>
              <w:t xml:space="preserve">Both Dutch ULL’s </w:t>
            </w:r>
            <w:r w:rsidRPr="00490185">
              <w:rPr>
                <w:sz w:val="20"/>
                <w:szCs w:val="20"/>
                <w:lang w:val="en-US"/>
              </w:rPr>
              <w:t xml:space="preserve">were </w:t>
            </w:r>
            <w:r>
              <w:rPr>
                <w:sz w:val="20"/>
                <w:szCs w:val="20"/>
                <w:lang w:val="en-US"/>
              </w:rPr>
              <w:t xml:space="preserve">not </w:t>
            </w:r>
            <w:r w:rsidRPr="00490185">
              <w:rPr>
                <w:sz w:val="20"/>
                <w:szCs w:val="20"/>
                <w:lang w:val="en-US"/>
              </w:rPr>
              <w:t xml:space="preserve">the main applicants for the initial funding from ERDF </w:t>
            </w:r>
            <w:r>
              <w:rPr>
                <w:sz w:val="20"/>
                <w:szCs w:val="20"/>
                <w:lang w:val="en-US"/>
              </w:rPr>
              <w:t xml:space="preserve">or other funding </w:t>
            </w:r>
            <w:r w:rsidRPr="00490185">
              <w:rPr>
                <w:sz w:val="20"/>
                <w:szCs w:val="20"/>
                <w:lang w:val="en-US"/>
              </w:rPr>
              <w:t>within a larger consortium of European partners.</w:t>
            </w:r>
            <w:r>
              <w:rPr>
                <w:sz w:val="20"/>
                <w:szCs w:val="20"/>
                <w:lang w:val="en-US"/>
              </w:rPr>
              <w:t xml:space="preserve"> T</w:t>
            </w:r>
            <w:r w:rsidRPr="00490185">
              <w:rPr>
                <w:sz w:val="20"/>
                <w:szCs w:val="20"/>
                <w:lang w:val="en-US"/>
              </w:rPr>
              <w:t>he municipalit</w:t>
            </w:r>
            <w:r>
              <w:rPr>
                <w:sz w:val="20"/>
                <w:szCs w:val="20"/>
                <w:lang w:val="en-US"/>
              </w:rPr>
              <w:t>ies</w:t>
            </w:r>
            <w:r w:rsidRPr="00490185">
              <w:rPr>
                <w:sz w:val="20"/>
                <w:szCs w:val="20"/>
                <w:lang w:val="en-US"/>
              </w:rPr>
              <w:t xml:space="preserve"> did not provide direct fi</w:t>
            </w:r>
            <w:r>
              <w:rPr>
                <w:sz w:val="20"/>
                <w:szCs w:val="20"/>
                <w:lang w:val="en-US"/>
              </w:rPr>
              <w:t>nancial</w:t>
            </w:r>
            <w:r w:rsidRPr="00490185">
              <w:rPr>
                <w:sz w:val="20"/>
                <w:szCs w:val="20"/>
                <w:lang w:val="en-US"/>
              </w:rPr>
              <w:t xml:space="preserve"> support during the first year</w:t>
            </w:r>
            <w:r>
              <w:rPr>
                <w:sz w:val="20"/>
                <w:szCs w:val="20"/>
                <w:lang w:val="en-US"/>
              </w:rPr>
              <w:t>(</w:t>
            </w:r>
            <w:r w:rsidRPr="00490185">
              <w:rPr>
                <w:sz w:val="20"/>
                <w:szCs w:val="20"/>
                <w:lang w:val="en-US"/>
              </w:rPr>
              <w:t>s</w:t>
            </w:r>
            <w:r>
              <w:rPr>
                <w:sz w:val="20"/>
                <w:szCs w:val="20"/>
                <w:lang w:val="en-US"/>
              </w:rPr>
              <w:t>)</w:t>
            </w:r>
            <w:r w:rsidRPr="00490185">
              <w:rPr>
                <w:sz w:val="20"/>
                <w:szCs w:val="20"/>
                <w:lang w:val="en-US"/>
              </w:rPr>
              <w:t>, yet</w:t>
            </w:r>
            <w:r>
              <w:rPr>
                <w:sz w:val="20"/>
                <w:szCs w:val="20"/>
                <w:lang w:val="en-US"/>
              </w:rPr>
              <w:t>, additional resources were provided in both cases.</w:t>
            </w:r>
          </w:p>
        </w:tc>
      </w:tr>
      <w:tr w:rsidR="00B84393" w:rsidRPr="004B3D6D" w14:paraId="19423B5D" w14:textId="77777777" w:rsidTr="00113E38">
        <w:tc>
          <w:tcPr>
            <w:tcW w:w="1271" w:type="dxa"/>
          </w:tcPr>
          <w:p w14:paraId="19385061" w14:textId="77777777" w:rsidR="00B84393" w:rsidRPr="004B3D6D" w:rsidRDefault="00B84393" w:rsidP="00113E38">
            <w:pPr>
              <w:spacing w:line="240" w:lineRule="auto"/>
              <w:rPr>
                <w:sz w:val="20"/>
                <w:szCs w:val="20"/>
                <w:lang w:val="en-US"/>
              </w:rPr>
            </w:pPr>
          </w:p>
        </w:tc>
        <w:tc>
          <w:tcPr>
            <w:tcW w:w="1700" w:type="dxa"/>
          </w:tcPr>
          <w:p w14:paraId="20706764" w14:textId="77777777" w:rsidR="00B84393" w:rsidRPr="004B3D6D" w:rsidRDefault="00B84393" w:rsidP="00113E38">
            <w:pPr>
              <w:spacing w:line="240" w:lineRule="auto"/>
              <w:rPr>
                <w:sz w:val="20"/>
                <w:szCs w:val="20"/>
              </w:rPr>
            </w:pPr>
            <w:r w:rsidRPr="004B3D6D">
              <w:rPr>
                <w:sz w:val="20"/>
                <w:szCs w:val="20"/>
                <w:lang w:val="en-US" w:eastAsia="sv-SE"/>
              </w:rPr>
              <w:t xml:space="preserve">Q7: Which additional resources does the municipality provide? </w:t>
            </w:r>
          </w:p>
        </w:tc>
        <w:tc>
          <w:tcPr>
            <w:tcW w:w="3269" w:type="dxa"/>
            <w:gridSpan w:val="2"/>
          </w:tcPr>
          <w:p w14:paraId="133B2C1E" w14:textId="77777777" w:rsidR="00B84393" w:rsidRPr="004B3D6D" w:rsidRDefault="00B84393" w:rsidP="00113E38">
            <w:pPr>
              <w:spacing w:line="240" w:lineRule="auto"/>
              <w:rPr>
                <w:sz w:val="20"/>
                <w:szCs w:val="20"/>
                <w:lang w:val="en-US"/>
              </w:rPr>
            </w:pPr>
            <w:r>
              <w:rPr>
                <w:sz w:val="20"/>
                <w:szCs w:val="20"/>
                <w:lang w:val="en-US"/>
              </w:rPr>
              <w:t>Employees of Malmö and Lund municipalities provide in-kind contribution by dedicating their time to work on the ULLs.</w:t>
            </w:r>
          </w:p>
        </w:tc>
        <w:tc>
          <w:tcPr>
            <w:tcW w:w="3678" w:type="dxa"/>
            <w:gridSpan w:val="2"/>
          </w:tcPr>
          <w:p w14:paraId="601824A2" w14:textId="77777777" w:rsidR="00B84393" w:rsidRPr="004B3D6D" w:rsidRDefault="00B84393" w:rsidP="00113E38">
            <w:pPr>
              <w:spacing w:line="240" w:lineRule="auto"/>
              <w:rPr>
                <w:sz w:val="20"/>
                <w:szCs w:val="20"/>
                <w:lang w:val="en-US"/>
              </w:rPr>
            </w:pPr>
            <w:r>
              <w:rPr>
                <w:sz w:val="20"/>
                <w:szCs w:val="20"/>
                <w:lang w:val="en-US"/>
              </w:rPr>
              <w:t>T</w:t>
            </w:r>
            <w:r w:rsidRPr="00490185">
              <w:rPr>
                <w:sz w:val="20"/>
                <w:szCs w:val="20"/>
                <w:lang w:val="en-US"/>
              </w:rPr>
              <w:t>he municipalit</w:t>
            </w:r>
            <w:r>
              <w:rPr>
                <w:sz w:val="20"/>
                <w:szCs w:val="20"/>
                <w:lang w:val="en-US"/>
              </w:rPr>
              <w:t>ies</w:t>
            </w:r>
            <w:r w:rsidRPr="00490185">
              <w:rPr>
                <w:sz w:val="20"/>
                <w:szCs w:val="20"/>
                <w:lang w:val="en-US"/>
              </w:rPr>
              <w:t xml:space="preserve"> did not provide direct fi</w:t>
            </w:r>
            <w:r>
              <w:rPr>
                <w:sz w:val="20"/>
                <w:szCs w:val="20"/>
                <w:lang w:val="en-US"/>
              </w:rPr>
              <w:t>nancial</w:t>
            </w:r>
            <w:r w:rsidRPr="00490185">
              <w:rPr>
                <w:sz w:val="20"/>
                <w:szCs w:val="20"/>
                <w:lang w:val="en-US"/>
              </w:rPr>
              <w:t xml:space="preserve"> support during the </w:t>
            </w:r>
            <w:r>
              <w:rPr>
                <w:sz w:val="20"/>
                <w:szCs w:val="20"/>
                <w:lang w:val="en-US"/>
              </w:rPr>
              <w:t>initial phases.T</w:t>
            </w:r>
            <w:r w:rsidRPr="00490185">
              <w:rPr>
                <w:sz w:val="20"/>
                <w:szCs w:val="20"/>
                <w:lang w:val="en-US"/>
              </w:rPr>
              <w:t>he ULL</w:t>
            </w:r>
            <w:r>
              <w:rPr>
                <w:sz w:val="20"/>
                <w:szCs w:val="20"/>
                <w:lang w:val="en-US"/>
              </w:rPr>
              <w:t xml:space="preserve"> in Rotterdam</w:t>
            </w:r>
            <w:r w:rsidRPr="00490185">
              <w:rPr>
                <w:sz w:val="20"/>
                <w:szCs w:val="20"/>
                <w:lang w:val="en-US"/>
              </w:rPr>
              <w:t xml:space="preserve"> was partly enabled by the municipality providing the right to use vacant land parcels, When the initial funding </w:t>
            </w:r>
            <w:r>
              <w:rPr>
                <w:sz w:val="20"/>
                <w:szCs w:val="20"/>
                <w:lang w:val="en-US"/>
              </w:rPr>
              <w:t xml:space="preserve">period ended, the municipality’s </w:t>
            </w:r>
            <w:r w:rsidRPr="00490185">
              <w:rPr>
                <w:sz w:val="20"/>
                <w:szCs w:val="20"/>
                <w:lang w:val="en-US"/>
              </w:rPr>
              <w:t xml:space="preserve">urban development section </w:t>
            </w:r>
            <w:r>
              <w:rPr>
                <w:sz w:val="20"/>
                <w:szCs w:val="20"/>
                <w:lang w:val="en-US"/>
              </w:rPr>
              <w:t xml:space="preserve">in Rotterdam </w:t>
            </w:r>
            <w:r w:rsidRPr="00490185">
              <w:rPr>
                <w:sz w:val="20"/>
                <w:szCs w:val="20"/>
                <w:lang w:val="en-US"/>
              </w:rPr>
              <w:t>provided resources for additional two years to cover the costs of a team of 4 people working to keep the lab running</w:t>
            </w:r>
          </w:p>
        </w:tc>
      </w:tr>
      <w:tr w:rsidR="00B84393" w:rsidRPr="004B3D6D" w14:paraId="4B33FB8A" w14:textId="77777777" w:rsidTr="00113E38">
        <w:tc>
          <w:tcPr>
            <w:tcW w:w="1271" w:type="dxa"/>
          </w:tcPr>
          <w:p w14:paraId="1CEC1077" w14:textId="77777777" w:rsidR="00B84393" w:rsidRPr="004B3D6D" w:rsidRDefault="00B84393" w:rsidP="00113E38">
            <w:pPr>
              <w:spacing w:line="240" w:lineRule="auto"/>
              <w:rPr>
                <w:sz w:val="20"/>
                <w:szCs w:val="20"/>
                <w:lang w:val="en-US"/>
              </w:rPr>
            </w:pPr>
            <w:r w:rsidRPr="004B3D6D">
              <w:rPr>
                <w:sz w:val="20"/>
                <w:szCs w:val="20"/>
                <w:lang w:val="en-US" w:eastAsia="sv-SE"/>
              </w:rPr>
              <w:t>Organizing</w:t>
            </w:r>
          </w:p>
        </w:tc>
        <w:tc>
          <w:tcPr>
            <w:tcW w:w="1700" w:type="dxa"/>
          </w:tcPr>
          <w:p w14:paraId="2740691E" w14:textId="77777777" w:rsidR="00B84393" w:rsidRPr="004B3D6D" w:rsidRDefault="00B84393" w:rsidP="00113E38">
            <w:pPr>
              <w:spacing w:line="240" w:lineRule="auto"/>
              <w:rPr>
                <w:sz w:val="20"/>
                <w:szCs w:val="20"/>
              </w:rPr>
            </w:pPr>
            <w:r w:rsidRPr="004B3D6D">
              <w:rPr>
                <w:sz w:val="20"/>
                <w:szCs w:val="20"/>
              </w:rPr>
              <w:t xml:space="preserve">Q8: treatment of individuals/citizens in ULL </w:t>
            </w:r>
          </w:p>
        </w:tc>
        <w:tc>
          <w:tcPr>
            <w:tcW w:w="3269" w:type="dxa"/>
            <w:gridSpan w:val="2"/>
          </w:tcPr>
          <w:p w14:paraId="6D0D6D1A" w14:textId="77777777" w:rsidR="00B84393" w:rsidRPr="004B3D6D" w:rsidRDefault="00B84393" w:rsidP="00113E38">
            <w:pPr>
              <w:spacing w:line="240" w:lineRule="auto"/>
              <w:rPr>
                <w:sz w:val="20"/>
                <w:szCs w:val="20"/>
                <w:lang w:val="en-US"/>
              </w:rPr>
            </w:pPr>
            <w:r>
              <w:rPr>
                <w:sz w:val="20"/>
                <w:szCs w:val="20"/>
                <w:lang w:val="en-US"/>
              </w:rPr>
              <w:t>At the platform level, the ambition to engage</w:t>
            </w:r>
            <w:r w:rsidRPr="00865EAC">
              <w:rPr>
                <w:sz w:val="20"/>
                <w:szCs w:val="20"/>
                <w:lang w:val="en-US"/>
              </w:rPr>
              <w:t xml:space="preserve"> </w:t>
            </w:r>
            <w:r>
              <w:rPr>
                <w:sz w:val="20"/>
                <w:szCs w:val="20"/>
                <w:lang w:val="en-US"/>
              </w:rPr>
              <w:t xml:space="preserve">individuals </w:t>
            </w:r>
            <w:r w:rsidRPr="00865EAC">
              <w:rPr>
                <w:sz w:val="20"/>
                <w:szCs w:val="20"/>
                <w:lang w:val="en-US"/>
              </w:rPr>
              <w:t xml:space="preserve">is not among the primary ambitions of </w:t>
            </w:r>
            <w:r>
              <w:rPr>
                <w:sz w:val="20"/>
                <w:szCs w:val="20"/>
                <w:lang w:val="en-US"/>
              </w:rPr>
              <w:t xml:space="preserve">both </w:t>
            </w:r>
            <w:r w:rsidRPr="00865EAC">
              <w:rPr>
                <w:sz w:val="20"/>
                <w:szCs w:val="20"/>
                <w:lang w:val="en-US"/>
              </w:rPr>
              <w:t>municipalities</w:t>
            </w:r>
            <w:r>
              <w:rPr>
                <w:sz w:val="20"/>
                <w:szCs w:val="20"/>
                <w:lang w:val="en-US"/>
              </w:rPr>
              <w:t xml:space="preserve"> while the participation of citizens is rather expanded at the project level.</w:t>
            </w:r>
          </w:p>
        </w:tc>
        <w:tc>
          <w:tcPr>
            <w:tcW w:w="3678" w:type="dxa"/>
            <w:gridSpan w:val="2"/>
          </w:tcPr>
          <w:p w14:paraId="371F6A0B" w14:textId="77777777" w:rsidR="00B84393" w:rsidRPr="004B3D6D" w:rsidRDefault="00B84393" w:rsidP="00113E38">
            <w:pPr>
              <w:spacing w:line="240" w:lineRule="auto"/>
              <w:rPr>
                <w:sz w:val="20"/>
                <w:szCs w:val="20"/>
                <w:lang w:val="en-US"/>
              </w:rPr>
            </w:pPr>
            <w:r>
              <w:rPr>
                <w:sz w:val="20"/>
                <w:szCs w:val="20"/>
                <w:lang w:val="en-US"/>
              </w:rPr>
              <w:t>The two Dutch ULLs both did involve citizens, however, OLE organized more explicit opportunities for individual citizens, while CHVL rather focused on organizing the co-creation among institutional actors e.g. from the building sector, academia, and others, rather than primarily focusing on individuals’ engagements.</w:t>
            </w:r>
          </w:p>
        </w:tc>
      </w:tr>
      <w:tr w:rsidR="00B84393" w:rsidRPr="004B3D6D" w14:paraId="01C0DBFC" w14:textId="77777777" w:rsidTr="00113E38">
        <w:tc>
          <w:tcPr>
            <w:tcW w:w="1271" w:type="dxa"/>
          </w:tcPr>
          <w:p w14:paraId="2445CB48" w14:textId="77777777" w:rsidR="00B84393" w:rsidRPr="004B3D6D" w:rsidRDefault="00B84393" w:rsidP="00113E38">
            <w:pPr>
              <w:spacing w:line="240" w:lineRule="auto"/>
              <w:rPr>
                <w:sz w:val="20"/>
                <w:szCs w:val="20"/>
                <w:lang w:val="en-US"/>
              </w:rPr>
            </w:pPr>
          </w:p>
        </w:tc>
        <w:tc>
          <w:tcPr>
            <w:tcW w:w="1700" w:type="dxa"/>
          </w:tcPr>
          <w:p w14:paraId="24943D15" w14:textId="77777777" w:rsidR="00B84393" w:rsidRPr="004B3D6D" w:rsidRDefault="00B84393" w:rsidP="00113E38">
            <w:pPr>
              <w:spacing w:line="240" w:lineRule="auto"/>
              <w:rPr>
                <w:sz w:val="20"/>
                <w:szCs w:val="20"/>
              </w:rPr>
            </w:pPr>
            <w:r w:rsidRPr="004B3D6D">
              <w:rPr>
                <w:sz w:val="20"/>
                <w:szCs w:val="20"/>
              </w:rPr>
              <w:t xml:space="preserve">Q9: Treatment of groups </w:t>
            </w:r>
            <w:r>
              <w:rPr>
                <w:sz w:val="20"/>
                <w:szCs w:val="20"/>
              </w:rPr>
              <w:t>in ULL</w:t>
            </w:r>
          </w:p>
        </w:tc>
        <w:tc>
          <w:tcPr>
            <w:tcW w:w="3269" w:type="dxa"/>
            <w:gridSpan w:val="2"/>
          </w:tcPr>
          <w:p w14:paraId="65F823BF" w14:textId="77777777" w:rsidR="00B84393" w:rsidRPr="004B3D6D" w:rsidRDefault="00B84393" w:rsidP="00113E38">
            <w:pPr>
              <w:spacing w:line="240" w:lineRule="auto"/>
              <w:jc w:val="both"/>
              <w:rPr>
                <w:sz w:val="20"/>
                <w:szCs w:val="20"/>
                <w:lang w:val="en-US"/>
              </w:rPr>
            </w:pPr>
            <w:r>
              <w:rPr>
                <w:sz w:val="20"/>
                <w:szCs w:val="20"/>
                <w:lang w:val="en-US"/>
              </w:rPr>
              <w:t xml:space="preserve">Through both ULLs Malmö and Lund municipalities open space for collaboration between various urban actors towards a common goal. Practically this is operationalized through, for example, </w:t>
            </w:r>
            <w:r w:rsidRPr="00A63DE5">
              <w:rPr>
                <w:sz w:val="20"/>
                <w:szCs w:val="20"/>
                <w:lang w:val="en-US"/>
              </w:rPr>
              <w:t>steering groups.</w:t>
            </w:r>
          </w:p>
        </w:tc>
        <w:tc>
          <w:tcPr>
            <w:tcW w:w="3678" w:type="dxa"/>
            <w:gridSpan w:val="2"/>
          </w:tcPr>
          <w:p w14:paraId="7B803D69" w14:textId="77777777" w:rsidR="00B84393" w:rsidRPr="004B3D6D" w:rsidRDefault="00B84393" w:rsidP="00113E38">
            <w:pPr>
              <w:spacing w:line="240" w:lineRule="auto"/>
              <w:rPr>
                <w:sz w:val="20"/>
                <w:szCs w:val="20"/>
                <w:lang w:val="en-US"/>
              </w:rPr>
            </w:pPr>
            <w:r>
              <w:rPr>
                <w:sz w:val="20"/>
                <w:szCs w:val="20"/>
                <w:lang w:val="en-US"/>
              </w:rPr>
              <w:t>In b</w:t>
            </w:r>
            <w:r w:rsidRPr="00DA4873">
              <w:rPr>
                <w:sz w:val="20"/>
                <w:szCs w:val="20"/>
                <w:lang w:val="en-US"/>
              </w:rPr>
              <w:t xml:space="preserve">oth </w:t>
            </w:r>
            <w:r>
              <w:rPr>
                <w:sz w:val="20"/>
                <w:szCs w:val="20"/>
                <w:lang w:val="en-US"/>
              </w:rPr>
              <w:t xml:space="preserve">Dutch </w:t>
            </w:r>
            <w:r w:rsidRPr="00DA4873">
              <w:rPr>
                <w:sz w:val="20"/>
                <w:szCs w:val="20"/>
                <w:lang w:val="en-US"/>
              </w:rPr>
              <w:t>ULLs</w:t>
            </w:r>
            <w:r>
              <w:rPr>
                <w:sz w:val="20"/>
                <w:szCs w:val="20"/>
                <w:lang w:val="en-US"/>
              </w:rPr>
              <w:t xml:space="preserve">, the municipality was not in a leading, enabling role in the initial phase, however, later, supported and co-provided the </w:t>
            </w:r>
            <w:r w:rsidRPr="00DA4873">
              <w:rPr>
                <w:sz w:val="20"/>
                <w:szCs w:val="20"/>
                <w:lang w:val="en-US"/>
              </w:rPr>
              <w:t>space for co</w:t>
            </w:r>
            <w:r>
              <w:rPr>
                <w:sz w:val="20"/>
                <w:szCs w:val="20"/>
                <w:lang w:val="en-US"/>
              </w:rPr>
              <w:t>-creation</w:t>
            </w:r>
            <w:r w:rsidRPr="00DA4873">
              <w:rPr>
                <w:sz w:val="20"/>
                <w:szCs w:val="20"/>
                <w:lang w:val="en-US"/>
              </w:rPr>
              <w:t xml:space="preserve"> </w:t>
            </w:r>
            <w:r>
              <w:rPr>
                <w:sz w:val="20"/>
                <w:szCs w:val="20"/>
                <w:lang w:val="en-US"/>
              </w:rPr>
              <w:t xml:space="preserve">and learning </w:t>
            </w:r>
            <w:r w:rsidRPr="00DA4873">
              <w:rPr>
                <w:sz w:val="20"/>
                <w:szCs w:val="20"/>
                <w:lang w:val="en-US"/>
              </w:rPr>
              <w:t xml:space="preserve">between various urban </w:t>
            </w:r>
            <w:r>
              <w:rPr>
                <w:sz w:val="20"/>
                <w:szCs w:val="20"/>
                <w:lang w:val="en-US"/>
              </w:rPr>
              <w:t>stakeholder groups</w:t>
            </w:r>
            <w:r w:rsidRPr="00DA4873">
              <w:rPr>
                <w:sz w:val="20"/>
                <w:szCs w:val="20"/>
                <w:lang w:val="en-US"/>
              </w:rPr>
              <w:t xml:space="preserve">. </w:t>
            </w:r>
          </w:p>
        </w:tc>
      </w:tr>
      <w:tr w:rsidR="00B84393" w:rsidRPr="004B3D6D" w14:paraId="50347ACB" w14:textId="77777777" w:rsidTr="00113E38">
        <w:tc>
          <w:tcPr>
            <w:tcW w:w="1271" w:type="dxa"/>
          </w:tcPr>
          <w:p w14:paraId="5EC40951" w14:textId="77777777" w:rsidR="00B84393" w:rsidRPr="004B3D6D" w:rsidRDefault="00B84393" w:rsidP="00113E38">
            <w:pPr>
              <w:spacing w:line="240" w:lineRule="auto"/>
              <w:rPr>
                <w:sz w:val="20"/>
                <w:szCs w:val="20"/>
                <w:lang w:val="en-US"/>
              </w:rPr>
            </w:pPr>
          </w:p>
        </w:tc>
        <w:tc>
          <w:tcPr>
            <w:tcW w:w="1700" w:type="dxa"/>
          </w:tcPr>
          <w:p w14:paraId="21A6602A" w14:textId="77777777" w:rsidR="00B84393" w:rsidRPr="004B3D6D" w:rsidRDefault="00B84393" w:rsidP="00113E38">
            <w:pPr>
              <w:spacing w:line="240" w:lineRule="auto"/>
              <w:rPr>
                <w:sz w:val="20"/>
                <w:szCs w:val="20"/>
              </w:rPr>
            </w:pPr>
            <w:r w:rsidRPr="004B3D6D">
              <w:rPr>
                <w:sz w:val="20"/>
                <w:szCs w:val="20"/>
              </w:rPr>
              <w:t xml:space="preserve">Q10: </w:t>
            </w:r>
            <w:r w:rsidRPr="004B3D6D">
              <w:rPr>
                <w:sz w:val="20"/>
                <w:szCs w:val="20"/>
                <w:lang w:val="en-US"/>
              </w:rPr>
              <w:t xml:space="preserve"> How are resources such as </w:t>
            </w:r>
            <w:r w:rsidRPr="004B3D6D">
              <w:rPr>
                <w:sz w:val="20"/>
                <w:szCs w:val="20"/>
                <w:lang w:val="en-US"/>
              </w:rPr>
              <w:lastRenderedPageBreak/>
              <w:t>premises or staff being organized, if provided?</w:t>
            </w:r>
          </w:p>
          <w:p w14:paraId="06C3FFC8" w14:textId="77777777" w:rsidR="00B84393" w:rsidRPr="004B3D6D" w:rsidRDefault="00B84393" w:rsidP="00113E38">
            <w:pPr>
              <w:spacing w:line="240" w:lineRule="auto"/>
              <w:rPr>
                <w:i/>
                <w:color w:val="000000"/>
                <w:sz w:val="20"/>
                <w:szCs w:val="20"/>
                <w:lang w:val="en-US" w:eastAsia="sv-SE"/>
              </w:rPr>
            </w:pPr>
          </w:p>
        </w:tc>
        <w:tc>
          <w:tcPr>
            <w:tcW w:w="1802" w:type="dxa"/>
          </w:tcPr>
          <w:p w14:paraId="28384AF0" w14:textId="77777777" w:rsidR="00B84393" w:rsidRPr="004B3D6D" w:rsidRDefault="00B84393" w:rsidP="00113E38">
            <w:pPr>
              <w:spacing w:line="240" w:lineRule="auto"/>
              <w:jc w:val="both"/>
              <w:rPr>
                <w:sz w:val="20"/>
                <w:szCs w:val="20"/>
                <w:lang w:val="en-US"/>
              </w:rPr>
            </w:pPr>
            <w:r w:rsidRPr="00D4639D">
              <w:rPr>
                <w:sz w:val="20"/>
                <w:szCs w:val="20"/>
                <w:lang w:val="en-US"/>
              </w:rPr>
              <w:lastRenderedPageBreak/>
              <w:t xml:space="preserve">At the local level, MIP is part of the </w:t>
            </w:r>
            <w:r w:rsidRPr="00D4639D">
              <w:rPr>
                <w:sz w:val="20"/>
                <w:szCs w:val="20"/>
                <w:lang w:val="en-US"/>
              </w:rPr>
              <w:lastRenderedPageBreak/>
              <w:t xml:space="preserve">Environment Department of Malmö </w:t>
            </w:r>
            <w:r>
              <w:rPr>
                <w:sz w:val="20"/>
                <w:szCs w:val="20"/>
                <w:lang w:val="en-US"/>
              </w:rPr>
              <w:t>municipality, and its employees dedicate their time to the ULL work</w:t>
            </w:r>
            <w:r w:rsidRPr="00D4639D">
              <w:rPr>
                <w:sz w:val="20"/>
                <w:szCs w:val="20"/>
                <w:lang w:val="en-US"/>
              </w:rPr>
              <w:t>. At the county level, MIP is part of the Region Skåne innovation agenda and structure.</w:t>
            </w:r>
          </w:p>
        </w:tc>
        <w:tc>
          <w:tcPr>
            <w:tcW w:w="1467" w:type="dxa"/>
          </w:tcPr>
          <w:p w14:paraId="129FA445" w14:textId="77777777" w:rsidR="00B84393" w:rsidRPr="004B3D6D" w:rsidRDefault="00B84393" w:rsidP="00113E38">
            <w:pPr>
              <w:spacing w:line="240" w:lineRule="auto"/>
              <w:jc w:val="both"/>
              <w:rPr>
                <w:sz w:val="20"/>
                <w:szCs w:val="20"/>
                <w:lang w:val="en-US"/>
              </w:rPr>
            </w:pPr>
            <w:r>
              <w:rPr>
                <w:sz w:val="20"/>
                <w:szCs w:val="20"/>
                <w:lang w:val="en-US"/>
              </w:rPr>
              <w:lastRenderedPageBreak/>
              <w:t xml:space="preserve">Lund municipality </w:t>
            </w:r>
            <w:r w:rsidRPr="00E62F8A">
              <w:rPr>
                <w:sz w:val="20"/>
                <w:szCs w:val="20"/>
                <w:lang w:val="en-US"/>
              </w:rPr>
              <w:lastRenderedPageBreak/>
              <w:t xml:space="preserve">located meeting place </w:t>
            </w:r>
            <w:r>
              <w:rPr>
                <w:sz w:val="20"/>
                <w:szCs w:val="20"/>
                <w:lang w:val="en-US"/>
              </w:rPr>
              <w:t xml:space="preserve">for FbL </w:t>
            </w:r>
            <w:r w:rsidRPr="00E62F8A">
              <w:rPr>
                <w:sz w:val="20"/>
                <w:szCs w:val="20"/>
                <w:lang w:val="en-US"/>
              </w:rPr>
              <w:t>in the innovation district outside of the municipal organization</w:t>
            </w:r>
            <w:r>
              <w:rPr>
                <w:sz w:val="20"/>
                <w:szCs w:val="20"/>
                <w:lang w:val="en-US"/>
              </w:rPr>
              <w:t xml:space="preserve"> </w:t>
            </w:r>
            <w:r w:rsidRPr="00E62F8A">
              <w:rPr>
                <w:sz w:val="20"/>
                <w:szCs w:val="20"/>
                <w:lang w:val="en-US"/>
              </w:rPr>
              <w:t xml:space="preserve">to create a favorable working climate for idea-driven </w:t>
            </w:r>
            <w:r>
              <w:rPr>
                <w:sz w:val="20"/>
                <w:szCs w:val="20"/>
                <w:lang w:val="en-US"/>
              </w:rPr>
              <w:t xml:space="preserve">employees and facilitate their interaction with </w:t>
            </w:r>
            <w:r w:rsidRPr="00E62F8A">
              <w:rPr>
                <w:sz w:val="20"/>
                <w:szCs w:val="20"/>
                <w:lang w:val="en-US"/>
              </w:rPr>
              <w:t>business partners and university groups.</w:t>
            </w:r>
          </w:p>
        </w:tc>
        <w:tc>
          <w:tcPr>
            <w:tcW w:w="1836" w:type="dxa"/>
          </w:tcPr>
          <w:p w14:paraId="116D9EB2" w14:textId="77777777" w:rsidR="00B84393" w:rsidRPr="004B3D6D" w:rsidRDefault="00B84393" w:rsidP="00113E38">
            <w:pPr>
              <w:spacing w:line="240" w:lineRule="auto"/>
              <w:rPr>
                <w:sz w:val="20"/>
                <w:szCs w:val="20"/>
                <w:lang w:val="en-US"/>
              </w:rPr>
            </w:pPr>
            <w:r>
              <w:rPr>
                <w:sz w:val="20"/>
                <w:szCs w:val="20"/>
                <w:lang w:val="en-US"/>
              </w:rPr>
              <w:lastRenderedPageBreak/>
              <w:t>T</w:t>
            </w:r>
            <w:r w:rsidRPr="00ED2483">
              <w:rPr>
                <w:sz w:val="20"/>
                <w:szCs w:val="20"/>
                <w:lang w:val="en-US"/>
              </w:rPr>
              <w:t>he municipality</w:t>
            </w:r>
            <w:r>
              <w:rPr>
                <w:sz w:val="20"/>
                <w:szCs w:val="20"/>
                <w:lang w:val="en-US"/>
              </w:rPr>
              <w:t xml:space="preserve"> of Rotterdam</w:t>
            </w:r>
            <w:r w:rsidRPr="00ED2483">
              <w:rPr>
                <w:sz w:val="20"/>
                <w:szCs w:val="20"/>
                <w:lang w:val="en-US"/>
              </w:rPr>
              <w:t xml:space="preserve"> initially </w:t>
            </w:r>
            <w:r w:rsidRPr="00ED2483">
              <w:rPr>
                <w:sz w:val="20"/>
                <w:szCs w:val="20"/>
                <w:lang w:val="en-US"/>
              </w:rPr>
              <w:lastRenderedPageBreak/>
              <w:t xml:space="preserve">kept a low profile reduced to co-financing within a European funding scheme. </w:t>
            </w:r>
            <w:r>
              <w:rPr>
                <w:sz w:val="20"/>
                <w:szCs w:val="20"/>
                <w:lang w:val="en-US"/>
              </w:rPr>
              <w:t xml:space="preserve">The </w:t>
            </w:r>
            <w:r w:rsidRPr="00ED2483">
              <w:rPr>
                <w:sz w:val="20"/>
                <w:szCs w:val="20"/>
                <w:lang w:val="en-US"/>
              </w:rPr>
              <w:t>municipality’s interest in organizing new partnerships to regenerate the Heijplaat area grew in the second year,</w:t>
            </w:r>
            <w:r>
              <w:rPr>
                <w:sz w:val="20"/>
                <w:szCs w:val="20"/>
                <w:lang w:val="en-US"/>
              </w:rPr>
              <w:t xml:space="preserve"> temporary free land use for the Lab activities was granted</w:t>
            </w:r>
            <w:r w:rsidRPr="00ED2483">
              <w:rPr>
                <w:sz w:val="20"/>
                <w:szCs w:val="20"/>
                <w:lang w:val="en-US"/>
              </w:rPr>
              <w:t xml:space="preserve"> in response to the external pressure to adapt local policies to the growing demand for knowledge about housing retrofitting</w:t>
            </w:r>
          </w:p>
        </w:tc>
        <w:tc>
          <w:tcPr>
            <w:tcW w:w="1842" w:type="dxa"/>
          </w:tcPr>
          <w:p w14:paraId="356DCBE9" w14:textId="77777777" w:rsidR="00B84393" w:rsidRPr="004B3D6D" w:rsidRDefault="00B84393" w:rsidP="00113E38">
            <w:pPr>
              <w:spacing w:line="240" w:lineRule="auto"/>
              <w:rPr>
                <w:sz w:val="20"/>
                <w:szCs w:val="20"/>
                <w:lang w:val="en-US"/>
              </w:rPr>
            </w:pPr>
            <w:r>
              <w:rPr>
                <w:sz w:val="20"/>
                <w:szCs w:val="20"/>
                <w:lang w:val="en-US"/>
              </w:rPr>
              <w:lastRenderedPageBreak/>
              <w:t>OLE illustrates</w:t>
            </w:r>
            <w:r w:rsidRPr="00ED2483">
              <w:rPr>
                <w:sz w:val="20"/>
                <w:szCs w:val="20"/>
                <w:lang w:val="en-US"/>
              </w:rPr>
              <w:t xml:space="preserve"> how organizing emerges </w:t>
            </w:r>
            <w:r w:rsidRPr="00ED2483">
              <w:rPr>
                <w:sz w:val="20"/>
                <w:szCs w:val="20"/>
                <w:lang w:val="en-US"/>
              </w:rPr>
              <w:lastRenderedPageBreak/>
              <w:t>less formally and how the municipality can be an enabler over time, even when not directly involved in the initial phases. It was a local retailer’s association that initiated OLE togeth</w:t>
            </w:r>
            <w:r>
              <w:rPr>
                <w:sz w:val="20"/>
                <w:szCs w:val="20"/>
                <w:lang w:val="en-US"/>
              </w:rPr>
              <w:t xml:space="preserve">er with </w:t>
            </w:r>
            <w:r w:rsidRPr="00ED2483">
              <w:rPr>
                <w:sz w:val="20"/>
                <w:szCs w:val="20"/>
                <w:lang w:val="en-US"/>
              </w:rPr>
              <w:t>engaged citizens</w:t>
            </w:r>
            <w:r>
              <w:rPr>
                <w:sz w:val="20"/>
                <w:szCs w:val="20"/>
                <w:lang w:val="en-US"/>
              </w:rPr>
              <w:t xml:space="preserve">, yet, the municipality supported acquisition of additional public funding and </w:t>
            </w:r>
            <w:r w:rsidRPr="00ED2483">
              <w:rPr>
                <w:sz w:val="20"/>
                <w:szCs w:val="20"/>
                <w:lang w:val="en-US"/>
              </w:rPr>
              <w:t>locally organized meeting</w:t>
            </w:r>
            <w:r>
              <w:rPr>
                <w:sz w:val="20"/>
                <w:szCs w:val="20"/>
                <w:lang w:val="en-US"/>
              </w:rPr>
              <w:t>s</w:t>
            </w:r>
            <w:r w:rsidRPr="00ED2483">
              <w:rPr>
                <w:sz w:val="20"/>
                <w:szCs w:val="20"/>
                <w:lang w:val="en-US"/>
              </w:rPr>
              <w:t xml:space="preserve"> became included in municipal (co-)</w:t>
            </w:r>
            <w:r>
              <w:rPr>
                <w:sz w:val="20"/>
                <w:szCs w:val="20"/>
                <w:lang w:val="en-US"/>
              </w:rPr>
              <w:t xml:space="preserve"> </w:t>
            </w:r>
            <w:r w:rsidRPr="00ED2483">
              <w:rPr>
                <w:sz w:val="20"/>
                <w:szCs w:val="20"/>
                <w:lang w:val="en-US"/>
              </w:rPr>
              <w:t>organizing</w:t>
            </w:r>
            <w:r>
              <w:rPr>
                <w:sz w:val="20"/>
                <w:szCs w:val="20"/>
                <w:lang w:val="en-US"/>
              </w:rPr>
              <w:t>.</w:t>
            </w:r>
          </w:p>
        </w:tc>
      </w:tr>
    </w:tbl>
    <w:p w14:paraId="08578CB9" w14:textId="77777777" w:rsidR="00B84393" w:rsidRDefault="00B84393" w:rsidP="00B84393"/>
    <w:p w14:paraId="05834886" w14:textId="77777777" w:rsidR="00B84393" w:rsidRPr="00B84393" w:rsidRDefault="00B84393" w:rsidP="00B84393"/>
    <w:sectPr w:rsidR="00B84393" w:rsidRPr="00B8439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C50A0D" w14:textId="77777777" w:rsidR="00297333" w:rsidRDefault="00297333" w:rsidP="00B84393">
      <w:pPr>
        <w:spacing w:line="240" w:lineRule="auto"/>
      </w:pPr>
      <w:r>
        <w:separator/>
      </w:r>
    </w:p>
  </w:endnote>
  <w:endnote w:type="continuationSeparator" w:id="0">
    <w:p w14:paraId="662658E1" w14:textId="77777777" w:rsidR="00297333" w:rsidRDefault="00297333" w:rsidP="00B843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D330DF" w14:textId="77777777" w:rsidR="00297333" w:rsidRDefault="00297333" w:rsidP="00B84393">
      <w:pPr>
        <w:spacing w:line="240" w:lineRule="auto"/>
      </w:pPr>
      <w:r>
        <w:separator/>
      </w:r>
    </w:p>
  </w:footnote>
  <w:footnote w:type="continuationSeparator" w:id="0">
    <w:p w14:paraId="093E8FF2" w14:textId="77777777" w:rsidR="00297333" w:rsidRDefault="00297333" w:rsidP="00B8439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F02"/>
    <w:rsid w:val="0005349B"/>
    <w:rsid w:val="0009096D"/>
    <w:rsid w:val="00131F60"/>
    <w:rsid w:val="00150379"/>
    <w:rsid w:val="00170E20"/>
    <w:rsid w:val="00297333"/>
    <w:rsid w:val="004067CD"/>
    <w:rsid w:val="004271A6"/>
    <w:rsid w:val="00490185"/>
    <w:rsid w:val="00555315"/>
    <w:rsid w:val="00561A17"/>
    <w:rsid w:val="005B6A3B"/>
    <w:rsid w:val="006B3BB7"/>
    <w:rsid w:val="006C2832"/>
    <w:rsid w:val="007439EE"/>
    <w:rsid w:val="007473F4"/>
    <w:rsid w:val="00776F02"/>
    <w:rsid w:val="00780EA6"/>
    <w:rsid w:val="00831B72"/>
    <w:rsid w:val="00865EAC"/>
    <w:rsid w:val="008E1DBA"/>
    <w:rsid w:val="00960E3E"/>
    <w:rsid w:val="00A63DE5"/>
    <w:rsid w:val="00A82562"/>
    <w:rsid w:val="00B16759"/>
    <w:rsid w:val="00B84393"/>
    <w:rsid w:val="00C07EE4"/>
    <w:rsid w:val="00C734FE"/>
    <w:rsid w:val="00D4639D"/>
    <w:rsid w:val="00D46C6C"/>
    <w:rsid w:val="00D834AB"/>
    <w:rsid w:val="00DA4873"/>
    <w:rsid w:val="00DF0EDC"/>
    <w:rsid w:val="00DF4E04"/>
    <w:rsid w:val="00E31869"/>
    <w:rsid w:val="00E5463C"/>
    <w:rsid w:val="00E62F8A"/>
    <w:rsid w:val="00ED2483"/>
    <w:rsid w:val="00EF2C7C"/>
    <w:rsid w:val="00F3164C"/>
    <w:rsid w:val="00F712CC"/>
    <w:rsid w:val="00F821F1"/>
    <w:rsid w:val="00FA3E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6841B"/>
  <w15:chartTrackingRefBased/>
  <w15:docId w15:val="{5FD25D28-506F-48C8-A605-7B95A65D3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6F02"/>
    <w:pPr>
      <w:spacing w:after="0" w:line="480" w:lineRule="auto"/>
    </w:pPr>
    <w:rPr>
      <w:rFonts w:ascii="Times New Roman" w:eastAsia="Times New Roman" w:hAnsi="Times New Roman" w:cs="Times New Roman"/>
      <w:sz w:val="24"/>
      <w:szCs w:val="24"/>
      <w:lang w:eastAsia="en-GB"/>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Numberedlist">
    <w:name w:val="Numbered list"/>
    <w:basedOn w:val="Normal"/>
    <w:next w:val="Normal"/>
    <w:qFormat/>
    <w:rsid w:val="00776F02"/>
    <w:pPr>
      <w:numPr>
        <w:numId w:val="1"/>
      </w:numPr>
      <w:spacing w:before="240" w:after="240"/>
      <w:contextualSpacing/>
    </w:pPr>
  </w:style>
  <w:style w:type="table" w:styleId="Tabellrutnt">
    <w:name w:val="Table Grid"/>
    <w:basedOn w:val="Normaltabell"/>
    <w:uiPriority w:val="39"/>
    <w:rsid w:val="00776F02"/>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sreferens">
    <w:name w:val="annotation reference"/>
    <w:basedOn w:val="Standardstycketeckensnitt"/>
    <w:uiPriority w:val="99"/>
    <w:semiHidden/>
    <w:unhideWhenUsed/>
    <w:rsid w:val="00776F02"/>
    <w:rPr>
      <w:sz w:val="18"/>
      <w:szCs w:val="18"/>
    </w:rPr>
  </w:style>
  <w:style w:type="paragraph" w:styleId="Kommentarer">
    <w:name w:val="annotation text"/>
    <w:basedOn w:val="Normal"/>
    <w:link w:val="KommentarerChar"/>
    <w:uiPriority w:val="99"/>
    <w:unhideWhenUsed/>
    <w:rsid w:val="00776F02"/>
    <w:pPr>
      <w:spacing w:line="240" w:lineRule="auto"/>
    </w:pPr>
  </w:style>
  <w:style w:type="character" w:customStyle="1" w:styleId="KommentarerChar">
    <w:name w:val="Kommentarer Char"/>
    <w:basedOn w:val="Standardstycketeckensnitt"/>
    <w:link w:val="Kommentarer"/>
    <w:uiPriority w:val="99"/>
    <w:rsid w:val="00776F02"/>
    <w:rPr>
      <w:rFonts w:ascii="Times New Roman" w:eastAsia="Times New Roman" w:hAnsi="Times New Roman" w:cs="Times New Roman"/>
      <w:sz w:val="24"/>
      <w:szCs w:val="24"/>
      <w:lang w:eastAsia="en-GB"/>
    </w:rPr>
  </w:style>
  <w:style w:type="paragraph" w:styleId="Ballongtext">
    <w:name w:val="Balloon Text"/>
    <w:basedOn w:val="Normal"/>
    <w:link w:val="BallongtextChar"/>
    <w:uiPriority w:val="99"/>
    <w:semiHidden/>
    <w:unhideWhenUsed/>
    <w:rsid w:val="00776F02"/>
    <w:pPr>
      <w:spacing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776F02"/>
    <w:rPr>
      <w:rFonts w:ascii="Segoe UI" w:eastAsia="Times New Roman" w:hAnsi="Segoe UI" w:cs="Segoe UI"/>
      <w:sz w:val="18"/>
      <w:szCs w:val="18"/>
      <w:lang w:eastAsia="en-GB"/>
    </w:rPr>
  </w:style>
  <w:style w:type="paragraph" w:styleId="Sidhuvud">
    <w:name w:val="header"/>
    <w:basedOn w:val="Normal"/>
    <w:link w:val="SidhuvudChar"/>
    <w:uiPriority w:val="99"/>
    <w:unhideWhenUsed/>
    <w:rsid w:val="00B84393"/>
    <w:pPr>
      <w:tabs>
        <w:tab w:val="center" w:pos="4536"/>
        <w:tab w:val="right" w:pos="9072"/>
      </w:tabs>
      <w:spacing w:line="240" w:lineRule="auto"/>
    </w:pPr>
  </w:style>
  <w:style w:type="character" w:customStyle="1" w:styleId="SidhuvudChar">
    <w:name w:val="Sidhuvud Char"/>
    <w:basedOn w:val="Standardstycketeckensnitt"/>
    <w:link w:val="Sidhuvud"/>
    <w:uiPriority w:val="99"/>
    <w:rsid w:val="00B84393"/>
    <w:rPr>
      <w:rFonts w:ascii="Times New Roman" w:eastAsia="Times New Roman" w:hAnsi="Times New Roman" w:cs="Times New Roman"/>
      <w:sz w:val="24"/>
      <w:szCs w:val="24"/>
      <w:lang w:eastAsia="en-GB"/>
    </w:rPr>
  </w:style>
  <w:style w:type="paragraph" w:styleId="Sidfot">
    <w:name w:val="footer"/>
    <w:basedOn w:val="Normal"/>
    <w:link w:val="SidfotChar"/>
    <w:uiPriority w:val="99"/>
    <w:unhideWhenUsed/>
    <w:rsid w:val="00B84393"/>
    <w:pPr>
      <w:tabs>
        <w:tab w:val="center" w:pos="4536"/>
        <w:tab w:val="right" w:pos="9072"/>
      </w:tabs>
      <w:spacing w:line="240" w:lineRule="auto"/>
    </w:pPr>
  </w:style>
  <w:style w:type="character" w:customStyle="1" w:styleId="SidfotChar">
    <w:name w:val="Sidfot Char"/>
    <w:basedOn w:val="Standardstycketeckensnitt"/>
    <w:link w:val="Sidfot"/>
    <w:uiPriority w:val="99"/>
    <w:rsid w:val="00B84393"/>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1256</Words>
  <Characters>6661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Lund University</Company>
  <LinksUpToDate>false</LinksUpToDate>
  <CharactersWithSpaces>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Yuliya Voytenko Palgan</dc:creator>
  <cp:keywords/>
  <dc:description/>
  <cp:lastModifiedBy>Dalia Mukhtar-Landgren</cp:lastModifiedBy>
  <cp:revision>4</cp:revision>
  <dcterms:created xsi:type="dcterms:W3CDTF">2019-06-25T14:02:00Z</dcterms:created>
  <dcterms:modified xsi:type="dcterms:W3CDTF">2019-06-25T14:10:00Z</dcterms:modified>
</cp:coreProperties>
</file>