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2E4" w:rsidRPr="003C602D" w:rsidRDefault="00D322E4" w:rsidP="00D322E4">
      <w:r w:rsidRPr="003C602D">
        <w:t>Appendix 1. Overview of analysed urban living labs</w:t>
      </w:r>
      <w:r w:rsidRPr="003C602D">
        <w:br/>
      </w:r>
    </w:p>
    <w:tbl>
      <w:tblPr>
        <w:tblW w:w="478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1715"/>
        <w:gridCol w:w="1895"/>
        <w:gridCol w:w="2263"/>
        <w:gridCol w:w="1991"/>
      </w:tblGrid>
      <w:tr w:rsidR="00D322E4" w:rsidRPr="003C602D" w:rsidTr="0040212C">
        <w:tc>
          <w:tcPr>
            <w:tcW w:w="461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595959"/>
              </w:rPr>
            </w:pPr>
            <w:r w:rsidRPr="003C602D">
              <w:rPr>
                <w:b/>
                <w:bCs/>
                <w:color w:val="FFFFFF"/>
                <w:shd w:val="clear" w:color="auto" w:fill="595959"/>
              </w:rPr>
              <w:t> </w:t>
            </w:r>
          </w:p>
        </w:tc>
        <w:tc>
          <w:tcPr>
            <w:tcW w:w="99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595959"/>
              </w:rPr>
            </w:pPr>
            <w:r w:rsidRPr="003C602D">
              <w:rPr>
                <w:b/>
                <w:bCs/>
                <w:color w:val="FFFFFF"/>
                <w:shd w:val="clear" w:color="auto" w:fill="595959"/>
              </w:rPr>
              <w:t>The Malmö Innovation Platform (MIP/MIA)</w:t>
            </w:r>
          </w:p>
        </w:tc>
        <w:tc>
          <w:tcPr>
            <w:tcW w:w="1094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595959"/>
              </w:rPr>
            </w:pPr>
            <w:r w:rsidRPr="003C602D">
              <w:rPr>
                <w:b/>
                <w:bCs/>
                <w:color w:val="FFFFFF"/>
                <w:shd w:val="clear" w:color="auto" w:fill="595959"/>
              </w:rPr>
              <w:t>Future by Lund (FbL)</w:t>
            </w:r>
          </w:p>
        </w:tc>
        <w:tc>
          <w:tcPr>
            <w:tcW w:w="1306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595959"/>
              </w:rPr>
            </w:pPr>
            <w:r w:rsidRPr="003C602D">
              <w:rPr>
                <w:b/>
                <w:bCs/>
                <w:color w:val="FFFFFF"/>
                <w:shd w:val="clear" w:color="auto" w:fill="595959"/>
              </w:rPr>
              <w:t>Open Lab Ebbinge (OLE)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595959"/>
              </w:rPr>
            </w:pPr>
            <w:r w:rsidRPr="003C602D">
              <w:rPr>
                <w:b/>
                <w:bCs/>
                <w:color w:val="FFFFFF"/>
                <w:shd w:val="clear" w:color="auto" w:fill="595959"/>
              </w:rPr>
              <w:t>Concept House Village Lab (CHVL)</w:t>
            </w:r>
          </w:p>
        </w:tc>
      </w:tr>
      <w:tr w:rsidR="00D322E4" w:rsidRPr="003C602D" w:rsidTr="0040212C">
        <w:trPr>
          <w:trHeight w:val="415"/>
        </w:trPr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Location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Malmö, Sweden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Lund, Sweden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Groningen, The Netherlands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Rotterdam, The Netherlands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Aim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To use physical regeneration as a motor for socio-economic development, long-term environmental goals and business opportunities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>
              <w:t>To d</w:t>
            </w:r>
            <w:r w:rsidRPr="003C602D">
              <w:t xml:space="preserve">evelop sustainable attractive cities by working with and advancing the concepts of </w:t>
            </w:r>
            <w:r>
              <w:t>‘</w:t>
            </w:r>
            <w:r w:rsidRPr="003C602D">
              <w:t>smart cities</w:t>
            </w:r>
            <w:r>
              <w:t>’</w:t>
            </w:r>
            <w:r w:rsidRPr="003C602D">
              <w:t xml:space="preserve"> and </w:t>
            </w:r>
            <w:r>
              <w:t>‘</w:t>
            </w:r>
            <w:r w:rsidRPr="003C602D">
              <w:t>smart citizens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>
              <w:t>To d</w:t>
            </w:r>
            <w:r w:rsidRPr="003C602D">
              <w:t>evelop a previous wasteland area into a cent</w:t>
            </w:r>
            <w:r>
              <w:t>re</w:t>
            </w:r>
            <w:r w:rsidRPr="003C602D">
              <w:t xml:space="preserve"> for business creativity</w:t>
            </w:r>
            <w:r>
              <w:t>.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>
              <w:t>To t</w:t>
            </w:r>
            <w:r w:rsidRPr="003C602D">
              <w:t>est and experiment with concept houses and building retrofitting within existing residential setting</w:t>
            </w:r>
            <w:r>
              <w:t xml:space="preserve"> to</w:t>
            </w:r>
            <w:r w:rsidRPr="003C602D">
              <w:t xml:space="preserve"> speed up innovations in the sustainable building sector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Focus areas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Renovation of existing apartment buildings, energy efficiency, socio-economic development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Lighting, mobility, smart energy systems, makers and sharing, and internet of things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Redevelopment of a vacant area, sustainability, experimentation with mobile architecture and temporary (city) construction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Sustainable urban development, building technologies, new building retrofitting approaches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Funding scheme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 xml:space="preserve">VINNOVA – Swedish Innovation Agency 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VINNOVA</w:t>
            </w:r>
            <w: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Main</w:t>
            </w:r>
            <w:r>
              <w:t xml:space="preserve">ly </w:t>
            </w:r>
            <w:r w:rsidRPr="003C602D">
              <w:t>European Regional Development Fund (ERDF) coordinated by the Ministry of the Foreign Affairs and Groningen municipality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EU Interreg SusLabNWE program</w:t>
            </w:r>
            <w:ins w:id="0" w:author="Leslie Walke" w:date="2019-06-04T18:31:00Z">
              <w:r>
                <w:t>me</w:t>
              </w:r>
            </w:ins>
            <w:r>
              <w:t xml:space="preserve">, </w:t>
            </w:r>
            <w:r w:rsidRPr="003C602D">
              <w:t xml:space="preserve">Dutch </w:t>
            </w:r>
            <w:r>
              <w:t>M</w:t>
            </w:r>
            <w:r w:rsidRPr="003C602D">
              <w:t>inistry of Economic Affairs</w:t>
            </w:r>
            <w:r>
              <w:t xml:space="preserve">, the </w:t>
            </w:r>
            <w:r w:rsidRPr="003C602D">
              <w:t>Municipality of Rotterdam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Duration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2013 - Present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2013 - Present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 xml:space="preserve">2008 - 2017; initial funding period from 2009 </w:t>
            </w:r>
            <w:ins w:id="1" w:author="Leslie Walke" w:date="2019-06-04T18:32:00Z">
              <w:r>
                <w:t>–</w:t>
              </w:r>
            </w:ins>
            <w:r w:rsidRPr="003C602D">
              <w:t xml:space="preserve"> 2011 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 xml:space="preserve">2010 - present; core operating period until 2015 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t>Lead partner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City of Malmö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City of Lund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Private sector / Civil Society:</w:t>
            </w:r>
            <w:r w:rsidRPr="003C602D">
              <w:br/>
              <w:t>The local retailers association Ebbingekwartier (in collaboration with citizen</w:t>
            </w:r>
            <w:r>
              <w:t xml:space="preserve">s </w:t>
            </w:r>
            <w:r w:rsidRPr="003C602D">
              <w:t>and the city)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University of Applied Sciences Rotterdam &amp; TU Delft</w:t>
            </w:r>
          </w:p>
        </w:tc>
      </w:tr>
      <w:tr w:rsidR="00D322E4" w:rsidRPr="003C602D" w:rsidTr="0040212C">
        <w:tc>
          <w:tcPr>
            <w:tcW w:w="4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  <w:rPr>
                <w:shd w:val="clear" w:color="auto" w:fill="F2F2F2"/>
              </w:rPr>
            </w:pPr>
            <w:r w:rsidRPr="003C602D">
              <w:rPr>
                <w:b/>
                <w:bCs/>
                <w:shd w:val="clear" w:color="auto" w:fill="F2F2F2"/>
              </w:rPr>
              <w:lastRenderedPageBreak/>
              <w:t>Partner types</w:t>
            </w: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Local and regional government, academia, business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Local and regional government, academia, business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Local government, private sector, civil society, knowledge institutes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2E4" w:rsidRPr="003C602D" w:rsidRDefault="00D322E4" w:rsidP="0040212C">
            <w:pPr>
              <w:spacing w:line="240" w:lineRule="auto"/>
            </w:pPr>
            <w:r w:rsidRPr="003C602D">
              <w:t>Local government, knowledge institutions, private building construction sector, residents</w:t>
            </w:r>
          </w:p>
        </w:tc>
      </w:tr>
    </w:tbl>
    <w:p w:rsidR="00496BB9" w:rsidRDefault="00496BB9">
      <w:bookmarkStart w:id="2" w:name="_GoBack"/>
      <w:bookmarkEnd w:id="2"/>
    </w:p>
    <w:sectPr w:rsidR="00496BB9" w:rsidSect="007F05F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slie Walke">
    <w15:presenceInfo w15:providerId="Windows Live" w15:userId="8498de2682f04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E4"/>
    <w:rsid w:val="001C0528"/>
    <w:rsid w:val="00445A4F"/>
    <w:rsid w:val="00496BB9"/>
    <w:rsid w:val="0050742B"/>
    <w:rsid w:val="005A38F4"/>
    <w:rsid w:val="00655440"/>
    <w:rsid w:val="006A6D91"/>
    <w:rsid w:val="00775E02"/>
    <w:rsid w:val="007F05F8"/>
    <w:rsid w:val="00840925"/>
    <w:rsid w:val="00AA4084"/>
    <w:rsid w:val="00CC71B3"/>
    <w:rsid w:val="00D322E4"/>
    <w:rsid w:val="00EA517D"/>
    <w:rsid w:val="00E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A728EE"/>
  <w14:defaultImageDpi w14:val="32767"/>
  <w15:chartTrackingRefBased/>
  <w15:docId w15:val="{6D7DA723-C3AF-5C43-94FB-647E1025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22E4"/>
    <w:pPr>
      <w:spacing w:line="48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655440"/>
    <w:pPr>
      <w:keepNext/>
      <w:keepLines/>
      <w:spacing w:before="480" w:after="120" w:line="240" w:lineRule="auto"/>
      <w:outlineLvl w:val="0"/>
    </w:pPr>
    <w:rPr>
      <w:rFonts w:ascii="Calibri" w:eastAsia="Calibri" w:hAnsi="Calibri" w:cs="Calibri"/>
      <w:b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55440"/>
    <w:rPr>
      <w:rFonts w:ascii="Calibri" w:eastAsia="Calibri" w:hAnsi="Calibri" w:cs="Calibri"/>
      <w:b/>
      <w:sz w:val="48"/>
      <w:szCs w:val="48"/>
      <w:lang w:val="en-GB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Dalia Mukhtar-Landgren</dc:creator>
  <cp:keywords/>
  <dc:description/>
  <cp:lastModifiedBy>Dalia Mukhtar-Landgren</cp:lastModifiedBy>
  <cp:revision>1</cp:revision>
  <dcterms:created xsi:type="dcterms:W3CDTF">2019-06-12T08:56:00Z</dcterms:created>
  <dcterms:modified xsi:type="dcterms:W3CDTF">2019-06-12T08:56:00Z</dcterms:modified>
</cp:coreProperties>
</file>