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8F" w:rsidRPr="00A52674" w:rsidRDefault="00293B92" w:rsidP="00C96780">
      <w:pPr>
        <w:autoSpaceDE w:val="0"/>
        <w:autoSpaceDN w:val="0"/>
        <w:adjustRightInd w:val="0"/>
        <w:spacing w:after="0" w:line="288" w:lineRule="auto"/>
        <w:ind w:right="-306"/>
        <w:rPr>
          <w:lang w:val="en-US"/>
        </w:rPr>
      </w:pPr>
      <w:r w:rsidRPr="00CB2469">
        <w:rPr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6217C10" wp14:editId="2DA1594A">
            <wp:simplePos x="0" y="0"/>
            <wp:positionH relativeFrom="column">
              <wp:posOffset>4205605</wp:posOffset>
            </wp:positionH>
            <wp:positionV relativeFrom="paragraph">
              <wp:posOffset>86995</wp:posOffset>
            </wp:positionV>
            <wp:extent cx="1275715" cy="300355"/>
            <wp:effectExtent l="0" t="0" r="635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.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38F" w:rsidRPr="00A52674">
        <w:rPr>
          <w:i/>
          <w:lang w:val="en-US"/>
        </w:rPr>
        <w:t>Plant Ecology &amp; Diversity</w:t>
      </w:r>
      <w:r w:rsidR="00D4038F" w:rsidRPr="00A52674">
        <w:rPr>
          <w:lang w:val="en-US"/>
        </w:rPr>
        <w:t xml:space="preserve">, </w:t>
      </w:r>
      <w:r w:rsidR="00EA69B6" w:rsidRPr="00A52674">
        <w:rPr>
          <w:lang w:val="en-US"/>
        </w:rPr>
        <w:t>201</w:t>
      </w:r>
      <w:r w:rsidR="00EA69B6">
        <w:rPr>
          <w:lang w:val="en-US"/>
        </w:rPr>
        <w:t>8</w:t>
      </w:r>
    </w:p>
    <w:p w:rsidR="00D4038F" w:rsidRPr="00A52674" w:rsidRDefault="00D4038F" w:rsidP="00D4038F">
      <w:pPr>
        <w:spacing w:line="240" w:lineRule="auto"/>
        <w:rPr>
          <w:lang w:val="en-US"/>
        </w:rPr>
      </w:pPr>
      <w:r w:rsidRPr="00A52674">
        <w:rPr>
          <w:lang w:val="en-US"/>
        </w:rPr>
        <w:t>Vol. 00, Issue 00, 1–</w:t>
      </w:r>
      <w:proofErr w:type="gramStart"/>
      <w:r w:rsidRPr="00A52674">
        <w:rPr>
          <w:lang w:val="en-US"/>
        </w:rPr>
        <w:t>xx ,</w:t>
      </w:r>
      <w:proofErr w:type="gramEnd"/>
      <w:r w:rsidRPr="00A52674">
        <w:rPr>
          <w:lang w:val="en-US"/>
        </w:rPr>
        <w:t xml:space="preserve"> http://dx.doi.org/xxxxxxxxxxxxxxxxxxx</w:t>
      </w:r>
    </w:p>
    <w:p w:rsidR="00D4038F" w:rsidRDefault="00D4038F" w:rsidP="00D4038F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  <w:lang w:val="en-US"/>
        </w:rPr>
      </w:pPr>
    </w:p>
    <w:p w:rsidR="00D4038F" w:rsidRPr="00DC6CC0" w:rsidRDefault="00D4038F" w:rsidP="00D4038F">
      <w:pPr>
        <w:autoSpaceDE w:val="0"/>
        <w:autoSpaceDN w:val="0"/>
        <w:adjustRightInd w:val="0"/>
        <w:spacing w:after="0" w:line="288" w:lineRule="auto"/>
        <w:ind w:right="-306"/>
        <w:rPr>
          <w:rFonts w:ascii="Times New Roman" w:hAnsi="Times New Roman" w:cs="Times New Roman"/>
          <w:sz w:val="18"/>
          <w:szCs w:val="18"/>
          <w:lang w:val="en-US"/>
        </w:rPr>
      </w:pPr>
      <w:r w:rsidRPr="00DC6CC0">
        <w:rPr>
          <w:rFonts w:ascii="Times New Roman" w:hAnsi="Times New Roman" w:cs="Times New Roman"/>
          <w:sz w:val="18"/>
          <w:szCs w:val="18"/>
          <w:lang w:val="en-US"/>
        </w:rPr>
        <w:t>Supporting information to the paper</w:t>
      </w:r>
    </w:p>
    <w:p w:rsidR="00D4038F" w:rsidRPr="00DC6CC0" w:rsidRDefault="00D4038F" w:rsidP="00D4038F">
      <w:pPr>
        <w:autoSpaceDE w:val="0"/>
        <w:autoSpaceDN w:val="0"/>
        <w:adjustRightInd w:val="0"/>
        <w:spacing w:after="0" w:line="288" w:lineRule="auto"/>
        <w:ind w:right="-306"/>
        <w:rPr>
          <w:rFonts w:ascii="Times New Roman" w:hAnsi="Times New Roman" w:cs="Times New Roman"/>
          <w:sz w:val="18"/>
          <w:szCs w:val="18"/>
          <w:lang w:val="en-US"/>
        </w:rPr>
      </w:pPr>
    </w:p>
    <w:p w:rsidR="00EC3F19" w:rsidRPr="00DC6CC0" w:rsidRDefault="00EA69B6" w:rsidP="0065747D">
      <w:pPr>
        <w:pStyle w:val="Articletitle"/>
        <w:rPr>
          <w:sz w:val="18"/>
          <w:szCs w:val="18"/>
        </w:rPr>
      </w:pPr>
      <w:r>
        <w:t xml:space="preserve">The role </w:t>
      </w:r>
      <w:r w:rsidRPr="00BD47DE">
        <w:t>of recruitment and dispersal limitation in tree community assembly</w:t>
      </w:r>
      <w:r>
        <w:t xml:space="preserve"> in </w:t>
      </w:r>
      <w:r w:rsidRPr="00B73B2B">
        <w:t>Amazon</w:t>
      </w:r>
      <w:r w:rsidR="00670992">
        <w:t>ian</w:t>
      </w:r>
      <w:r w:rsidRPr="00B73B2B">
        <w:t xml:space="preserve"> forests</w:t>
      </w:r>
    </w:p>
    <w:p w:rsidR="0065747D" w:rsidRDefault="0065747D" w:rsidP="00EC3F19">
      <w:pPr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b/>
          <w:sz w:val="15"/>
          <w:szCs w:val="15"/>
          <w:lang w:val="en-US"/>
        </w:rPr>
      </w:pPr>
    </w:p>
    <w:p w:rsidR="00EC3F19" w:rsidRPr="00DC6CC0" w:rsidRDefault="002E66F3" w:rsidP="00EC3F19">
      <w:pPr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b/>
          <w:sz w:val="15"/>
          <w:szCs w:val="15"/>
          <w:lang w:val="en-US"/>
        </w:rPr>
      </w:pPr>
      <w:proofErr w:type="gramStart"/>
      <w:r w:rsidRPr="00DC6CC0">
        <w:rPr>
          <w:rFonts w:ascii="Times New Roman" w:hAnsi="Times New Roman" w:cs="Times New Roman"/>
          <w:b/>
          <w:sz w:val="15"/>
          <w:szCs w:val="15"/>
          <w:lang w:val="en-US"/>
        </w:rPr>
        <w:t>APPENDIX S2.</w:t>
      </w:r>
      <w:proofErr w:type="gramEnd"/>
      <w:r w:rsidRPr="00DC6CC0">
        <w:rPr>
          <w:rFonts w:ascii="Times New Roman" w:hAnsi="Times New Roman" w:cs="Times New Roman"/>
          <w:b/>
          <w:sz w:val="15"/>
          <w:szCs w:val="15"/>
          <w:lang w:val="en-US"/>
        </w:rPr>
        <w:t xml:space="preserve"> FIGURES</w:t>
      </w:r>
    </w:p>
    <w:p w:rsidR="00EC3F19" w:rsidRPr="00DC6CC0" w:rsidRDefault="00EC3F19" w:rsidP="00EC3F19">
      <w:pPr>
        <w:autoSpaceDE w:val="0"/>
        <w:autoSpaceDN w:val="0"/>
        <w:adjustRightInd w:val="0"/>
        <w:spacing w:after="0" w:line="288" w:lineRule="auto"/>
        <w:ind w:right="-306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C96C76" w:rsidRDefault="00C96C76" w:rsidP="00EC3F19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i/>
          <w:sz w:val="18"/>
          <w:szCs w:val="18"/>
          <w:lang w:val="en-US"/>
        </w:rPr>
      </w:pPr>
    </w:p>
    <w:p w:rsidR="00384DDE" w:rsidRDefault="008B1B4F" w:rsidP="005463AB">
      <w:pPr>
        <w:spacing w:line="360" w:lineRule="auto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2E065590" wp14:editId="440D470F">
            <wp:extent cx="4860000" cy="353880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5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DE" w:rsidRDefault="00384DDE" w:rsidP="00384DDE">
      <w:pPr>
        <w:spacing w:line="360" w:lineRule="auto"/>
        <w:jc w:val="both"/>
        <w:rPr>
          <w:rFonts w:ascii="AdvPSMER-R" w:hAnsi="AdvPSMER-R"/>
          <w:sz w:val="18"/>
          <w:szCs w:val="18"/>
          <w:lang w:val="en-US"/>
        </w:rPr>
      </w:pPr>
      <w:r w:rsidRPr="00D4038F">
        <w:rPr>
          <w:rFonts w:ascii="AdvPSMER-R" w:hAnsi="AdvPSMER-R"/>
          <w:sz w:val="18"/>
          <w:szCs w:val="18"/>
          <w:lang w:val="en-US"/>
        </w:rPr>
        <w:t>Figure S1</w:t>
      </w:r>
      <w:r w:rsidRPr="00EC3F19">
        <w:rPr>
          <w:rFonts w:ascii="AdvPSMER-R" w:hAnsi="AdvPSMER-R"/>
          <w:sz w:val="18"/>
          <w:szCs w:val="18"/>
          <w:lang w:val="en-US"/>
        </w:rPr>
        <w:t xml:space="preserve">. Study area with 26 plots along upper Madeira River in </w:t>
      </w:r>
      <w:proofErr w:type="spellStart"/>
      <w:r w:rsidRPr="00EC3F19">
        <w:rPr>
          <w:rFonts w:ascii="AdvPSMER-R" w:hAnsi="AdvPSMER-R"/>
          <w:sz w:val="18"/>
          <w:szCs w:val="18"/>
          <w:lang w:val="en-US"/>
        </w:rPr>
        <w:t>Rondônia</w:t>
      </w:r>
      <w:proofErr w:type="spellEnd"/>
      <w:r w:rsidRPr="00EC3F19">
        <w:rPr>
          <w:rFonts w:ascii="AdvPSMER-R" w:hAnsi="AdvPSMER-R"/>
          <w:sz w:val="18"/>
          <w:szCs w:val="18"/>
          <w:lang w:val="en-US"/>
        </w:rPr>
        <w:t xml:space="preserve">, Brazil. The area of influence indicates the extension of reservoir due to the dam for </w:t>
      </w:r>
      <w:r w:rsidR="00D94DD3" w:rsidRPr="00EC3F19">
        <w:rPr>
          <w:rFonts w:ascii="AdvPSMER-R" w:hAnsi="AdvPSMER-R"/>
          <w:sz w:val="18"/>
          <w:szCs w:val="18"/>
          <w:lang w:val="en-US"/>
        </w:rPr>
        <w:t xml:space="preserve">the </w:t>
      </w:r>
      <w:proofErr w:type="spellStart"/>
      <w:r w:rsidR="00D94DD3" w:rsidRPr="00EC3F19">
        <w:rPr>
          <w:rFonts w:ascii="AdvPSMER-R" w:hAnsi="AdvPSMER-R"/>
          <w:sz w:val="18"/>
          <w:szCs w:val="18"/>
          <w:lang w:val="en-US"/>
        </w:rPr>
        <w:t>Jirau’</w:t>
      </w:r>
      <w:r w:rsidRPr="00EC3F19">
        <w:rPr>
          <w:rFonts w:ascii="AdvPSMER-R" w:hAnsi="AdvPSMER-R"/>
          <w:sz w:val="18"/>
          <w:szCs w:val="18"/>
          <w:lang w:val="en-US"/>
        </w:rPr>
        <w:t>s</w:t>
      </w:r>
      <w:proofErr w:type="spellEnd"/>
      <w:r w:rsidRPr="00EC3F19">
        <w:rPr>
          <w:rFonts w:ascii="AdvPSMER-R" w:hAnsi="AdvPSMER-R"/>
          <w:sz w:val="18"/>
          <w:szCs w:val="18"/>
          <w:lang w:val="en-US"/>
        </w:rPr>
        <w:t xml:space="preserve"> hydroelectric, concluded after the flora inventory.</w:t>
      </w:r>
    </w:p>
    <w:p w:rsidR="00D819D5" w:rsidRPr="00EA69B6" w:rsidRDefault="00791624" w:rsidP="00EA69B6">
      <w:pPr>
        <w:jc w:val="center"/>
        <w:rPr>
          <w:rFonts w:ascii="AdvPSMER-R" w:hAnsi="AdvPSMER-R"/>
          <w:sz w:val="18"/>
          <w:szCs w:val="18"/>
          <w:lang w:val="en-GB"/>
        </w:rPr>
      </w:pPr>
      <w:r w:rsidRPr="00EA69B6">
        <w:rPr>
          <w:rFonts w:ascii="AdvPSMER-R" w:hAnsi="AdvPSMER-R"/>
          <w:sz w:val="18"/>
          <w:szCs w:val="18"/>
          <w:lang w:val="en-GB"/>
        </w:rPr>
        <w:br w:type="page"/>
      </w:r>
      <w:r w:rsidR="00D819D5" w:rsidRPr="00EA69B6">
        <w:rPr>
          <w:rFonts w:ascii="AdvPSMER-R" w:hAnsi="AdvPSMER-R"/>
          <w:noProof/>
          <w:sz w:val="18"/>
          <w:szCs w:val="18"/>
          <w:lang w:eastAsia="pt-BR"/>
        </w:rPr>
        <w:lastRenderedPageBreak/>
        <w:drawing>
          <wp:inline distT="0" distB="0" distL="0" distR="0" wp14:anchorId="6485C007" wp14:editId="7A24C121">
            <wp:extent cx="3308604" cy="3308604"/>
            <wp:effectExtent l="0" t="0" r="635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1x2_Jirau_plots_n.leg_silt.watertable.bases_blak_whi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604" cy="330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9D5" w:rsidRDefault="00D819D5" w:rsidP="00D819D5">
      <w:pPr>
        <w:jc w:val="both"/>
        <w:rPr>
          <w:rFonts w:ascii="AdvPSMER-R" w:hAnsi="AdvPSMER-R"/>
          <w:sz w:val="18"/>
          <w:szCs w:val="18"/>
          <w:lang w:val="en-US"/>
        </w:rPr>
      </w:pPr>
      <w:r w:rsidRPr="00D4038F">
        <w:rPr>
          <w:rFonts w:ascii="AdvPSMER-R" w:hAnsi="AdvPSMER-R"/>
          <w:sz w:val="18"/>
          <w:szCs w:val="18"/>
          <w:lang w:val="en-US"/>
        </w:rPr>
        <w:t>Figure S</w:t>
      </w:r>
      <w:r w:rsidR="002D4A76" w:rsidRPr="00D4038F">
        <w:rPr>
          <w:rFonts w:ascii="AdvPSMER-R" w:hAnsi="AdvPSMER-R"/>
          <w:sz w:val="18"/>
          <w:szCs w:val="18"/>
          <w:lang w:val="en-US"/>
        </w:rPr>
        <w:t>2</w:t>
      </w:r>
      <w:r>
        <w:rPr>
          <w:rFonts w:ascii="AdvPSMER-R" w:hAnsi="AdvPSMER-R"/>
          <w:sz w:val="18"/>
          <w:szCs w:val="18"/>
          <w:lang w:val="en-US"/>
        </w:rPr>
        <w:t xml:space="preserve">. Principal Component Analysis of environmental variables on 26 plots in four habitats, comprising </w:t>
      </w:r>
      <w:r w:rsidRPr="006660A1">
        <w:rPr>
          <w:rFonts w:ascii="AdvPSMER-R" w:hAnsi="AdvPSMER-R"/>
          <w:i/>
          <w:sz w:val="18"/>
          <w:szCs w:val="18"/>
          <w:lang w:val="en-US"/>
        </w:rPr>
        <w:t>terra firme</w:t>
      </w:r>
      <w:r>
        <w:rPr>
          <w:rFonts w:ascii="AdvPSMER-R" w:hAnsi="AdvPSMER-R"/>
          <w:sz w:val="18"/>
          <w:szCs w:val="18"/>
          <w:lang w:val="en-US"/>
        </w:rPr>
        <w:t xml:space="preserve"> (TF), </w:t>
      </w:r>
      <w:r w:rsidR="006660A1">
        <w:rPr>
          <w:rFonts w:ascii="AdvPSMER-R" w:hAnsi="AdvPSMER-R"/>
          <w:sz w:val="18"/>
          <w:szCs w:val="18"/>
          <w:lang w:val="en-US"/>
        </w:rPr>
        <w:t xml:space="preserve">transitional </w:t>
      </w:r>
      <w:r w:rsidR="00EA69B6">
        <w:rPr>
          <w:rFonts w:ascii="AdvPSMER-R" w:hAnsi="AdvPSMER-R"/>
          <w:i/>
          <w:sz w:val="18"/>
          <w:szCs w:val="18"/>
          <w:lang w:val="en-US"/>
        </w:rPr>
        <w:t>forest</w:t>
      </w:r>
      <w:r>
        <w:rPr>
          <w:rFonts w:ascii="AdvPSMER-R" w:hAnsi="AdvPSMER-R"/>
          <w:sz w:val="18"/>
          <w:szCs w:val="18"/>
          <w:lang w:val="en-US"/>
        </w:rPr>
        <w:t>,</w:t>
      </w:r>
      <w:r w:rsidRPr="0050538E">
        <w:rPr>
          <w:rFonts w:ascii="AdvPSMER-R" w:hAnsi="AdvPSMER-R"/>
          <w:sz w:val="18"/>
          <w:szCs w:val="18"/>
          <w:lang w:val="en-US"/>
        </w:rPr>
        <w:t xml:space="preserve"> </w:t>
      </w:r>
      <w:r>
        <w:rPr>
          <w:rFonts w:ascii="AdvPSMER-R" w:hAnsi="AdvPSMER-R"/>
          <w:sz w:val="18"/>
          <w:szCs w:val="18"/>
          <w:lang w:val="en-US"/>
        </w:rPr>
        <w:t xml:space="preserve">(DF), </w:t>
      </w:r>
      <w:proofErr w:type="spellStart"/>
      <w:r w:rsidRPr="006660A1">
        <w:rPr>
          <w:rFonts w:ascii="AdvPSMER-R" w:hAnsi="AdvPSMER-R"/>
          <w:i/>
          <w:sz w:val="18"/>
          <w:szCs w:val="18"/>
          <w:lang w:val="en-US"/>
        </w:rPr>
        <w:t>várzea</w:t>
      </w:r>
      <w:proofErr w:type="spellEnd"/>
      <w:r>
        <w:rPr>
          <w:rFonts w:ascii="AdvPSMER-R" w:hAnsi="AdvPSMER-R"/>
          <w:sz w:val="18"/>
          <w:szCs w:val="18"/>
          <w:lang w:val="en-US"/>
        </w:rPr>
        <w:t xml:space="preserve"> (VF) and </w:t>
      </w:r>
      <w:proofErr w:type="spellStart"/>
      <w:r w:rsidRPr="006660A1">
        <w:rPr>
          <w:rFonts w:ascii="AdvPSMER-R" w:hAnsi="AdvPSMER-R"/>
          <w:i/>
          <w:sz w:val="18"/>
          <w:szCs w:val="18"/>
          <w:lang w:val="en-US"/>
        </w:rPr>
        <w:t>campinarana</w:t>
      </w:r>
      <w:proofErr w:type="spellEnd"/>
      <w:r>
        <w:rPr>
          <w:rFonts w:ascii="AdvPSMER-R" w:hAnsi="AdvPSMER-R"/>
          <w:sz w:val="18"/>
          <w:szCs w:val="18"/>
          <w:lang w:val="en-US"/>
        </w:rPr>
        <w:t xml:space="preserve"> (C) </w:t>
      </w:r>
      <w:r w:rsidR="00670992">
        <w:rPr>
          <w:rFonts w:ascii="AdvPSMER-R" w:hAnsi="AdvPSMER-R"/>
          <w:sz w:val="18"/>
          <w:szCs w:val="18"/>
          <w:lang w:val="en-US"/>
        </w:rPr>
        <w:t>on the</w:t>
      </w:r>
      <w:r w:rsidRPr="00EC3F19">
        <w:rPr>
          <w:rFonts w:ascii="AdvPSMER-R" w:hAnsi="AdvPSMER-R"/>
          <w:sz w:val="18"/>
          <w:szCs w:val="18"/>
          <w:lang w:val="en-US"/>
        </w:rPr>
        <w:t xml:space="preserve"> upper Madeira River, Brazilian Amazon</w:t>
      </w:r>
      <w:r>
        <w:rPr>
          <w:rFonts w:ascii="AdvPSMER-R" w:hAnsi="AdvPSMER-R"/>
          <w:sz w:val="18"/>
          <w:szCs w:val="18"/>
          <w:lang w:val="en-US"/>
        </w:rPr>
        <w:t>.</w:t>
      </w:r>
    </w:p>
    <w:p w:rsidR="008B6883" w:rsidRDefault="008B6883" w:rsidP="00D819D5">
      <w:pPr>
        <w:jc w:val="both"/>
        <w:rPr>
          <w:rFonts w:ascii="AdvPSMER-R" w:hAnsi="AdvPSMER-R"/>
          <w:sz w:val="18"/>
          <w:szCs w:val="18"/>
          <w:lang w:val="en-US"/>
        </w:rPr>
      </w:pPr>
    </w:p>
    <w:p w:rsidR="008B6883" w:rsidRDefault="008B6883" w:rsidP="00D819D5">
      <w:pPr>
        <w:jc w:val="both"/>
        <w:rPr>
          <w:rFonts w:ascii="AdvPSMER-R" w:hAnsi="AdvPSMER-R"/>
          <w:sz w:val="18"/>
          <w:szCs w:val="18"/>
          <w:lang w:val="en-US"/>
        </w:rPr>
      </w:pPr>
    </w:p>
    <w:p w:rsidR="00791624" w:rsidRPr="00EC3F19" w:rsidRDefault="0040638D" w:rsidP="005463AB">
      <w:pPr>
        <w:jc w:val="both"/>
        <w:rPr>
          <w:rFonts w:ascii="AdvPSMER-R" w:hAnsi="AdvPSMER-R"/>
          <w:b/>
          <w:sz w:val="18"/>
          <w:szCs w:val="18"/>
          <w:lang w:val="en-US"/>
        </w:rPr>
      </w:pPr>
      <w:r>
        <w:rPr>
          <w:rFonts w:ascii="AdvPSMER-R" w:hAnsi="AdvPSMER-R"/>
          <w:b/>
          <w:noProof/>
          <w:sz w:val="18"/>
          <w:szCs w:val="18"/>
          <w:lang w:eastAsia="pt-BR"/>
        </w:rPr>
        <w:drawing>
          <wp:inline distT="0" distB="0" distL="0" distR="0" wp14:anchorId="3EB93A2B" wp14:editId="62F96AB8">
            <wp:extent cx="5400040" cy="2700020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UNBT_vs_Silt_and_Groundwater_eng.sub_black_and_white.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24" w:rsidRPr="00EC3F19" w:rsidRDefault="00791624" w:rsidP="00791624">
      <w:pPr>
        <w:spacing w:line="240" w:lineRule="auto"/>
        <w:jc w:val="both"/>
        <w:rPr>
          <w:rFonts w:ascii="AdvPSMER-R" w:hAnsi="AdvPSMER-R"/>
          <w:sz w:val="18"/>
          <w:szCs w:val="18"/>
          <w:lang w:val="en-US"/>
        </w:rPr>
      </w:pPr>
      <w:r w:rsidRPr="00D4038F">
        <w:rPr>
          <w:rFonts w:ascii="AdvPSMER-R" w:hAnsi="AdvPSMER-R"/>
          <w:sz w:val="18"/>
          <w:szCs w:val="18"/>
          <w:lang w:val="en-US"/>
        </w:rPr>
        <w:t>Figure S</w:t>
      </w:r>
      <w:r w:rsidR="002D4A76" w:rsidRPr="00D4038F">
        <w:rPr>
          <w:rFonts w:ascii="AdvPSMER-R" w:hAnsi="AdvPSMER-R"/>
          <w:sz w:val="18"/>
          <w:szCs w:val="18"/>
          <w:lang w:val="en-US"/>
        </w:rPr>
        <w:t>3</w:t>
      </w:r>
      <w:r w:rsidRPr="00EC3F19">
        <w:rPr>
          <w:rFonts w:ascii="AdvPSMER-R" w:hAnsi="AdvPSMER-R"/>
          <w:sz w:val="18"/>
          <w:szCs w:val="18"/>
          <w:lang w:val="en-US"/>
        </w:rPr>
        <w:t>.</w:t>
      </w:r>
      <w:r w:rsidRPr="00EC3F19">
        <w:rPr>
          <w:rFonts w:ascii="AdvPSMER-R" w:hAnsi="AdvPSMER-R"/>
          <w:b/>
          <w:sz w:val="18"/>
          <w:szCs w:val="18"/>
          <w:lang w:val="en-US"/>
        </w:rPr>
        <w:t xml:space="preserve"> </w:t>
      </w:r>
      <w:r w:rsidRPr="00EC3F19">
        <w:rPr>
          <w:rFonts w:ascii="AdvPSMER-R" w:hAnsi="AdvPSMER-R"/>
          <w:sz w:val="18"/>
          <w:szCs w:val="18"/>
          <w:lang w:val="en-US"/>
        </w:rPr>
        <w:t xml:space="preserve">Correlation of the </w:t>
      </w:r>
      <w:r w:rsidRPr="00EC3F19">
        <w:rPr>
          <w:rFonts w:ascii="AdvPSMER-R" w:hAnsi="AdvPSMER-R"/>
          <w:i/>
          <w:sz w:val="18"/>
          <w:szCs w:val="18"/>
          <w:lang w:val="en-US"/>
        </w:rPr>
        <w:t>m</w:t>
      </w:r>
      <w:r w:rsidRPr="00EC3F19">
        <w:rPr>
          <w:rFonts w:ascii="AdvPSMER-R" w:hAnsi="AdvPSMER-R"/>
          <w:sz w:val="18"/>
          <w:szCs w:val="18"/>
          <w:lang w:val="en-US"/>
        </w:rPr>
        <w:t xml:space="preserve"> parameter (</w:t>
      </w:r>
      <w:r>
        <w:rPr>
          <w:rFonts w:ascii="AdvPSMER-R" w:hAnsi="AdvPSMER-R"/>
          <w:sz w:val="18"/>
          <w:szCs w:val="18"/>
          <w:lang w:val="en-US"/>
        </w:rPr>
        <w:t xml:space="preserve">immigration, or recruitment, </w:t>
      </w:r>
      <w:r w:rsidRPr="00EC3F19">
        <w:rPr>
          <w:rFonts w:ascii="AdvPSMER-R" w:hAnsi="AdvPSMER-R"/>
          <w:sz w:val="18"/>
          <w:szCs w:val="18"/>
          <w:lang w:val="en-US"/>
        </w:rPr>
        <w:t xml:space="preserve">from </w:t>
      </w:r>
      <w:r w:rsidR="00E02E39">
        <w:rPr>
          <w:rFonts w:ascii="AdvPSMER-R" w:hAnsi="AdvPSMER-R"/>
          <w:sz w:val="18"/>
          <w:szCs w:val="18"/>
          <w:lang w:val="en-US"/>
        </w:rPr>
        <w:t xml:space="preserve">unified </w:t>
      </w:r>
      <w:r w:rsidRPr="00EC3F19">
        <w:rPr>
          <w:rFonts w:ascii="AdvPSMER-R" w:hAnsi="AdvPSMER-R"/>
          <w:sz w:val="18"/>
          <w:szCs w:val="18"/>
          <w:lang w:val="en-US"/>
        </w:rPr>
        <w:t xml:space="preserve">neutral theory of biodiversity) and the environmental gradient in </w:t>
      </w:r>
      <w:r w:rsidR="006660A1">
        <w:rPr>
          <w:rFonts w:ascii="AdvPSMER-R" w:hAnsi="AdvPSMER-R"/>
          <w:sz w:val="18"/>
          <w:szCs w:val="18"/>
          <w:lang w:val="en-US"/>
        </w:rPr>
        <w:t xml:space="preserve">26 1-ha </w:t>
      </w:r>
      <w:r w:rsidRPr="00EC3F19">
        <w:rPr>
          <w:rFonts w:ascii="AdvPSMER-R" w:hAnsi="AdvPSMER-R"/>
          <w:sz w:val="18"/>
          <w:szCs w:val="18"/>
          <w:lang w:val="en-US"/>
        </w:rPr>
        <w:t xml:space="preserve">plots </w:t>
      </w:r>
      <w:r w:rsidR="006660A1">
        <w:rPr>
          <w:rFonts w:ascii="AdvPSMER-R" w:hAnsi="AdvPSMER-R"/>
          <w:sz w:val="18"/>
          <w:szCs w:val="18"/>
          <w:lang w:val="en-US"/>
        </w:rPr>
        <w:t xml:space="preserve">sampled in </w:t>
      </w:r>
      <w:r w:rsidRPr="00EC3F19">
        <w:rPr>
          <w:rFonts w:ascii="AdvPSMER-R" w:hAnsi="AdvPSMER-R"/>
          <w:sz w:val="18"/>
          <w:szCs w:val="18"/>
          <w:lang w:val="en-US"/>
        </w:rPr>
        <w:t>four types of vegetation</w:t>
      </w:r>
      <w:r w:rsidR="006660A1">
        <w:rPr>
          <w:rFonts w:ascii="AdvPSMER-R" w:hAnsi="AdvPSMER-R"/>
          <w:sz w:val="18"/>
          <w:szCs w:val="18"/>
          <w:lang w:val="en-US"/>
        </w:rPr>
        <w:t xml:space="preserve"> </w:t>
      </w:r>
      <w:r w:rsidR="00670992">
        <w:rPr>
          <w:rFonts w:ascii="AdvPSMER-R" w:hAnsi="AdvPSMER-R"/>
          <w:sz w:val="18"/>
          <w:szCs w:val="18"/>
          <w:lang w:val="en-US"/>
        </w:rPr>
        <w:t>on the</w:t>
      </w:r>
      <w:r w:rsidR="006660A1">
        <w:rPr>
          <w:rFonts w:ascii="AdvPSMER-R" w:hAnsi="AdvPSMER-R"/>
          <w:sz w:val="18"/>
          <w:szCs w:val="18"/>
          <w:lang w:val="en-US"/>
        </w:rPr>
        <w:t xml:space="preserve"> </w:t>
      </w:r>
      <w:r w:rsidR="00915036">
        <w:rPr>
          <w:rFonts w:ascii="AdvPSMER-R" w:hAnsi="AdvPSMER-R"/>
          <w:sz w:val="18"/>
          <w:szCs w:val="18"/>
          <w:lang w:val="en-US"/>
        </w:rPr>
        <w:t>upper</w:t>
      </w:r>
      <w:r w:rsidRPr="00EC3F19">
        <w:rPr>
          <w:rFonts w:ascii="AdvPSMER-R" w:hAnsi="AdvPSMER-R"/>
          <w:sz w:val="18"/>
          <w:szCs w:val="18"/>
          <w:lang w:val="en-US"/>
        </w:rPr>
        <w:t xml:space="preserve"> Madeira River, </w:t>
      </w:r>
      <w:r w:rsidR="006660A1" w:rsidRPr="00EC3F19">
        <w:rPr>
          <w:rFonts w:ascii="AdvPSMER-R" w:hAnsi="AdvPSMER-R"/>
          <w:sz w:val="18"/>
          <w:szCs w:val="18"/>
          <w:lang w:val="en-US"/>
        </w:rPr>
        <w:t>Brazilian Amazon</w:t>
      </w:r>
      <w:r w:rsidRPr="00EC3F19">
        <w:rPr>
          <w:rFonts w:ascii="AdvPSMER-R" w:hAnsi="AdvPSMER-R"/>
          <w:sz w:val="18"/>
          <w:szCs w:val="18"/>
          <w:lang w:val="en-US"/>
        </w:rPr>
        <w:t>. (</w:t>
      </w:r>
      <w:r>
        <w:rPr>
          <w:rFonts w:ascii="AdvPSMER-R" w:hAnsi="AdvPSMER-R"/>
          <w:sz w:val="18"/>
          <w:szCs w:val="18"/>
          <w:lang w:val="en-US"/>
        </w:rPr>
        <w:t>A</w:t>
      </w:r>
      <w:r w:rsidRPr="00EC3F19">
        <w:rPr>
          <w:rFonts w:ascii="AdvPSMER-R" w:hAnsi="AdvPSMER-R"/>
          <w:sz w:val="18"/>
          <w:szCs w:val="18"/>
          <w:lang w:val="en-US"/>
        </w:rPr>
        <w:t>) Standardized silt content; (</w:t>
      </w:r>
      <w:r>
        <w:rPr>
          <w:rFonts w:ascii="AdvPSMER-R" w:hAnsi="AdvPSMER-R"/>
          <w:sz w:val="18"/>
          <w:szCs w:val="18"/>
          <w:lang w:val="en-US"/>
        </w:rPr>
        <w:t>B</w:t>
      </w:r>
      <w:r w:rsidRPr="00EC3F19">
        <w:rPr>
          <w:rFonts w:ascii="AdvPSMER-R" w:hAnsi="AdvPSMER-R"/>
          <w:sz w:val="18"/>
          <w:szCs w:val="18"/>
          <w:lang w:val="en-US"/>
        </w:rPr>
        <w:t>) standardized mean groundwater</w:t>
      </w:r>
      <w:r w:rsidR="00E02E39">
        <w:rPr>
          <w:rFonts w:ascii="AdvPSMER-R" w:hAnsi="AdvPSMER-R"/>
          <w:sz w:val="18"/>
          <w:szCs w:val="18"/>
          <w:lang w:val="en-US"/>
        </w:rPr>
        <w:t xml:space="preserve">. The interaction of these environmental predictors was significant in multivariate linear model with </w:t>
      </w:r>
      <w:r w:rsidR="00E02E39" w:rsidRPr="00EC3F19">
        <w:rPr>
          <w:rFonts w:ascii="AdvPSMER-R" w:hAnsi="AdvPSMER-R"/>
          <w:sz w:val="18"/>
          <w:szCs w:val="18"/>
          <w:lang w:val="en-US"/>
        </w:rPr>
        <w:t>F</w:t>
      </w:r>
      <w:r w:rsidR="00E02E39">
        <w:rPr>
          <w:rFonts w:ascii="AdvPSMER-R" w:hAnsi="AdvPSMER-R"/>
          <w:sz w:val="18"/>
          <w:szCs w:val="18"/>
          <w:vertAlign w:val="subscript"/>
          <w:lang w:val="en-US"/>
        </w:rPr>
        <w:t>3</w:t>
      </w:r>
      <w:proofErr w:type="gramStart"/>
      <w:r w:rsidR="00E02E39" w:rsidRPr="00EC3F19">
        <w:rPr>
          <w:rFonts w:ascii="AdvPSMER-R" w:hAnsi="AdvPSMER-R"/>
          <w:sz w:val="18"/>
          <w:szCs w:val="18"/>
          <w:vertAlign w:val="subscript"/>
          <w:lang w:val="en-US"/>
        </w:rPr>
        <w:t>,2</w:t>
      </w:r>
      <w:r w:rsidR="00E02E39">
        <w:rPr>
          <w:rFonts w:ascii="AdvPSMER-R" w:hAnsi="AdvPSMER-R"/>
          <w:sz w:val="18"/>
          <w:szCs w:val="18"/>
          <w:vertAlign w:val="subscript"/>
          <w:lang w:val="en-US"/>
        </w:rPr>
        <w:t>2</w:t>
      </w:r>
      <w:proofErr w:type="gramEnd"/>
      <w:r w:rsidR="00E02E39" w:rsidRPr="00EC3F19">
        <w:rPr>
          <w:rFonts w:ascii="AdvPSMER-R" w:hAnsi="AdvPSMER-R"/>
          <w:sz w:val="18"/>
          <w:szCs w:val="18"/>
          <w:lang w:val="en-US"/>
        </w:rPr>
        <w:t>=</w:t>
      </w:r>
      <w:r w:rsidR="00E02E39">
        <w:rPr>
          <w:rFonts w:ascii="AdvPSMER-R" w:hAnsi="AdvPSMER-R"/>
          <w:sz w:val="18"/>
          <w:szCs w:val="18"/>
          <w:lang w:val="en-US"/>
        </w:rPr>
        <w:t>12.18</w:t>
      </w:r>
      <w:r w:rsidR="00E02E39" w:rsidRPr="00EC3F19">
        <w:rPr>
          <w:rFonts w:ascii="AdvPSMER-R" w:hAnsi="AdvPSMER-R"/>
          <w:sz w:val="18"/>
          <w:szCs w:val="18"/>
          <w:lang w:val="en-US"/>
        </w:rPr>
        <w:t xml:space="preserve">, </w:t>
      </w:r>
      <w:r w:rsidR="00D646C6" w:rsidRPr="00D646C6">
        <w:rPr>
          <w:rFonts w:ascii="AdvPSMER-R" w:hAnsi="AdvPSMER-R"/>
          <w:i/>
          <w:sz w:val="18"/>
          <w:szCs w:val="18"/>
          <w:lang w:val="en-US"/>
        </w:rPr>
        <w:t>P</w:t>
      </w:r>
      <w:r w:rsidR="00E02E39" w:rsidRPr="00EC3F19">
        <w:rPr>
          <w:rFonts w:ascii="AdvPSMER-R" w:hAnsi="AdvPSMER-R"/>
          <w:sz w:val="18"/>
          <w:szCs w:val="18"/>
          <w:lang w:val="en-US"/>
        </w:rPr>
        <w:t>&lt;0.000</w:t>
      </w:r>
      <w:r w:rsidR="00E02E39">
        <w:rPr>
          <w:rFonts w:ascii="AdvPSMER-R" w:hAnsi="AdvPSMER-R"/>
          <w:sz w:val="18"/>
          <w:szCs w:val="18"/>
          <w:lang w:val="en-US"/>
        </w:rPr>
        <w:t>0</w:t>
      </w:r>
      <w:r w:rsidR="00E02E39" w:rsidRPr="00EC3F19">
        <w:rPr>
          <w:rFonts w:ascii="AdvPSMER-R" w:hAnsi="AdvPSMER-R"/>
          <w:sz w:val="18"/>
          <w:szCs w:val="18"/>
          <w:lang w:val="en-US"/>
        </w:rPr>
        <w:t xml:space="preserve">1, R²adj= </w:t>
      </w:r>
      <w:r w:rsidR="00E02E39">
        <w:rPr>
          <w:rFonts w:ascii="AdvPSMER-R" w:hAnsi="AdvPSMER-R"/>
          <w:sz w:val="18"/>
          <w:szCs w:val="18"/>
          <w:lang w:val="en-US"/>
        </w:rPr>
        <w:t>57.3</w:t>
      </w:r>
      <w:r w:rsidR="00E02E39" w:rsidRPr="00EC3F19">
        <w:rPr>
          <w:rFonts w:ascii="AdvPSMER-R" w:hAnsi="AdvPSMER-R"/>
          <w:sz w:val="18"/>
          <w:szCs w:val="18"/>
          <w:lang w:val="en-US"/>
        </w:rPr>
        <w:t>%</w:t>
      </w:r>
      <w:r w:rsidR="00EA69B6">
        <w:rPr>
          <w:rFonts w:ascii="AdvPSMER-R" w:hAnsi="AdvPSMER-R"/>
          <w:sz w:val="18"/>
          <w:szCs w:val="18"/>
          <w:lang w:val="en-US"/>
        </w:rPr>
        <w:t>.</w:t>
      </w:r>
    </w:p>
    <w:p w:rsidR="00384DDE" w:rsidRPr="00EC3F19" w:rsidRDefault="00384DDE" w:rsidP="00A84B3F">
      <w:pPr>
        <w:spacing w:line="360" w:lineRule="auto"/>
        <w:jc w:val="both"/>
        <w:rPr>
          <w:rFonts w:ascii="AdvPSMER-R" w:hAnsi="AdvPSMER-R"/>
          <w:b/>
          <w:sz w:val="18"/>
          <w:szCs w:val="18"/>
          <w:lang w:val="en-US"/>
        </w:rPr>
      </w:pPr>
    </w:p>
    <w:p w:rsidR="006230B8" w:rsidRPr="00EC3F19" w:rsidRDefault="00164495" w:rsidP="005463AB">
      <w:pPr>
        <w:spacing w:line="360" w:lineRule="auto"/>
        <w:rPr>
          <w:rFonts w:ascii="AdvPSMER-R" w:hAnsi="AdvPSMER-R"/>
          <w:sz w:val="18"/>
          <w:szCs w:val="18"/>
          <w:lang w:val="en-US"/>
        </w:rPr>
      </w:pPr>
      <w:r>
        <w:rPr>
          <w:rFonts w:ascii="AdvPSMER-R" w:hAnsi="AdvPSMER-R"/>
          <w:noProof/>
          <w:sz w:val="18"/>
          <w:szCs w:val="18"/>
          <w:lang w:eastAsia="pt-BR"/>
        </w:rPr>
        <w:lastRenderedPageBreak/>
        <w:drawing>
          <wp:inline distT="0" distB="0" distL="0" distR="0" wp14:anchorId="21D46352" wp14:editId="6BF2F310">
            <wp:extent cx="5400040" cy="540004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S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B8" w:rsidRDefault="006230B8" w:rsidP="006230B8">
      <w:pPr>
        <w:jc w:val="both"/>
        <w:rPr>
          <w:rFonts w:ascii="AdvPSMER-R" w:hAnsi="AdvPSMER-R"/>
          <w:sz w:val="18"/>
          <w:szCs w:val="18"/>
          <w:lang w:val="en-US"/>
        </w:rPr>
      </w:pPr>
      <w:r w:rsidRPr="00D4038F">
        <w:rPr>
          <w:rFonts w:ascii="AdvPSMER-R" w:hAnsi="AdvPSMER-R"/>
          <w:sz w:val="18"/>
          <w:szCs w:val="18"/>
          <w:lang w:val="en-US"/>
        </w:rPr>
        <w:t xml:space="preserve">Figure </w:t>
      </w:r>
      <w:r w:rsidR="000802DC" w:rsidRPr="00D4038F">
        <w:rPr>
          <w:rFonts w:ascii="AdvPSMER-R" w:hAnsi="AdvPSMER-R"/>
          <w:sz w:val="18"/>
          <w:szCs w:val="18"/>
          <w:lang w:val="en-US"/>
        </w:rPr>
        <w:t>S</w:t>
      </w:r>
      <w:r w:rsidR="00CF43E5" w:rsidRPr="00D4038F">
        <w:rPr>
          <w:rFonts w:ascii="AdvPSMER-R" w:hAnsi="AdvPSMER-R"/>
          <w:sz w:val="18"/>
          <w:szCs w:val="18"/>
          <w:lang w:val="en-US"/>
        </w:rPr>
        <w:t>4</w:t>
      </w:r>
      <w:r w:rsidRPr="00EC3F19">
        <w:rPr>
          <w:rFonts w:ascii="AdvPSMER-R" w:hAnsi="AdvPSMER-R"/>
          <w:sz w:val="18"/>
          <w:szCs w:val="18"/>
          <w:lang w:val="en-US"/>
        </w:rPr>
        <w:t xml:space="preserve">. </w:t>
      </w:r>
      <w:proofErr w:type="gramStart"/>
      <w:r w:rsidR="00C351B4">
        <w:rPr>
          <w:rFonts w:ascii="AdvPSMER-R" w:hAnsi="AdvPSMER-R"/>
          <w:sz w:val="18"/>
          <w:szCs w:val="18"/>
          <w:lang w:val="en-US"/>
        </w:rPr>
        <w:t xml:space="preserve">Distance-decay in the </w:t>
      </w:r>
      <w:r w:rsidRPr="00EC3F19">
        <w:rPr>
          <w:rFonts w:ascii="AdvPSMER-R" w:hAnsi="AdvPSMER-R"/>
          <w:sz w:val="18"/>
          <w:szCs w:val="18"/>
          <w:lang w:val="en-US"/>
        </w:rPr>
        <w:t xml:space="preserve">tree structural </w:t>
      </w:r>
      <w:r w:rsidR="00C351B4">
        <w:rPr>
          <w:rFonts w:ascii="AdvPSMER-R" w:hAnsi="AdvPSMER-R"/>
          <w:sz w:val="18"/>
          <w:szCs w:val="18"/>
          <w:lang w:val="en-US"/>
        </w:rPr>
        <w:t>similarity</w:t>
      </w:r>
      <w:r w:rsidR="00FF5501">
        <w:rPr>
          <w:rFonts w:ascii="AdvPSMER-R" w:hAnsi="AdvPSMER-R"/>
          <w:sz w:val="18"/>
          <w:szCs w:val="18"/>
          <w:lang w:val="en-US"/>
        </w:rPr>
        <w:t xml:space="preserve"> (measured as log of Bray-Curtis index) </w:t>
      </w:r>
      <w:r w:rsidRPr="00EC3F19">
        <w:rPr>
          <w:rFonts w:ascii="AdvPSMER-R" w:hAnsi="AdvPSMER-R"/>
          <w:sz w:val="18"/>
          <w:szCs w:val="18"/>
          <w:lang w:val="en-US"/>
        </w:rPr>
        <w:t>between pairs</w:t>
      </w:r>
      <w:r w:rsidR="00693DD1">
        <w:rPr>
          <w:rFonts w:ascii="AdvPSMER-R" w:hAnsi="AdvPSMER-R"/>
          <w:sz w:val="18"/>
          <w:szCs w:val="18"/>
          <w:lang w:val="en-US"/>
        </w:rPr>
        <w:t xml:space="preserve"> </w:t>
      </w:r>
      <w:r w:rsidRPr="00EC3F19">
        <w:rPr>
          <w:rFonts w:ascii="AdvPSMER-R" w:hAnsi="AdvPSMER-R"/>
          <w:sz w:val="18"/>
          <w:szCs w:val="18"/>
          <w:lang w:val="en-US"/>
        </w:rPr>
        <w:t xml:space="preserve">of </w:t>
      </w:r>
      <w:r w:rsidR="00693DD1">
        <w:rPr>
          <w:rFonts w:ascii="AdvPSMER-R" w:hAnsi="AdvPSMER-R"/>
          <w:sz w:val="18"/>
          <w:szCs w:val="18"/>
          <w:lang w:val="en-US"/>
        </w:rPr>
        <w:t xml:space="preserve">tree </w:t>
      </w:r>
      <w:r w:rsidR="00FF5501">
        <w:rPr>
          <w:rFonts w:ascii="AdvPSMER-R" w:hAnsi="AdvPSMER-R"/>
          <w:sz w:val="18"/>
          <w:szCs w:val="18"/>
          <w:lang w:val="en-US"/>
        </w:rPr>
        <w:t xml:space="preserve">communities </w:t>
      </w:r>
      <w:r w:rsidR="00670992">
        <w:rPr>
          <w:rFonts w:ascii="AdvPSMER-R" w:hAnsi="AdvPSMER-R"/>
          <w:sz w:val="18"/>
          <w:szCs w:val="18"/>
          <w:lang w:val="en-US"/>
        </w:rPr>
        <w:t>on the</w:t>
      </w:r>
      <w:r w:rsidRPr="00EC3F19">
        <w:rPr>
          <w:rFonts w:ascii="AdvPSMER-R" w:hAnsi="AdvPSMER-R"/>
          <w:sz w:val="18"/>
          <w:szCs w:val="18"/>
          <w:lang w:val="en-US"/>
        </w:rPr>
        <w:t xml:space="preserve"> upper Madeira River, Brazilian Amazon.</w:t>
      </w:r>
      <w:proofErr w:type="gramEnd"/>
      <w:r w:rsidRPr="00EC3F19">
        <w:rPr>
          <w:rFonts w:ascii="AdvPSMER-R" w:hAnsi="AdvPSMER-R"/>
          <w:sz w:val="18"/>
          <w:szCs w:val="18"/>
          <w:lang w:val="en-US"/>
        </w:rPr>
        <w:t xml:space="preserve"> </w:t>
      </w:r>
      <w:r w:rsidR="00FF5501">
        <w:rPr>
          <w:rFonts w:ascii="AdvPSMER-R" w:hAnsi="AdvPSMER-R"/>
          <w:sz w:val="18"/>
          <w:szCs w:val="18"/>
          <w:lang w:val="en-US"/>
        </w:rPr>
        <w:t xml:space="preserve">Best-fit </w:t>
      </w:r>
      <w:r w:rsidR="00164495">
        <w:rPr>
          <w:rFonts w:ascii="AdvPSMER-R" w:hAnsi="AdvPSMER-R"/>
          <w:sz w:val="18"/>
          <w:szCs w:val="18"/>
          <w:lang w:val="en-US"/>
        </w:rPr>
        <w:t xml:space="preserve">linear </w:t>
      </w:r>
      <w:r w:rsidR="00FF5501">
        <w:rPr>
          <w:rFonts w:ascii="AdvPSMER-R" w:hAnsi="AdvPSMER-R"/>
          <w:sz w:val="18"/>
          <w:szCs w:val="18"/>
          <w:lang w:val="en-US"/>
        </w:rPr>
        <w:t xml:space="preserve">relationships are shown for A) </w:t>
      </w:r>
      <w:r w:rsidRPr="00EC3F19">
        <w:rPr>
          <w:rFonts w:ascii="AdvPSMER-R" w:hAnsi="AdvPSMER-R"/>
          <w:i/>
          <w:sz w:val="18"/>
          <w:szCs w:val="18"/>
          <w:lang w:val="en-US"/>
        </w:rPr>
        <w:t>terra</w:t>
      </w:r>
      <w:r w:rsidR="0014162C">
        <w:rPr>
          <w:rFonts w:ascii="AdvPSMER-R" w:hAnsi="AdvPSMER-R"/>
          <w:sz w:val="18"/>
          <w:szCs w:val="18"/>
          <w:lang w:val="en-US"/>
        </w:rPr>
        <w:t xml:space="preserve"> </w:t>
      </w:r>
      <w:proofErr w:type="spellStart"/>
      <w:r w:rsidRPr="00EC3F19">
        <w:rPr>
          <w:rFonts w:ascii="AdvPSMER-R" w:hAnsi="AdvPSMER-R"/>
          <w:i/>
          <w:sz w:val="18"/>
          <w:szCs w:val="18"/>
          <w:lang w:val="en-US"/>
        </w:rPr>
        <w:t>firme</w:t>
      </w:r>
      <w:proofErr w:type="spellEnd"/>
      <w:r w:rsidR="00FF5501">
        <w:rPr>
          <w:rFonts w:ascii="AdvPSMER-R" w:hAnsi="AdvPSMER-R"/>
          <w:sz w:val="18"/>
          <w:szCs w:val="18"/>
          <w:lang w:val="en-US"/>
        </w:rPr>
        <w:t xml:space="preserve">; B) </w:t>
      </w:r>
      <w:r w:rsidR="006660A1">
        <w:rPr>
          <w:rFonts w:ascii="AdvPSMER-R" w:hAnsi="AdvPSMER-R"/>
          <w:sz w:val="18"/>
          <w:szCs w:val="18"/>
          <w:lang w:val="en-US"/>
        </w:rPr>
        <w:t xml:space="preserve">transitional </w:t>
      </w:r>
      <w:r w:rsidRPr="00EC3F19">
        <w:rPr>
          <w:rFonts w:ascii="AdvPSMER-R" w:hAnsi="AdvPSMER-R"/>
          <w:sz w:val="18"/>
          <w:szCs w:val="18"/>
          <w:lang w:val="en-US"/>
        </w:rPr>
        <w:t>forest</w:t>
      </w:r>
      <w:r w:rsidR="00FF5501">
        <w:rPr>
          <w:rFonts w:ascii="AdvPSMER-R" w:hAnsi="AdvPSMER-R"/>
          <w:sz w:val="18"/>
          <w:szCs w:val="18"/>
          <w:lang w:val="en-US"/>
        </w:rPr>
        <w:t>; C)</w:t>
      </w:r>
      <w:r w:rsidRPr="00EC3F19">
        <w:rPr>
          <w:rFonts w:ascii="AdvPSMER-R" w:hAnsi="AdvPSMER-R"/>
          <w:sz w:val="18"/>
          <w:szCs w:val="18"/>
          <w:lang w:val="en-US"/>
        </w:rPr>
        <w:t xml:space="preserve"> </w:t>
      </w:r>
      <w:proofErr w:type="spellStart"/>
      <w:r w:rsidRPr="00EC3F19">
        <w:rPr>
          <w:rFonts w:ascii="AdvPSMER-R" w:hAnsi="AdvPSMER-R"/>
          <w:i/>
          <w:sz w:val="18"/>
          <w:szCs w:val="18"/>
          <w:lang w:val="en-US"/>
        </w:rPr>
        <w:t>várzea</w:t>
      </w:r>
      <w:proofErr w:type="spellEnd"/>
      <w:r w:rsidR="00FF5501">
        <w:rPr>
          <w:rFonts w:ascii="AdvPSMER-R" w:hAnsi="AdvPSMER-R"/>
          <w:sz w:val="18"/>
          <w:szCs w:val="18"/>
          <w:lang w:val="en-US"/>
        </w:rPr>
        <w:t>; D)</w:t>
      </w:r>
      <w:r w:rsidRPr="00EC3F19">
        <w:rPr>
          <w:rFonts w:ascii="AdvPSMER-R" w:hAnsi="AdvPSMER-R"/>
          <w:sz w:val="18"/>
          <w:szCs w:val="18"/>
          <w:lang w:val="en-US"/>
        </w:rPr>
        <w:t xml:space="preserve"> </w:t>
      </w:r>
      <w:proofErr w:type="spellStart"/>
      <w:r w:rsidR="0014162C">
        <w:rPr>
          <w:rFonts w:ascii="AdvPSMER-R" w:hAnsi="AdvPSMER-R"/>
          <w:i/>
          <w:sz w:val="18"/>
          <w:szCs w:val="18"/>
          <w:lang w:val="en-US"/>
        </w:rPr>
        <w:t>c</w:t>
      </w:r>
      <w:r w:rsidRPr="00EC3F19">
        <w:rPr>
          <w:rFonts w:ascii="AdvPSMER-R" w:hAnsi="AdvPSMER-R"/>
          <w:i/>
          <w:sz w:val="18"/>
          <w:szCs w:val="18"/>
          <w:lang w:val="en-US"/>
        </w:rPr>
        <w:t>ampinarana</w:t>
      </w:r>
      <w:proofErr w:type="spellEnd"/>
      <w:r w:rsidRPr="00EC3F19">
        <w:rPr>
          <w:rFonts w:ascii="AdvPSMER-R" w:hAnsi="AdvPSMER-R"/>
          <w:sz w:val="18"/>
          <w:szCs w:val="18"/>
          <w:lang w:val="en-US"/>
        </w:rPr>
        <w:t>.</w:t>
      </w:r>
    </w:p>
    <w:p w:rsidR="00A70306" w:rsidRDefault="00A70306" w:rsidP="006230B8">
      <w:pPr>
        <w:jc w:val="both"/>
        <w:rPr>
          <w:rFonts w:ascii="AdvPSMER-R" w:hAnsi="AdvPSMER-R"/>
          <w:sz w:val="18"/>
          <w:szCs w:val="18"/>
          <w:lang w:val="en-US"/>
        </w:rPr>
      </w:pPr>
    </w:p>
    <w:p w:rsidR="00A70306" w:rsidRDefault="00A70306">
      <w:pPr>
        <w:rPr>
          <w:rFonts w:ascii="AdvPSMER-R" w:hAnsi="AdvPSMER-R"/>
          <w:sz w:val="18"/>
          <w:szCs w:val="18"/>
          <w:lang w:val="en-US"/>
        </w:rPr>
      </w:pPr>
      <w:r>
        <w:rPr>
          <w:rFonts w:ascii="AdvPSMER-R" w:hAnsi="AdvPSMER-R"/>
          <w:sz w:val="18"/>
          <w:szCs w:val="18"/>
          <w:lang w:val="en-US"/>
        </w:rPr>
        <w:br w:type="page"/>
      </w:r>
    </w:p>
    <w:p w:rsidR="00A70306" w:rsidRDefault="00A70306" w:rsidP="006230B8">
      <w:pPr>
        <w:jc w:val="both"/>
        <w:rPr>
          <w:rFonts w:ascii="AdvPSMER-R" w:hAnsi="AdvPSMER-R"/>
          <w:sz w:val="18"/>
          <w:szCs w:val="18"/>
          <w:lang w:val="en-US"/>
        </w:rPr>
      </w:pPr>
    </w:p>
    <w:p w:rsidR="00A70306" w:rsidRDefault="00A70306" w:rsidP="006230B8">
      <w:pPr>
        <w:jc w:val="both"/>
        <w:rPr>
          <w:rFonts w:ascii="AdvPSMER-R" w:hAnsi="AdvPSMER-R"/>
          <w:sz w:val="18"/>
          <w:szCs w:val="18"/>
          <w:lang w:val="en-US"/>
        </w:rPr>
      </w:pPr>
      <w:r>
        <w:rPr>
          <w:rFonts w:ascii="AdvPSMER-R" w:hAnsi="AdvPSMER-R"/>
          <w:noProof/>
          <w:sz w:val="18"/>
          <w:szCs w:val="18"/>
          <w:lang w:eastAsia="pt-BR"/>
        </w:rPr>
        <w:drawing>
          <wp:inline distT="0" distB="0" distL="0" distR="0" wp14:anchorId="24B4854F" wp14:editId="3C6AF4CD">
            <wp:extent cx="5400040" cy="17995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_distance_vs_geo_distance_by_Vegetation_black_whit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306" w:rsidRDefault="00A70306" w:rsidP="006230B8">
      <w:pPr>
        <w:jc w:val="both"/>
        <w:rPr>
          <w:rFonts w:ascii="AdvPSMER-R" w:hAnsi="AdvPSMER-R"/>
          <w:sz w:val="18"/>
          <w:szCs w:val="18"/>
          <w:lang w:val="en-US"/>
        </w:rPr>
      </w:pPr>
      <w:r w:rsidRPr="00D4038F">
        <w:rPr>
          <w:rFonts w:ascii="AdvPSMER-R" w:hAnsi="AdvPSMER-R"/>
          <w:sz w:val="18"/>
          <w:szCs w:val="18"/>
          <w:lang w:val="en-US"/>
        </w:rPr>
        <w:t>Figure S</w:t>
      </w:r>
      <w:r w:rsidR="00CF43E5" w:rsidRPr="00D4038F">
        <w:rPr>
          <w:rFonts w:ascii="AdvPSMER-R" w:hAnsi="AdvPSMER-R"/>
          <w:sz w:val="18"/>
          <w:szCs w:val="18"/>
          <w:lang w:val="en-US"/>
        </w:rPr>
        <w:t>5</w:t>
      </w:r>
      <w:r w:rsidRPr="00D4038F">
        <w:rPr>
          <w:rFonts w:ascii="AdvPSMER-R" w:hAnsi="AdvPSMER-R"/>
          <w:sz w:val="18"/>
          <w:szCs w:val="18"/>
          <w:lang w:val="en-US"/>
        </w:rPr>
        <w:t>.</w:t>
      </w:r>
      <w:r>
        <w:rPr>
          <w:rFonts w:ascii="AdvPSMER-R" w:hAnsi="AdvPSMER-R"/>
          <w:sz w:val="18"/>
          <w:szCs w:val="18"/>
          <w:lang w:val="en-US"/>
        </w:rPr>
        <w:t xml:space="preserve"> </w:t>
      </w:r>
      <w:r w:rsidR="00AF4677">
        <w:rPr>
          <w:rFonts w:ascii="AdvPSMER-R" w:hAnsi="AdvPSMER-R"/>
          <w:sz w:val="18"/>
          <w:szCs w:val="18"/>
          <w:lang w:val="en-US"/>
        </w:rPr>
        <w:t>Environmental heterogeneity</w:t>
      </w:r>
      <w:r w:rsidR="00890CCB">
        <w:rPr>
          <w:rFonts w:ascii="AdvPSMER-R" w:hAnsi="AdvPSMER-R"/>
          <w:sz w:val="18"/>
          <w:szCs w:val="18"/>
          <w:lang w:val="en-US"/>
        </w:rPr>
        <w:t xml:space="preserve"> (standardized values)</w:t>
      </w:r>
      <w:r w:rsidR="00AF4677">
        <w:rPr>
          <w:rFonts w:ascii="AdvPSMER-R" w:hAnsi="AdvPSMER-R"/>
          <w:sz w:val="18"/>
          <w:szCs w:val="18"/>
          <w:lang w:val="en-US"/>
        </w:rPr>
        <w:t xml:space="preserve"> between pair of plots (Euclidian distance) sampled </w:t>
      </w:r>
      <w:r w:rsidR="00670992">
        <w:rPr>
          <w:rFonts w:ascii="AdvPSMER-R" w:hAnsi="AdvPSMER-R"/>
          <w:sz w:val="18"/>
          <w:szCs w:val="18"/>
          <w:lang w:val="en-US"/>
        </w:rPr>
        <w:t>on the</w:t>
      </w:r>
      <w:bookmarkStart w:id="0" w:name="_GoBack"/>
      <w:bookmarkEnd w:id="0"/>
      <w:r w:rsidRPr="00EC3F19">
        <w:rPr>
          <w:rFonts w:ascii="AdvPSMER-R" w:hAnsi="AdvPSMER-R"/>
          <w:sz w:val="18"/>
          <w:szCs w:val="18"/>
          <w:lang w:val="en-US"/>
        </w:rPr>
        <w:t xml:space="preserve"> upper Madeira River, Brazilian Amazon</w:t>
      </w:r>
      <w:r w:rsidR="00AF4677">
        <w:rPr>
          <w:rFonts w:ascii="AdvPSMER-R" w:hAnsi="AdvPSMER-R"/>
          <w:sz w:val="18"/>
          <w:szCs w:val="18"/>
          <w:lang w:val="en-US"/>
        </w:rPr>
        <w:t>.</w:t>
      </w:r>
    </w:p>
    <w:p w:rsidR="00A70306" w:rsidRDefault="00A70306" w:rsidP="006230B8">
      <w:pPr>
        <w:jc w:val="both"/>
        <w:rPr>
          <w:rFonts w:ascii="AdvPSMER-R" w:hAnsi="AdvPSMER-R"/>
          <w:sz w:val="18"/>
          <w:szCs w:val="18"/>
          <w:lang w:val="en-US"/>
        </w:rPr>
      </w:pPr>
    </w:p>
    <w:p w:rsidR="00A70306" w:rsidRDefault="00A70306" w:rsidP="006230B8">
      <w:pPr>
        <w:jc w:val="both"/>
        <w:rPr>
          <w:rFonts w:ascii="AdvPSMER-R" w:hAnsi="AdvPSMER-R"/>
          <w:sz w:val="18"/>
          <w:szCs w:val="18"/>
          <w:lang w:val="en-US"/>
        </w:rPr>
      </w:pPr>
    </w:p>
    <w:p w:rsidR="00A70306" w:rsidRDefault="00A70306" w:rsidP="006230B8">
      <w:pPr>
        <w:jc w:val="both"/>
        <w:rPr>
          <w:rFonts w:ascii="AdvPSMER-R" w:hAnsi="AdvPSMER-R"/>
          <w:sz w:val="18"/>
          <w:szCs w:val="18"/>
          <w:lang w:val="en-US"/>
        </w:rPr>
      </w:pPr>
    </w:p>
    <w:p w:rsidR="00A70306" w:rsidRDefault="00A70306" w:rsidP="006230B8">
      <w:pPr>
        <w:jc w:val="both"/>
        <w:rPr>
          <w:rFonts w:ascii="AdvPSMER-R" w:hAnsi="AdvPSMER-R"/>
          <w:sz w:val="18"/>
          <w:szCs w:val="18"/>
          <w:lang w:val="en-US"/>
        </w:rPr>
      </w:pPr>
    </w:p>
    <w:p w:rsidR="00A70306" w:rsidRPr="00EC3F19" w:rsidRDefault="00A70306" w:rsidP="006230B8">
      <w:pPr>
        <w:jc w:val="both"/>
        <w:rPr>
          <w:rFonts w:ascii="AdvPSMER-R" w:hAnsi="AdvPSMER-R"/>
          <w:sz w:val="18"/>
          <w:szCs w:val="18"/>
          <w:lang w:val="en-US"/>
        </w:rPr>
      </w:pPr>
    </w:p>
    <w:p w:rsidR="006230B8" w:rsidRPr="00EC3F19" w:rsidRDefault="006230B8" w:rsidP="002D6679">
      <w:pPr>
        <w:spacing w:line="240" w:lineRule="auto"/>
        <w:jc w:val="both"/>
        <w:rPr>
          <w:rFonts w:ascii="AdvPSMER-R" w:hAnsi="AdvPSMER-R"/>
          <w:sz w:val="18"/>
          <w:szCs w:val="18"/>
          <w:lang w:val="en-US"/>
        </w:rPr>
      </w:pPr>
    </w:p>
    <w:p w:rsidR="00A84B3F" w:rsidRPr="00EC3F19" w:rsidRDefault="00A84B3F" w:rsidP="004F3777">
      <w:pPr>
        <w:jc w:val="both"/>
        <w:rPr>
          <w:rFonts w:ascii="AdvPSMER-R" w:hAnsi="AdvPSMER-R"/>
          <w:sz w:val="18"/>
          <w:szCs w:val="18"/>
          <w:lang w:val="en-US"/>
        </w:rPr>
      </w:pPr>
    </w:p>
    <w:sectPr w:rsidR="00A84B3F" w:rsidRPr="00EC3F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MER-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3F"/>
    <w:rsid w:val="00004AE5"/>
    <w:rsid w:val="00074681"/>
    <w:rsid w:val="000802DC"/>
    <w:rsid w:val="0014162C"/>
    <w:rsid w:val="00164495"/>
    <w:rsid w:val="001D5193"/>
    <w:rsid w:val="002726AE"/>
    <w:rsid w:val="00293B92"/>
    <w:rsid w:val="002D3EB8"/>
    <w:rsid w:val="002D4A76"/>
    <w:rsid w:val="002D6679"/>
    <w:rsid w:val="002E66F3"/>
    <w:rsid w:val="00333BD7"/>
    <w:rsid w:val="003458B0"/>
    <w:rsid w:val="00384DDE"/>
    <w:rsid w:val="0040638D"/>
    <w:rsid w:val="004C716B"/>
    <w:rsid w:val="004F3777"/>
    <w:rsid w:val="0050538E"/>
    <w:rsid w:val="005463AB"/>
    <w:rsid w:val="005D58DC"/>
    <w:rsid w:val="006230B8"/>
    <w:rsid w:val="0065747D"/>
    <w:rsid w:val="006660A1"/>
    <w:rsid w:val="00670992"/>
    <w:rsid w:val="00693DD1"/>
    <w:rsid w:val="006A1F24"/>
    <w:rsid w:val="0072334B"/>
    <w:rsid w:val="00724590"/>
    <w:rsid w:val="007471AF"/>
    <w:rsid w:val="0076444A"/>
    <w:rsid w:val="00791624"/>
    <w:rsid w:val="008547FD"/>
    <w:rsid w:val="0086759A"/>
    <w:rsid w:val="00890CCB"/>
    <w:rsid w:val="008B1B4F"/>
    <w:rsid w:val="008B6883"/>
    <w:rsid w:val="00915036"/>
    <w:rsid w:val="00925F83"/>
    <w:rsid w:val="00997067"/>
    <w:rsid w:val="009A4776"/>
    <w:rsid w:val="009D7DC3"/>
    <w:rsid w:val="009E7110"/>
    <w:rsid w:val="00A14AE4"/>
    <w:rsid w:val="00A70306"/>
    <w:rsid w:val="00A84B3F"/>
    <w:rsid w:val="00AE0386"/>
    <w:rsid w:val="00AF4677"/>
    <w:rsid w:val="00B26BEB"/>
    <w:rsid w:val="00B35AB5"/>
    <w:rsid w:val="00C071EC"/>
    <w:rsid w:val="00C20D49"/>
    <w:rsid w:val="00C351B4"/>
    <w:rsid w:val="00C96780"/>
    <w:rsid w:val="00C96C76"/>
    <w:rsid w:val="00CC0D4E"/>
    <w:rsid w:val="00CD12FC"/>
    <w:rsid w:val="00CF43E5"/>
    <w:rsid w:val="00D4038F"/>
    <w:rsid w:val="00D646C6"/>
    <w:rsid w:val="00D819D5"/>
    <w:rsid w:val="00D94DD3"/>
    <w:rsid w:val="00DC6CC0"/>
    <w:rsid w:val="00E02E39"/>
    <w:rsid w:val="00E935DA"/>
    <w:rsid w:val="00EA69B6"/>
    <w:rsid w:val="00EC1944"/>
    <w:rsid w:val="00EC3F19"/>
    <w:rsid w:val="00ED4DA7"/>
    <w:rsid w:val="00F32664"/>
    <w:rsid w:val="00F36D86"/>
    <w:rsid w:val="00F727A8"/>
    <w:rsid w:val="00F90DCE"/>
    <w:rsid w:val="00FE2854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B3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C0D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D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D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D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D4E"/>
    <w:rPr>
      <w:b/>
      <w:bCs/>
      <w:sz w:val="20"/>
      <w:szCs w:val="20"/>
    </w:rPr>
  </w:style>
  <w:style w:type="paragraph" w:customStyle="1" w:styleId="Articletitle">
    <w:name w:val="Article title"/>
    <w:basedOn w:val="Normal"/>
    <w:next w:val="Normal"/>
    <w:qFormat/>
    <w:rsid w:val="00D4038F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B3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C0D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D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D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D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D4E"/>
    <w:rPr>
      <w:b/>
      <w:bCs/>
      <w:sz w:val="20"/>
      <w:szCs w:val="20"/>
    </w:rPr>
  </w:style>
  <w:style w:type="paragraph" w:customStyle="1" w:styleId="Articletitle">
    <w:name w:val="Article title"/>
    <w:basedOn w:val="Normal"/>
    <w:next w:val="Normal"/>
    <w:qFormat/>
    <w:rsid w:val="00D4038F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L Oliveira</dc:creator>
  <cp:lastModifiedBy>Washington Oliveira</cp:lastModifiedBy>
  <cp:revision>6</cp:revision>
  <dcterms:created xsi:type="dcterms:W3CDTF">2018-02-16T00:44:00Z</dcterms:created>
  <dcterms:modified xsi:type="dcterms:W3CDTF">2018-05-06T14:39:00Z</dcterms:modified>
</cp:coreProperties>
</file>