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0B" w:rsidRDefault="00AD170B" w:rsidP="00950AA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D170B">
        <w:rPr>
          <w:rFonts w:ascii="Times New Roman" w:hAnsi="Times New Roman" w:cs="Times New Roman"/>
          <w:b/>
          <w:bCs/>
          <w:sz w:val="28"/>
          <w:szCs w:val="28"/>
        </w:rPr>
        <w:t>Supplemental online material</w:t>
      </w:r>
    </w:p>
    <w:p w:rsidR="00136D51" w:rsidRPr="00950AAF" w:rsidRDefault="00136D51" w:rsidP="00950AAF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AAF">
        <w:rPr>
          <w:rFonts w:ascii="Times New Roman" w:hAnsi="Times New Roman" w:cs="Times New Roman"/>
          <w:b/>
          <w:bCs/>
          <w:sz w:val="24"/>
          <w:szCs w:val="24"/>
        </w:rPr>
        <w:t>Comparative efficacy of bevacizumab, ranibizumab, and aflibercept for treatment of macular edema secondary to retinal vein occlusion: A systematic review and network meta-analysis</w:t>
      </w:r>
    </w:p>
    <w:p w:rsidR="00136D51" w:rsidRPr="00136D51" w:rsidRDefault="00136D51" w:rsidP="00136D51">
      <w:pPr>
        <w:rPr>
          <w:rFonts w:ascii="Times New Roman" w:hAnsi="Times New Roman" w:cs="Times New Roman"/>
          <w:b/>
          <w:bCs/>
        </w:rPr>
      </w:pPr>
    </w:p>
    <w:p w:rsidR="000C16AB" w:rsidRPr="00136D51" w:rsidRDefault="000C16AB" w:rsidP="00136D51">
      <w:pPr>
        <w:rPr>
          <w:rFonts w:ascii="Times New Roman" w:hAnsi="Times New Roman" w:cs="Times New Roman"/>
        </w:rPr>
      </w:pPr>
      <w:r w:rsidRPr="00136D51">
        <w:rPr>
          <w:rFonts w:ascii="Times New Roman" w:hAnsi="Times New Roman" w:cs="Times New Roman"/>
          <w:b/>
          <w:bCs/>
        </w:rPr>
        <w:t xml:space="preserve">Table </w:t>
      </w:r>
      <w:r w:rsidR="007530EE">
        <w:rPr>
          <w:rFonts w:ascii="Times New Roman" w:hAnsi="Times New Roman" w:cs="Times New Roman"/>
          <w:b/>
          <w:bCs/>
        </w:rPr>
        <w:t>S</w:t>
      </w:r>
      <w:r w:rsidRPr="00136D51">
        <w:rPr>
          <w:rFonts w:ascii="Times New Roman" w:hAnsi="Times New Roman" w:cs="Times New Roman"/>
          <w:b/>
          <w:bCs/>
        </w:rPr>
        <w:t>1.</w:t>
      </w:r>
      <w:r w:rsidRPr="00136D51">
        <w:rPr>
          <w:rFonts w:ascii="Times New Roman" w:hAnsi="Times New Roman" w:cs="Times New Roman"/>
        </w:rPr>
        <w:t xml:space="preserve"> Search strategy in </w:t>
      </w:r>
      <w:proofErr w:type="spellStart"/>
      <w:r w:rsidRPr="00136D51">
        <w:rPr>
          <w:rFonts w:ascii="Times New Roman" w:hAnsi="Times New Roman" w:cs="Times New Roman"/>
        </w:rPr>
        <w:t>Embase</w:t>
      </w:r>
      <w:proofErr w:type="spellEnd"/>
      <w:r w:rsidR="00950AAF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7370"/>
        <w:gridCol w:w="990"/>
      </w:tblGrid>
      <w:tr w:rsidR="000C16AB" w:rsidRPr="00136D51" w:rsidTr="00136D51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No.</w:t>
            </w:r>
          </w:p>
        </w:tc>
        <w:tc>
          <w:tcPr>
            <w:tcW w:w="4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Search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Results</w:t>
            </w:r>
          </w:p>
        </w:tc>
      </w:tr>
      <w:tr w:rsidR="000C16AB" w:rsidRPr="00136D51" w:rsidTr="00136D51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(retina* and vein* and (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occlu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* or obstruct* or clos* or stricture* or steno* or block* or embolism*)).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10030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(RVO or CRVO or CVO or BRVO).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3458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 or 2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11017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(bevacizumab or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avastin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).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48849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(ranibizumab or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lucentis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).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7621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(aflibercept or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eylea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).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4201</w:t>
            </w:r>
          </w:p>
        </w:tc>
      </w:tr>
      <w:tr w:rsidR="000C16AB" w:rsidRPr="00136D51" w:rsidTr="00136D51">
        <w:trPr>
          <w:trHeight w:val="300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anti?vascular</w:t>
            </w:r>
            <w:proofErr w:type="spellEnd"/>
            <w:proofErr w:type="gram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endothelial growth factor* or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anti?vegf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* or vascular endothelial growth factor inhibit* or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vegf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inhibit*).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3303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anti?angiogen</w:t>
            </w:r>
            <w:proofErr w:type="spellEnd"/>
            <w:proofErr w:type="gram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* or angiogenesis inhibit*).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41678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intravitreal*.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af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24635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4 or 5 or 6 or 7 or 8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87172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3 and 10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1732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3 and 9 and 10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1362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nil"/>
              <w:left w:val="nil"/>
              <w:bottom w:val="single" w:sz="8" w:space="0" w:color="E3E3E3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single" w:sz="8" w:space="0" w:color="E3E3E3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11 and "Article" [Publication Type]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single" w:sz="8" w:space="0" w:color="E3E3E3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985</w:t>
            </w:r>
          </w:p>
        </w:tc>
      </w:tr>
      <w:tr w:rsidR="000C16AB" w:rsidRPr="00136D51" w:rsidTr="00136D51">
        <w:trPr>
          <w:trHeight w:val="315"/>
        </w:trPr>
        <w:tc>
          <w:tcPr>
            <w:tcW w:w="391" w:type="pct"/>
            <w:tcBorders>
              <w:top w:val="single" w:sz="8" w:space="0" w:color="E3E3E3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063" w:type="pct"/>
            <w:tcBorders>
              <w:top w:val="single" w:sz="8" w:space="0" w:color="E3E3E3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13 and "clinical trial" [Subjects]</w:t>
            </w:r>
          </w:p>
        </w:tc>
        <w:tc>
          <w:tcPr>
            <w:tcW w:w="546" w:type="pct"/>
            <w:tcBorders>
              <w:top w:val="single" w:sz="8" w:space="0" w:color="E3E3E3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 w:themeColor="text1"/>
              </w:rPr>
              <w:t>106</w:t>
            </w:r>
          </w:p>
        </w:tc>
      </w:tr>
    </w:tbl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</w:pP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  <w:sectPr w:rsidR="000C16AB" w:rsidRPr="00136D51" w:rsidSect="006010F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16AB" w:rsidRPr="00136D51" w:rsidRDefault="00136D51" w:rsidP="0013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530EE">
        <w:rPr>
          <w:rFonts w:ascii="Times New Roman" w:hAnsi="Times New Roman" w:cs="Times New Roman"/>
          <w:b/>
          <w:bCs/>
        </w:rPr>
        <w:t>S</w:t>
      </w:r>
      <w:r w:rsidR="000C16AB" w:rsidRPr="00136D51">
        <w:rPr>
          <w:rFonts w:ascii="Times New Roman" w:hAnsi="Times New Roman" w:cs="Times New Roman"/>
          <w:b/>
          <w:bCs/>
        </w:rPr>
        <w:t>2.</w:t>
      </w:r>
      <w:r w:rsidR="000C16AB" w:rsidRPr="00136D51">
        <w:rPr>
          <w:rFonts w:ascii="Times New Roman" w:hAnsi="Times New Roman" w:cs="Times New Roman"/>
        </w:rPr>
        <w:t xml:space="preserve"> Reasons for exclusion</w:t>
      </w:r>
      <w:r w:rsidR="00950AA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53"/>
        <w:gridCol w:w="928"/>
      </w:tblGrid>
      <w:tr w:rsidR="000C16AB" w:rsidRPr="00136D51" w:rsidTr="00136D51"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REASONS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</w:tr>
      <w:tr w:rsidR="000C16AB" w:rsidRPr="00136D51" w:rsidTr="00136D51">
        <w:tc>
          <w:tcPr>
            <w:tcW w:w="6374" w:type="dxa"/>
            <w:gridSpan w:val="2"/>
            <w:tcBorders>
              <w:top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Excluded at title and abstract screening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245</w:t>
            </w:r>
          </w:p>
        </w:tc>
      </w:tr>
      <w:tr w:rsidR="000C16AB" w:rsidRPr="00136D51" w:rsidTr="00136D51">
        <w:tc>
          <w:tcPr>
            <w:tcW w:w="421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- not patients with RVO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</w:tr>
      <w:tr w:rsidR="000C16AB" w:rsidRPr="00136D51" w:rsidTr="00136D51">
        <w:tc>
          <w:tcPr>
            <w:tcW w:w="421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- not interventions of interest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</w:tr>
      <w:tr w:rsidR="000C16AB" w:rsidRPr="00136D51" w:rsidTr="00136D51">
        <w:tc>
          <w:tcPr>
            <w:tcW w:w="421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- no comparator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</w:tr>
      <w:tr w:rsidR="000C16AB" w:rsidRPr="00136D51" w:rsidTr="00136D51">
        <w:tc>
          <w:tcPr>
            <w:tcW w:w="421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- not outcomes of interest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</w:tr>
      <w:tr w:rsidR="000C16AB" w:rsidRPr="00136D51" w:rsidTr="00136D51">
        <w:tc>
          <w:tcPr>
            <w:tcW w:w="421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- not RCT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</w:tr>
      <w:tr w:rsidR="000C16AB" w:rsidRPr="00136D51" w:rsidTr="00136D51">
        <w:tc>
          <w:tcPr>
            <w:tcW w:w="421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- published in non-English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0C16AB" w:rsidRPr="00136D51" w:rsidTr="00136D51">
        <w:tc>
          <w:tcPr>
            <w:tcW w:w="421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- preliminary results presented as conference abstract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36D51"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</w:tr>
      <w:tr w:rsidR="000C16AB" w:rsidRPr="00136D51" w:rsidTr="00136D51">
        <w:tc>
          <w:tcPr>
            <w:tcW w:w="6374" w:type="dxa"/>
            <w:gridSpan w:val="2"/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Could not retrieve full-text articles</w:t>
            </w:r>
          </w:p>
        </w:tc>
        <w:tc>
          <w:tcPr>
            <w:tcW w:w="851" w:type="dxa"/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C16AB" w:rsidRPr="00136D51" w:rsidTr="00136D51">
        <w:tc>
          <w:tcPr>
            <w:tcW w:w="6374" w:type="dxa"/>
            <w:gridSpan w:val="2"/>
            <w:tcBorders>
              <w:bottom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Excluded at full-text screening: not RCT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C16AB" w:rsidRPr="00136D51" w:rsidTr="00136D51"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Total excluded articles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6AB" w:rsidRPr="00136D51" w:rsidRDefault="000C16AB" w:rsidP="00136D5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36D51">
              <w:rPr>
                <w:rFonts w:ascii="Times New Roman" w:hAnsi="Times New Roman" w:cs="Times New Roman"/>
                <w:b/>
                <w:bCs/>
              </w:rPr>
              <w:t>249</w:t>
            </w:r>
          </w:p>
        </w:tc>
      </w:tr>
    </w:tbl>
    <w:p w:rsidR="000C16AB" w:rsidRPr="00136D51" w:rsidRDefault="000C16AB" w:rsidP="00136D51">
      <w:pPr>
        <w:rPr>
          <w:rFonts w:ascii="Times New Roman" w:hAnsi="Times New Roman" w:cs="Times New Roman"/>
        </w:rPr>
      </w:pPr>
    </w:p>
    <w:p w:rsidR="000C16AB" w:rsidRPr="00136D51" w:rsidRDefault="000C16AB" w:rsidP="00136D51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</w:rPr>
      </w:pP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  <w:sectPr w:rsidR="000C16AB" w:rsidRPr="00136D51" w:rsidSect="006010F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16AB" w:rsidRPr="00136D51" w:rsidRDefault="00136D51" w:rsidP="0013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530EE">
        <w:rPr>
          <w:rFonts w:ascii="Times New Roman" w:hAnsi="Times New Roman" w:cs="Times New Roman"/>
          <w:b/>
          <w:bCs/>
        </w:rPr>
        <w:t>S</w:t>
      </w:r>
      <w:r w:rsidR="000C16AB" w:rsidRPr="00136D51">
        <w:rPr>
          <w:rFonts w:ascii="Times New Roman" w:hAnsi="Times New Roman" w:cs="Times New Roman"/>
          <w:b/>
          <w:bCs/>
        </w:rPr>
        <w:t xml:space="preserve">3. </w:t>
      </w:r>
      <w:r w:rsidR="000C16AB" w:rsidRPr="00136D51">
        <w:rPr>
          <w:rFonts w:ascii="Times New Roman" w:hAnsi="Times New Roman" w:cs="Times New Roman"/>
        </w:rPr>
        <w:t>Study included in the systematic review</w:t>
      </w:r>
      <w:r w:rsidR="00950AAF">
        <w:rPr>
          <w:rFonts w:ascii="Times New Roman" w:hAnsi="Times New Roman" w:cs="Times New Roman"/>
        </w:rPr>
        <w:t>.</w:t>
      </w:r>
    </w:p>
    <w:tbl>
      <w:tblPr>
        <w:tblW w:w="496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028"/>
        <w:gridCol w:w="2514"/>
        <w:gridCol w:w="1834"/>
        <w:gridCol w:w="850"/>
        <w:gridCol w:w="1417"/>
        <w:gridCol w:w="3970"/>
        <w:gridCol w:w="1134"/>
      </w:tblGrid>
      <w:tr w:rsidR="000C16AB" w:rsidRPr="00136D51" w:rsidTr="00136D51">
        <w:trPr>
          <w:trHeight w:val="284"/>
          <w:tblHeader/>
        </w:trPr>
        <w:tc>
          <w:tcPr>
            <w:tcW w:w="412" w:type="pct"/>
            <w:vMerge w:val="restart"/>
            <w:shd w:val="clear" w:color="auto" w:fill="D9E2F3" w:themeFill="accent5" w:themeFillTint="33"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370" w:type="pct"/>
            <w:vMerge w:val="restart"/>
            <w:shd w:val="clear" w:color="auto" w:fill="D9E2F3" w:themeFill="accent5" w:themeFillTint="33"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2381" w:type="pct"/>
            <w:gridSpan w:val="4"/>
            <w:shd w:val="clear" w:color="auto" w:fill="D9E2F3" w:themeFill="accent5" w:themeFillTint="33"/>
            <w:noWrap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Key inclusion criteria</w:t>
            </w:r>
          </w:p>
        </w:tc>
        <w:tc>
          <w:tcPr>
            <w:tcW w:w="1429" w:type="pct"/>
            <w:vMerge w:val="restart"/>
            <w:shd w:val="clear" w:color="auto" w:fill="D9E2F3" w:themeFill="accent5" w:themeFillTint="33"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Treatment regimen</w:t>
            </w:r>
          </w:p>
        </w:tc>
        <w:tc>
          <w:tcPr>
            <w:tcW w:w="408" w:type="pct"/>
            <w:vMerge w:val="restart"/>
            <w:shd w:val="clear" w:color="auto" w:fill="D9E2F3" w:themeFill="accent5" w:themeFillTint="33"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patients completed study at 6 months</w:t>
            </w:r>
          </w:p>
        </w:tc>
      </w:tr>
      <w:tr w:rsidR="000C16AB" w:rsidRPr="00136D51" w:rsidTr="00136D51">
        <w:trPr>
          <w:trHeight w:val="284"/>
          <w:tblHeader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16AB" w:rsidRPr="00136D51" w:rsidRDefault="000C16AB" w:rsidP="00136D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0C16AB" w:rsidRPr="00136D51" w:rsidRDefault="000C16AB" w:rsidP="00136D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pct"/>
            <w:shd w:val="clear" w:color="auto" w:fill="D9E2F3" w:themeFill="accent5" w:themeFillTint="33"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History of anti-VEGF treatment</w:t>
            </w:r>
          </w:p>
        </w:tc>
        <w:tc>
          <w:tcPr>
            <w:tcW w:w="660" w:type="pct"/>
            <w:shd w:val="clear" w:color="auto" w:fill="D9E2F3" w:themeFill="accent5" w:themeFillTint="33"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BCVA</w:t>
            </w:r>
          </w:p>
        </w:tc>
        <w:tc>
          <w:tcPr>
            <w:tcW w:w="306" w:type="pct"/>
            <w:shd w:val="clear" w:color="auto" w:fill="D9E2F3" w:themeFill="accent5" w:themeFillTint="33"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CMT (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μm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0" w:type="pct"/>
            <w:shd w:val="clear" w:color="auto" w:fill="D9E2F3" w:themeFill="accent5" w:themeFillTint="33"/>
            <w:hideMark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Disease duration</w:t>
            </w:r>
          </w:p>
        </w:tc>
        <w:tc>
          <w:tcPr>
            <w:tcW w:w="1429" w:type="pct"/>
            <w:vMerge/>
            <w:shd w:val="clear" w:color="auto" w:fill="auto"/>
            <w:vAlign w:val="center"/>
            <w:hideMark/>
          </w:tcPr>
          <w:p w:rsidR="000C16AB" w:rsidRPr="00136D51" w:rsidRDefault="000C16AB" w:rsidP="00136D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0C16AB" w:rsidRPr="00136D51" w:rsidRDefault="000C16AB" w:rsidP="00136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SCORE2 [2017]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Prior intravitreal anti–VEGF use was allowed if it was more than 2 months before randomization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E-ETDRS VA letter score (VALS) between 19 and 73 (possible range is 0 to 100 letters, higher scores indicate better VA)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300 or 320 (depends on measuring machine)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--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month 0-5: IVB monthly injection, month 6-8: good respond patients were re-randomized to IVB monthly or treat and extend schedule while poor responders received IVA for 3 months follow by IVA monthly PRN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month0-5: IVA monthly injection, month 6-8: good respond patients were re-randomized to IVB monthly or treat and extend schedule while poor responders received dexamethasone implant for 1 months follow by dexamethasone implant monthly PRN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95.1%</w:t>
            </w:r>
          </w:p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IVA 97.2%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Lucatto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[2017]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anti-VEGF naïve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BCVA ≤ 20/40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250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--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monthly injection for 6 months follow by IVB monthly PRN until month 12 (if BCVA ≤ 20/40 or CFT ≥ 250)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IVTA at month 0 and 4 and sham at month 1, 2, 3, 5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78.6%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IVTA 81.8%</w:t>
            </w:r>
          </w:p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 Sham 80%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GALILEO [2013, 2014, 2014]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anti-VEGF naïve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ETDRS BCVA of 20/40 to 20/320 (73 to 24 letters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≥ 250 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≤ 9 months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week 0-20: IVA q 4 weeks, week 24-48: IVA PRN or sham q 4 weeks, week 52-72: IVA PRN q 8 weeks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week 0-20: Sham q 4 weeks, week 24-48: sham q 4 weeks, week 52-72: IVA PRN q 8 weeks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IVA 90.6%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Sham 78.9%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COPERNICUS [2012, 2013, 2014]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anti-VEGF naïve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ETDRS BCVA of 20/40 to 20/320 (73 to 24 letters) in the study eye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250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≤ 9 months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week 0-24: IVA q 4 weeks, week 24-52: IVA PRN or sham q 4 weeks, week 52-100: IVA PRN or sham q 8 weeks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week 0-24: sham q 4 weeks, week 24-52: IVA PRN or sham q 4 weeks, week 52-100: IVA PRN or sham q 8 weeks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IVA 95.7%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Sham 81.1%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Epstein [2012, 2012]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anti-VEGF naïve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BCVA 15 to 65 ETDRS letters (Snellen equivalent approximately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20/50 to 20/500)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300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≤ 6 months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week 0-20: IVB q 6 weeks, week 24-44: IVB q 6 weeks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week 0-20: sham q 6 weeks, week 24-44: IVB q 6 weeks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100%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Sham 100%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CRUISE [2010, 2011]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Excluded: Prior anti-VEGF treatment in study or fellow eye within 3 months before day 0 or systemic anti-VEGF or pro-VEGF treatment within 6 months before day 0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BCVA using ETDRS charts of 20/40 to 20/320 (Snellen equivalent)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250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≤ 12 months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month 0-5: IVR monthly injection, month 6-11: IVR monthly PRN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month 0-5: IVR monthly injection, month 6-11: IVR monthly PRN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month 0-5: sham monthly injection, month 6-11: 0.5 mg IVR monthly PRN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IVR(0.3) 97.7%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IVR(0.5) 91.5%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Sham 88.5%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ROCC [2010]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anti-VEGF naïve (excluded: Prior treatment of macular disease)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BCVA between ≤ 73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and ≥ 6 letters using an ETDRS chart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have a macular edema verified by OCT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≤ 6 months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IVR monthly injection for 3 months, followed by reinjection if edema presents until month 6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sham monthly injection for 3 months, followed by reinjection if edema presents until month 6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IVR(0.5) 93.8%</w:t>
            </w:r>
          </w:p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Sham 87.5%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Khan et al  [2017]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open-label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anti-VEGF naïve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vision of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LogMAR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0.3 or worse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250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presenting within one month of onset of symptoms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monthly PRN from month 0 to 12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IVB monthly PRN from month 4 to 12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(prompt) 100%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IVB (deferred) 100%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MARVEL [2015]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Excluded: Prior anti-VEGF treatment in the study eye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BCVA of 20/40 to 20/320 (73 to 24 letters)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250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9 months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at baseline, follow by monthly PRN from months 1-6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IVR at baseline, follow by monthly PRN from months 1-6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89.5%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IVR(0.5) 89.2%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Moradian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 [2011]</w:t>
            </w:r>
          </w:p>
        </w:tc>
        <w:tc>
          <w:tcPr>
            <w:tcW w:w="37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--</w:t>
            </w:r>
          </w:p>
        </w:tc>
        <w:tc>
          <w:tcPr>
            <w:tcW w:w="66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BCVA ≤ 20/50  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(excluded: BCVA ≥ 20/40)</w:t>
            </w:r>
          </w:p>
        </w:tc>
        <w:tc>
          <w:tcPr>
            <w:tcW w:w="306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250</w:t>
            </w:r>
          </w:p>
        </w:tc>
        <w:tc>
          <w:tcPr>
            <w:tcW w:w="510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--</w:t>
            </w:r>
          </w:p>
        </w:tc>
        <w:tc>
          <w:tcPr>
            <w:tcW w:w="1429" w:type="pct"/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IVB injection at week 0 and 6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sham injection at week 0 and 6</w:t>
            </w:r>
          </w:p>
        </w:tc>
        <w:tc>
          <w:tcPr>
            <w:tcW w:w="408" w:type="pct"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--</w:t>
            </w:r>
          </w:p>
        </w:tc>
      </w:tr>
      <w:tr w:rsidR="000C16AB" w:rsidRPr="00136D51" w:rsidTr="00136D51">
        <w:trPr>
          <w:trHeight w:val="284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BRAVO [2010, 2011]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double-blinded RCT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Excluded: Prior anti-VEGF treatment in study or fellow eye within 3 months before day 0 or systemic anti-VEGF or pro-VEGF treatment within 6 months before day 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BCVA using ETDRS charts of 20/40 to 20/400 (Snellen equivalent)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 250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≤ 12 months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month 0-5: IVR monthly injection, month 6-11: IVR monthly PRN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month 0-5: IVR monthly injection, month 6-11: IVR monthly PRN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month 0-5: sham monthly injection, month 6-11: 0.5 mg IVR monthly PRN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0C16AB" w:rsidRPr="00136D51" w:rsidRDefault="000C16AB" w:rsidP="00136D5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IVR(0.3) 95.5%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IVR(0.5) 95.4%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Sham 93.2%</w:t>
            </w:r>
          </w:p>
        </w:tc>
      </w:tr>
      <w:tr w:rsidR="000C16AB" w:rsidRPr="00136D51" w:rsidTr="00136D51">
        <w:trPr>
          <w:trHeight w:val="284"/>
        </w:trPr>
        <w:tc>
          <w:tcPr>
            <w:tcW w:w="459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6AB" w:rsidRPr="00136D51" w:rsidRDefault="000C16AB" w:rsidP="00136D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Abbreviations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anti-VEGF, anti-vascular endothelial growth factors; BCVA, best corrected visual acuity; CMT, central macular thickness; RCT, randomized controlled trials;</w:t>
            </w:r>
            <w:r w:rsidRPr="00136D51">
              <w:rPr>
                <w:rFonts w:ascii="Times New Roman" w:hAnsi="Times New Roman" w:cs="Times New Roman"/>
              </w:rPr>
              <w:t xml:space="preserve"> </w:t>
            </w:r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ETDRS, early treatment diabetic retinopathy study; VA, visual acuity; IVB, intravitreal bevacizumab; IVA, intravitreal aflibercept; PRN, pro re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nata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BCVA, best-corrected visual acuity; IVTA, intravitreal triamcinolone acetate; IVR, intravitreal ranibizumab; OCT, optical coherence tomography; </w:t>
            </w: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LogMAR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logarithm of minimum angle of resolution.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AB" w:rsidRPr="00136D51" w:rsidRDefault="000C16AB" w:rsidP="00136D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</w:pP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  <w:sectPr w:rsidR="000C16AB" w:rsidRPr="00136D51" w:rsidSect="006010F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C16AB" w:rsidRPr="00136D51" w:rsidRDefault="00136D51" w:rsidP="00136D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530EE">
        <w:rPr>
          <w:rFonts w:ascii="Times New Roman" w:hAnsi="Times New Roman" w:cs="Times New Roman"/>
          <w:b/>
          <w:bCs/>
        </w:rPr>
        <w:t>S</w:t>
      </w:r>
      <w:r w:rsidR="000C16AB" w:rsidRPr="00136D51">
        <w:rPr>
          <w:rFonts w:ascii="Times New Roman" w:hAnsi="Times New Roman" w:cs="Times New Roman"/>
          <w:b/>
          <w:bCs/>
        </w:rPr>
        <w:t xml:space="preserve">4. </w:t>
      </w:r>
      <w:r w:rsidR="000C16AB" w:rsidRPr="00136D51">
        <w:rPr>
          <w:rFonts w:ascii="Times New Roman" w:hAnsi="Times New Roman" w:cs="Times New Roman"/>
        </w:rPr>
        <w:t>Authors' judgments about each risk of bias domain for each included study using the Risk of bias 2.0 assessment</w:t>
      </w:r>
      <w:r>
        <w:rPr>
          <w:rFonts w:ascii="Times New Roman" w:hAnsi="Times New Roman" w:cs="Times New Roman"/>
        </w:rPr>
        <w:t>.</w:t>
      </w:r>
    </w:p>
    <w:tbl>
      <w:tblPr>
        <w:tblW w:w="12186" w:type="dxa"/>
        <w:tblLayout w:type="fixed"/>
        <w:tblLook w:val="04A0" w:firstRow="1" w:lastRow="0" w:firstColumn="1" w:lastColumn="0" w:noHBand="0" w:noVBand="1"/>
      </w:tblPr>
      <w:tblGrid>
        <w:gridCol w:w="2405"/>
        <w:gridCol w:w="1650"/>
        <w:gridCol w:w="1626"/>
        <w:gridCol w:w="1626"/>
        <w:gridCol w:w="1626"/>
        <w:gridCol w:w="1626"/>
        <w:gridCol w:w="1627"/>
      </w:tblGrid>
      <w:tr w:rsidR="000C16AB" w:rsidRPr="00136D51" w:rsidTr="00950AAF">
        <w:trPr>
          <w:trHeight w:val="8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Study ID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Randomization process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Deviations from intended interventions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Missing outcome data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Measurement of the outcome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Selection of the reported result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Overall Bias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SCORE2 (2017)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Low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/>
              </w:rPr>
              <w:t>Lucatto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/>
              </w:rPr>
              <w:t xml:space="preserve"> et al (2017)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Low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GALILEO (2013)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Low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COPERNICUS (2012)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Low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Epstein et al (2012)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Low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CRUISE (2010)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Low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ROCC (2010)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hAnsi="Times New Roman" w:cs="Times New Roman"/>
                <w:color w:val="000000" w:themeColor="text1"/>
              </w:rPr>
              <w:t>Some concerns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Some concerns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Khan et al (2017)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High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High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High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MARVEL (2015)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Some concerns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D51">
              <w:rPr>
                <w:rFonts w:ascii="Times New Roman" w:eastAsia="Times New Roman" w:hAnsi="Times New Roman" w:cs="Times New Roman"/>
                <w:color w:val="000000"/>
              </w:rPr>
              <w:t>Moradian</w:t>
            </w:r>
            <w:proofErr w:type="spellEnd"/>
            <w:r w:rsidRPr="00136D51">
              <w:rPr>
                <w:rFonts w:ascii="Times New Roman" w:eastAsia="Times New Roman" w:hAnsi="Times New Roman" w:cs="Times New Roman"/>
                <w:color w:val="000000"/>
              </w:rPr>
              <w:t xml:space="preserve"> et al (2011)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Some concerns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Some concerns</w:t>
            </w:r>
          </w:p>
        </w:tc>
      </w:tr>
      <w:tr w:rsidR="000C16AB" w:rsidRPr="00136D51" w:rsidTr="00950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BRAVO (2010)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C16AB" w:rsidRPr="00950AAF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A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Low</w:t>
            </w:r>
          </w:p>
        </w:tc>
      </w:tr>
    </w:tbl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</w:pP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</w:pP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  <w:sectPr w:rsidR="000C16AB" w:rsidRPr="00136D51" w:rsidSect="006010F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E2E29" w:rsidRDefault="00CE2E29" w:rsidP="00136D51">
      <w:pPr>
        <w:rPr>
          <w:rFonts w:ascii="Times New Roman" w:hAnsi="Times New Roman" w:cs="Times New Roman"/>
          <w:b/>
          <w:bCs/>
        </w:rPr>
      </w:pPr>
      <w:r w:rsidRPr="00490C83">
        <w:rPr>
          <w:rFonts w:ascii="Times New Roman" w:hAnsi="Times New Roman" w:cs="Times New Roman"/>
          <w:b/>
          <w:bCs/>
        </w:rPr>
        <w:lastRenderedPageBreak/>
        <w:t>Table S</w:t>
      </w:r>
      <w:r w:rsidR="00500849">
        <w:rPr>
          <w:rFonts w:ascii="Times New Roman" w:hAnsi="Times New Roman" w:cs="Times New Roman"/>
          <w:b/>
          <w:bCs/>
        </w:rPr>
        <w:t>5</w:t>
      </w:r>
      <w:r w:rsidRPr="00490C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713563">
        <w:rPr>
          <w:rFonts w:ascii="Times New Roman" w:hAnsi="Times New Roman" w:cs="Times New Roman"/>
        </w:rPr>
        <w:t>The number needed to treat</w:t>
      </w:r>
      <w:r>
        <w:rPr>
          <w:rFonts w:ascii="Times New Roman" w:hAnsi="Times New Roman" w:cs="Times New Roman"/>
        </w:rPr>
        <w:t xml:space="preserve"> for </w:t>
      </w:r>
      <w:r w:rsidRPr="00AD04CA">
        <w:rPr>
          <w:rFonts w:ascii="Times New Roman" w:hAnsi="Times New Roman" w:cs="Times New Roman"/>
        </w:rPr>
        <w:t>gaining at</w:t>
      </w:r>
      <w:r>
        <w:rPr>
          <w:rFonts w:ascii="Times New Roman" w:hAnsi="Times New Roman" w:cs="Times New Roman"/>
        </w:rPr>
        <w:t xml:space="preserve"> least 15 letters after 6 months of follow-up</w:t>
      </w:r>
      <w:r w:rsidR="00716D9D">
        <w:rPr>
          <w:rFonts w:ascii="Times New Roman" w:hAnsi="Times New Roman" w:cs="Times New Roman"/>
        </w:rPr>
        <w:t>.</w:t>
      </w:r>
    </w:p>
    <w:tbl>
      <w:tblPr>
        <w:tblW w:w="4376" w:type="pct"/>
        <w:tblCellMar>
          <w:left w:w="57" w:type="dxa"/>
          <w:right w:w="170" w:type="dxa"/>
        </w:tblCellMar>
        <w:tblLook w:val="04A0" w:firstRow="1" w:lastRow="0" w:firstColumn="1" w:lastColumn="0" w:noHBand="0" w:noVBand="1"/>
      </w:tblPr>
      <w:tblGrid>
        <w:gridCol w:w="2264"/>
        <w:gridCol w:w="1129"/>
        <w:gridCol w:w="1176"/>
        <w:gridCol w:w="1224"/>
        <w:gridCol w:w="1016"/>
        <w:gridCol w:w="1129"/>
      </w:tblGrid>
      <w:tr w:rsidR="00690EF9" w:rsidRPr="00690EF9" w:rsidTr="00690EF9">
        <w:trPr>
          <w:trHeight w:val="510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Intervention 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(reference) [n/N]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Comparator [n/N]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EF9" w:rsidRDefault="00690EF9" w:rsidP="00690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NNT </w:t>
            </w:r>
          </w:p>
          <w:p w:rsidR="00690EF9" w:rsidRPr="00690EF9" w:rsidRDefault="00690EF9" w:rsidP="00690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benefit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440A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SCORE2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IVB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[106/182]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[114/180]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440A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GALILEO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, 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, 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Sham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[15/68]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[62/104]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440A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COPERNICUS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6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, 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7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, 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8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Sham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[9/73]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[64/114]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Epstein et al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[32, 33]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Sham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[6/30]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[18/30]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440A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CRUISE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, 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5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Sham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[22/130]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[62/130]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Sham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[22/130]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[61/132]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IVR(0.3)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[61/132]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[62/130]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MARVEL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[31]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IVB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[22/38]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[22/37]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F9" w:rsidRPr="00690EF9" w:rsidRDefault="00690EF9" w:rsidP="00440A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BRAVO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[2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9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 xml:space="preserve">, </w:t>
            </w:r>
            <w:r w:rsidR="00440A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Sham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[38/132]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[80/131]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Sham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[38/132]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[74/134]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90EF9" w:rsidRPr="00690EF9" w:rsidTr="00690EF9">
        <w:trPr>
          <w:trHeight w:val="345"/>
        </w:trPr>
        <w:tc>
          <w:tcPr>
            <w:tcW w:w="14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IVR(0.3)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[74/134]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IVR(0.5)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[80/131]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690EF9" w:rsidRPr="00690EF9" w:rsidTr="00690EF9">
        <w:trPr>
          <w:trHeight w:val="169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F9" w:rsidRPr="00690EF9" w:rsidRDefault="00690EF9" w:rsidP="00690E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Abbreviations</w:t>
            </w:r>
            <w:r w:rsidRPr="00690EF9">
              <w:rPr>
                <w:rFonts w:ascii="Times New Roman" w:eastAsia="Times New Roman" w:hAnsi="Times New Roman" w:cs="Times New Roman"/>
                <w:color w:val="000000"/>
              </w:rPr>
              <w:t xml:space="preserve">: n, number of patients who gained at least 15 ETDRS letters after 6 months of follow-up; N, total number of patients; NNT, Number needed to treat; IVB, intravitreal bevacizumab; IVA, intravitreal aflibercept; IVR(0.5), intravitreal ranibizumab 0.5 mg; IVR(0.3), intravitreal ranibizumab 0.3 mg. </w:t>
            </w:r>
            <w:proofErr w:type="spellStart"/>
            <w:r w:rsidRPr="00690E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690EF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690EF9">
              <w:rPr>
                <w:rFonts w:ascii="Times New Roman" w:eastAsia="Times New Roman" w:hAnsi="Times New Roman" w:cs="Times New Roman"/>
                <w:color w:val="000000"/>
              </w:rPr>
              <w:t>The proportions of patients who gained at least 15 RTDRS letters between groups were statistically significant difference.</w:t>
            </w:r>
          </w:p>
        </w:tc>
      </w:tr>
    </w:tbl>
    <w:p w:rsidR="00CE2E29" w:rsidRDefault="00CE2E29" w:rsidP="00136D51">
      <w:pPr>
        <w:rPr>
          <w:rFonts w:ascii="Times New Roman" w:hAnsi="Times New Roman" w:cs="Times New Roman"/>
          <w:b/>
          <w:bCs/>
        </w:rPr>
        <w:sectPr w:rsidR="00CE2E29" w:rsidSect="00690EF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16AB" w:rsidRPr="00136D51" w:rsidRDefault="000C16AB" w:rsidP="00136D51">
      <w:pPr>
        <w:rPr>
          <w:rFonts w:ascii="Times New Roman" w:hAnsi="Times New Roman" w:cs="Times New Roman"/>
        </w:rPr>
      </w:pPr>
      <w:r w:rsidRPr="00136D51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CE2E29">
        <w:rPr>
          <w:rFonts w:ascii="Times New Roman" w:hAnsi="Times New Roman" w:cs="Times New Roman"/>
          <w:b/>
          <w:bCs/>
        </w:rPr>
        <w:t>S6</w:t>
      </w:r>
      <w:r w:rsidRPr="00136D51">
        <w:rPr>
          <w:rFonts w:ascii="Times New Roman" w:hAnsi="Times New Roman" w:cs="Times New Roman"/>
          <w:b/>
          <w:bCs/>
        </w:rPr>
        <w:t xml:space="preserve">. </w:t>
      </w:r>
      <w:r w:rsidRPr="00136D51">
        <w:rPr>
          <w:rFonts w:ascii="Times New Roman" w:hAnsi="Times New Roman" w:cs="Times New Roman"/>
        </w:rPr>
        <w:t>Node-splitting to assess consistency between direct and indirect evidence</w:t>
      </w:r>
      <w:r w:rsidR="00136D51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1"/>
        <w:gridCol w:w="1605"/>
        <w:gridCol w:w="1140"/>
        <w:gridCol w:w="1322"/>
        <w:gridCol w:w="300"/>
        <w:gridCol w:w="1355"/>
        <w:gridCol w:w="1204"/>
        <w:gridCol w:w="300"/>
        <w:gridCol w:w="1355"/>
        <w:gridCol w:w="1355"/>
        <w:gridCol w:w="1355"/>
      </w:tblGrid>
      <w:tr w:rsidR="000C16AB" w:rsidRPr="00136D51" w:rsidTr="00136D51">
        <w:trPr>
          <w:trHeight w:val="495"/>
        </w:trPr>
        <w:tc>
          <w:tcPr>
            <w:tcW w:w="96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C16AB" w:rsidRPr="00136D51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Outcomes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Comparison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16AB" w:rsidRPr="00136D51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Direct evidence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Indirect evidence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16AB" w:rsidRPr="00136D51" w:rsidRDefault="000C16AB" w:rsidP="00136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Difference between</w:t>
            </w: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direct and indirect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Coef.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Coef.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Coef.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A) Proportion of patients gained ≥ 15 letters at 6 months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IVA vs Sham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-1.19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-0.99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0.534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IVA vs IVB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0.535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IVB vs Sham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-1.10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-0.97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0.775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IVB vs IVR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IVR vs Sham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-1.12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B) Mean change in BCVA at 6 months from baseline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IVA vs Sham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-17.71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-12.70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4.78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-5.01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0.345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IVA vs IVB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-5.28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5.01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0.345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IVB vs Sham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-16.10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-14.49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IVB vs IVR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-4.54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3.56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0.198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IVR vs Sham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-12.51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-19.55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0.198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C) Mean change in CMT at 6 months from baseline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IVA vs Sham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295.77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119.06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421.65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212.76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-125.88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243.81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0.606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IVA vs IVB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38.00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166.05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-88.06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178.57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126.06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243.85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0.605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IVB vs Sham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324.00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181.13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361.00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147.81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-37.00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233.78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0.874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IVB vs IVR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24.58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169.82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-143.69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159.61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168.27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233.06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0.470</w:t>
            </w:r>
          </w:p>
        </w:tc>
      </w:tr>
      <w:tr w:rsidR="000C16AB" w:rsidRPr="00136D51" w:rsidTr="00136D51">
        <w:trPr>
          <w:trHeight w:val="285"/>
        </w:trPr>
        <w:tc>
          <w:tcPr>
            <w:tcW w:w="9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IVR vs Sham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439.16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95.08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270.80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212.68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168.36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233.02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6AB" w:rsidRPr="00136D51" w:rsidRDefault="000C16AB" w:rsidP="00136D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D51">
              <w:rPr>
                <w:rFonts w:ascii="Times New Roman" w:eastAsia="Times New Roman" w:hAnsi="Times New Roman" w:cs="Times New Roman"/>
                <w:color w:val="000000"/>
              </w:rPr>
              <w:t>0.470</w:t>
            </w:r>
          </w:p>
        </w:tc>
      </w:tr>
    </w:tbl>
    <w:p w:rsidR="000C16AB" w:rsidRPr="00136D51" w:rsidRDefault="000C16AB" w:rsidP="00136D51">
      <w:pPr>
        <w:spacing w:line="360" w:lineRule="auto"/>
        <w:rPr>
          <w:rFonts w:ascii="Times New Roman" w:hAnsi="Times New Roman" w:cs="Times New Roman"/>
          <w:b/>
          <w:bCs/>
        </w:rPr>
      </w:pPr>
      <w:r w:rsidRPr="00136D5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Abbreviations</w:t>
      </w:r>
      <w:r w:rsidRPr="00136D51">
        <w:rPr>
          <w:rFonts w:ascii="Times New Roman" w:eastAsia="Times New Roman" w:hAnsi="Times New Roman" w:cs="Times New Roman"/>
          <w:color w:val="000000"/>
          <w:sz w:val="16"/>
          <w:szCs w:val="16"/>
        </w:rPr>
        <w:t>: BCVA, best-corrected visual acuity; CMT, central macular thickness; IVA, intravitreal aflibercept; IVB, intravitreal bevacizumab; IVR, intravitreal ranibizumab; Sham, Sham injection; vs, versus; Coef., coefficient; SE, standard error.</w:t>
      </w: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</w:pP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  <w:sectPr w:rsidR="000C16AB" w:rsidRPr="00136D51" w:rsidSect="006010F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</w:pPr>
      <w:r w:rsidRPr="00136D51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5B257489" wp14:editId="01FB0269">
            <wp:extent cx="5688000" cy="3921550"/>
            <wp:effectExtent l="0" t="0" r="825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" t="1612" r="1591" b="2959"/>
                    <a:stretch/>
                  </pic:blipFill>
                  <pic:spPr bwMode="auto">
                    <a:xfrm>
                      <a:off x="0" y="0"/>
                      <a:ext cx="5688000" cy="39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6AB" w:rsidRPr="00136D51" w:rsidRDefault="000C16AB" w:rsidP="00136D51">
      <w:pPr>
        <w:rPr>
          <w:rFonts w:ascii="Times New Roman" w:hAnsi="Times New Roman" w:cs="Times New Roman"/>
          <w:b/>
          <w:bCs/>
        </w:rPr>
        <w:sectPr w:rsidR="000C16AB" w:rsidRPr="00136D51" w:rsidSect="006010F6"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  <w:r w:rsidRPr="00136D51">
        <w:rPr>
          <w:rFonts w:ascii="Times New Roman" w:hAnsi="Times New Roman" w:cs="Times New Roman"/>
          <w:b/>
          <w:bCs/>
        </w:rPr>
        <w:t>Fig</w:t>
      </w:r>
      <w:r w:rsidR="00136D51">
        <w:rPr>
          <w:rFonts w:ascii="Times New Roman" w:hAnsi="Times New Roman" w:cs="Times New Roman"/>
          <w:b/>
          <w:bCs/>
        </w:rPr>
        <w:t xml:space="preserve">ure </w:t>
      </w:r>
      <w:r w:rsidR="007530EE">
        <w:rPr>
          <w:rFonts w:ascii="Times New Roman" w:hAnsi="Times New Roman" w:cs="Times New Roman"/>
          <w:b/>
          <w:bCs/>
        </w:rPr>
        <w:t>S</w:t>
      </w:r>
      <w:r w:rsidRPr="00136D51">
        <w:rPr>
          <w:rFonts w:ascii="Times New Roman" w:hAnsi="Times New Roman" w:cs="Times New Roman"/>
          <w:b/>
          <w:bCs/>
        </w:rPr>
        <w:t xml:space="preserve">1. </w:t>
      </w:r>
      <w:r w:rsidRPr="00136D51">
        <w:rPr>
          <w:rFonts w:ascii="Times New Roman" w:hAnsi="Times New Roman" w:cs="Times New Roman"/>
        </w:rPr>
        <w:t>Network forest plot summarizing effect size by study and by treatment</w:t>
      </w:r>
      <w:r w:rsidR="00136D51">
        <w:rPr>
          <w:rFonts w:ascii="Times New Roman" w:hAnsi="Times New Roman" w:cs="Times New Roman"/>
          <w:b/>
          <w:bCs/>
        </w:rPr>
        <w:t>.</w:t>
      </w:r>
    </w:p>
    <w:p w:rsidR="000C16AB" w:rsidRPr="00136D51" w:rsidRDefault="000C16AB" w:rsidP="00136D51">
      <w:pPr>
        <w:rPr>
          <w:rFonts w:ascii="Times New Roman" w:hAnsi="Times New Roman" w:cs="Times New Roman"/>
        </w:rPr>
      </w:pPr>
      <w:r w:rsidRPr="00136D5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35C6182" wp14:editId="7BB8B7E9">
            <wp:extent cx="5724000" cy="2442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" t="2338" r="1007" b="2922"/>
                    <a:stretch/>
                  </pic:blipFill>
                  <pic:spPr bwMode="auto">
                    <a:xfrm>
                      <a:off x="0" y="0"/>
                      <a:ext cx="5739060" cy="24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6AB" w:rsidRPr="00136D51" w:rsidRDefault="000C16AB" w:rsidP="00136D51">
      <w:pPr>
        <w:rPr>
          <w:rFonts w:ascii="Times New Roman" w:hAnsi="Times New Roman" w:cs="Times New Roman"/>
        </w:rPr>
      </w:pPr>
      <w:r w:rsidRPr="00136D51">
        <w:rPr>
          <w:rFonts w:ascii="Times New Roman" w:hAnsi="Times New Roman" w:cs="Times New Roman"/>
          <w:b/>
          <w:bCs/>
        </w:rPr>
        <w:t>Fig</w:t>
      </w:r>
      <w:r w:rsidR="00136D51">
        <w:rPr>
          <w:rFonts w:ascii="Times New Roman" w:hAnsi="Times New Roman" w:cs="Times New Roman"/>
          <w:b/>
          <w:bCs/>
        </w:rPr>
        <w:t xml:space="preserve">ure </w:t>
      </w:r>
      <w:r w:rsidR="007530EE">
        <w:rPr>
          <w:rFonts w:ascii="Times New Roman" w:hAnsi="Times New Roman" w:cs="Times New Roman"/>
          <w:b/>
          <w:bCs/>
        </w:rPr>
        <w:t>S</w:t>
      </w:r>
      <w:r w:rsidRPr="00136D51">
        <w:rPr>
          <w:rFonts w:ascii="Times New Roman" w:hAnsi="Times New Roman" w:cs="Times New Roman"/>
          <w:b/>
          <w:bCs/>
        </w:rPr>
        <w:t>2.</w:t>
      </w:r>
      <w:r w:rsidRPr="00136D51">
        <w:rPr>
          <w:rFonts w:ascii="Times New Roman" w:hAnsi="Times New Roman" w:cs="Times New Roman"/>
        </w:rPr>
        <w:t xml:space="preserve"> Interval plot illustrating effect size and 95% confidence interval of efficacy outcomes</w:t>
      </w:r>
      <w:r w:rsidR="00136D51">
        <w:rPr>
          <w:rFonts w:ascii="Times New Roman" w:hAnsi="Times New Roman" w:cs="Times New Roman"/>
        </w:rPr>
        <w:t>.</w:t>
      </w:r>
    </w:p>
    <w:p w:rsidR="000C16AB" w:rsidRPr="00136D51" w:rsidRDefault="000C16AB" w:rsidP="00136D51">
      <w:pPr>
        <w:rPr>
          <w:rFonts w:ascii="Times New Roman" w:hAnsi="Times New Roman" w:cs="Times New Roman"/>
        </w:rPr>
        <w:sectPr w:rsidR="000C16AB" w:rsidRPr="00136D51" w:rsidSect="006010F6"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</w:p>
    <w:p w:rsidR="000C16AB" w:rsidRPr="00136D51" w:rsidRDefault="000C16AB" w:rsidP="00136D51">
      <w:pPr>
        <w:rPr>
          <w:rFonts w:ascii="Times New Roman" w:hAnsi="Times New Roman" w:cs="Times New Roman"/>
        </w:rPr>
      </w:pPr>
      <w:r w:rsidRPr="00136D5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CADF0B5" wp14:editId="16B51971">
            <wp:extent cx="5688000" cy="2328888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8787" r="951" b="5715"/>
                    <a:stretch/>
                  </pic:blipFill>
                  <pic:spPr bwMode="auto">
                    <a:xfrm>
                      <a:off x="0" y="0"/>
                      <a:ext cx="5688000" cy="23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6AB" w:rsidRPr="00136D51" w:rsidRDefault="000C16AB" w:rsidP="00136D51">
      <w:pPr>
        <w:rPr>
          <w:rFonts w:ascii="Times New Roman" w:hAnsi="Times New Roman" w:cs="Times New Roman"/>
          <w:bCs/>
        </w:rPr>
      </w:pPr>
      <w:r w:rsidRPr="00136D51">
        <w:rPr>
          <w:rFonts w:ascii="Times New Roman" w:hAnsi="Times New Roman" w:cs="Times New Roman"/>
          <w:b/>
          <w:bCs/>
        </w:rPr>
        <w:t>Fig</w:t>
      </w:r>
      <w:r w:rsidR="00136D51">
        <w:rPr>
          <w:rFonts w:ascii="Times New Roman" w:hAnsi="Times New Roman" w:cs="Times New Roman"/>
          <w:b/>
          <w:bCs/>
        </w:rPr>
        <w:t xml:space="preserve">ure </w:t>
      </w:r>
      <w:r w:rsidR="007530EE">
        <w:rPr>
          <w:rFonts w:ascii="Times New Roman" w:hAnsi="Times New Roman" w:cs="Times New Roman"/>
          <w:b/>
          <w:bCs/>
        </w:rPr>
        <w:t>S</w:t>
      </w:r>
      <w:r w:rsidRPr="00136D51">
        <w:rPr>
          <w:rFonts w:ascii="Times New Roman" w:hAnsi="Times New Roman" w:cs="Times New Roman"/>
          <w:b/>
          <w:bCs/>
        </w:rPr>
        <w:t>3.</w:t>
      </w:r>
      <w:r w:rsidRPr="00136D51">
        <w:rPr>
          <w:rFonts w:ascii="Times New Roman" w:hAnsi="Times New Roman" w:cs="Times New Roman"/>
        </w:rPr>
        <w:t xml:space="preserve"> Funnel plots to check for publicatio</w:t>
      </w:r>
      <w:r w:rsidR="00136D51">
        <w:rPr>
          <w:rFonts w:ascii="Times New Roman" w:hAnsi="Times New Roman" w:cs="Times New Roman"/>
        </w:rPr>
        <w:t>n bias in network meta-analysis.</w:t>
      </w:r>
    </w:p>
    <w:p w:rsidR="00721ADA" w:rsidRPr="00136D51" w:rsidRDefault="00721ADA">
      <w:pPr>
        <w:rPr>
          <w:rFonts w:ascii="Times New Roman" w:hAnsi="Times New Roman" w:cs="Times New Roman"/>
        </w:rPr>
      </w:pPr>
    </w:p>
    <w:sectPr w:rsidR="00721ADA" w:rsidRPr="00136D51" w:rsidSect="006010F6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6F" w:rsidRDefault="007D7E6F">
      <w:pPr>
        <w:spacing w:line="240" w:lineRule="auto"/>
      </w:pPr>
      <w:r>
        <w:separator/>
      </w:r>
    </w:p>
  </w:endnote>
  <w:endnote w:type="continuationSeparator" w:id="0">
    <w:p w:rsidR="007D7E6F" w:rsidRDefault="007D7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60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95A" w:rsidRDefault="00045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595A" w:rsidRDefault="00045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6F" w:rsidRDefault="007D7E6F">
      <w:pPr>
        <w:spacing w:line="240" w:lineRule="auto"/>
      </w:pPr>
      <w:r>
        <w:separator/>
      </w:r>
    </w:p>
  </w:footnote>
  <w:footnote w:type="continuationSeparator" w:id="0">
    <w:p w:rsidR="007D7E6F" w:rsidRDefault="007D7E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EF"/>
    <w:multiLevelType w:val="hybridMultilevel"/>
    <w:tmpl w:val="98EA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530"/>
    <w:multiLevelType w:val="hybridMultilevel"/>
    <w:tmpl w:val="1FFC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E32"/>
    <w:multiLevelType w:val="hybridMultilevel"/>
    <w:tmpl w:val="2CFC4A5A"/>
    <w:lvl w:ilvl="0" w:tplc="A0186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94E"/>
    <w:multiLevelType w:val="hybridMultilevel"/>
    <w:tmpl w:val="1494D964"/>
    <w:lvl w:ilvl="0" w:tplc="1AEAC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E1342"/>
    <w:multiLevelType w:val="hybridMultilevel"/>
    <w:tmpl w:val="E59E9EDC"/>
    <w:lvl w:ilvl="0" w:tplc="1AEAC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E3153"/>
    <w:multiLevelType w:val="hybridMultilevel"/>
    <w:tmpl w:val="0768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7BF0"/>
    <w:multiLevelType w:val="hybridMultilevel"/>
    <w:tmpl w:val="D84E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D74"/>
    <w:multiLevelType w:val="hybridMultilevel"/>
    <w:tmpl w:val="5E5C5D08"/>
    <w:lvl w:ilvl="0" w:tplc="1AEAC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F5A66"/>
    <w:multiLevelType w:val="hybridMultilevel"/>
    <w:tmpl w:val="9052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375"/>
    <w:multiLevelType w:val="hybridMultilevel"/>
    <w:tmpl w:val="9C1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02D2"/>
    <w:multiLevelType w:val="hybridMultilevel"/>
    <w:tmpl w:val="BF8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04F0B"/>
    <w:multiLevelType w:val="hybridMultilevel"/>
    <w:tmpl w:val="4EDA5746"/>
    <w:lvl w:ilvl="0" w:tplc="A0186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C16AB"/>
    <w:rsid w:val="0004595A"/>
    <w:rsid w:val="000A2035"/>
    <w:rsid w:val="000C16AB"/>
    <w:rsid w:val="000C1ADA"/>
    <w:rsid w:val="00136D51"/>
    <w:rsid w:val="001F26E6"/>
    <w:rsid w:val="00236679"/>
    <w:rsid w:val="003410E1"/>
    <w:rsid w:val="00440AF0"/>
    <w:rsid w:val="0044233B"/>
    <w:rsid w:val="004562E9"/>
    <w:rsid w:val="00500849"/>
    <w:rsid w:val="006010F6"/>
    <w:rsid w:val="00690EF9"/>
    <w:rsid w:val="006B0A87"/>
    <w:rsid w:val="00716D9D"/>
    <w:rsid w:val="00721ADA"/>
    <w:rsid w:val="007530EE"/>
    <w:rsid w:val="00774FD7"/>
    <w:rsid w:val="007D7E6F"/>
    <w:rsid w:val="00824CE8"/>
    <w:rsid w:val="00925D94"/>
    <w:rsid w:val="00950AAF"/>
    <w:rsid w:val="009C5B70"/>
    <w:rsid w:val="00AD170B"/>
    <w:rsid w:val="00C66EF7"/>
    <w:rsid w:val="00CE2E29"/>
    <w:rsid w:val="00D256BD"/>
    <w:rsid w:val="00F7607D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7452-E6D3-4E9F-8178-03D00919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6AB"/>
    <w:pPr>
      <w:spacing w:after="0" w:line="480" w:lineRule="auto"/>
      <w:jc w:val="both"/>
    </w:pPr>
    <w:rPr>
      <w:rFonts w:ascii="Arial" w:hAnsi="Arial" w:cs="Arial Unicode M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6AB"/>
    <w:pPr>
      <w:keepNext/>
      <w:keepLines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6AB"/>
    <w:pPr>
      <w:keepNext/>
      <w:keepLines/>
      <w:outlineLvl w:val="1"/>
    </w:pPr>
    <w:rPr>
      <w:rFonts w:eastAsiaTheme="majorEastAsia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6AB"/>
    <w:rPr>
      <w:rFonts w:ascii="Arial" w:eastAsiaTheme="majorEastAsia" w:hAnsi="Arial" w:cs="Arial Unicode M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C16AB"/>
    <w:rPr>
      <w:rFonts w:ascii="Arial" w:eastAsiaTheme="majorEastAsia" w:hAnsi="Arial" w:cs="Arial Unicode M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6A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0C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6A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16AB"/>
    <w:rPr>
      <w:b/>
      <w:bCs/>
    </w:rPr>
  </w:style>
  <w:style w:type="paragraph" w:customStyle="1" w:styleId="p">
    <w:name w:val="p"/>
    <w:basedOn w:val="Normal"/>
    <w:rsid w:val="000C1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0C16AB"/>
  </w:style>
  <w:style w:type="character" w:customStyle="1" w:styleId="mo">
    <w:name w:val="mo"/>
    <w:basedOn w:val="DefaultParagraphFont"/>
    <w:rsid w:val="000C16AB"/>
  </w:style>
  <w:style w:type="character" w:customStyle="1" w:styleId="mn">
    <w:name w:val="mn"/>
    <w:basedOn w:val="DefaultParagraphFont"/>
    <w:rsid w:val="000C16AB"/>
  </w:style>
  <w:style w:type="character" w:styleId="Emphasis">
    <w:name w:val="Emphasis"/>
    <w:basedOn w:val="DefaultParagraphFont"/>
    <w:uiPriority w:val="20"/>
    <w:qFormat/>
    <w:rsid w:val="000C16AB"/>
    <w:rPr>
      <w:i/>
      <w:iCs/>
    </w:rPr>
  </w:style>
  <w:style w:type="paragraph" w:customStyle="1" w:styleId="fixedtext">
    <w:name w:val="fixedtext"/>
    <w:basedOn w:val="Normal"/>
    <w:rsid w:val="000C1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xedtext1">
    <w:name w:val="fixedtext1"/>
    <w:basedOn w:val="DefaultParagraphFont"/>
    <w:rsid w:val="000C16AB"/>
  </w:style>
  <w:style w:type="character" w:styleId="CommentReference">
    <w:name w:val="annotation reference"/>
    <w:basedOn w:val="DefaultParagraphFont"/>
    <w:uiPriority w:val="99"/>
    <w:semiHidden/>
    <w:unhideWhenUsed/>
    <w:rsid w:val="000C1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AB"/>
    <w:pPr>
      <w:spacing w:after="160"/>
    </w:pPr>
    <w:rPr>
      <w:rFonts w:asciiTheme="minorHAnsi" w:hAnsiTheme="minorHAnsi" w:cstheme="minorBidi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AB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AB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AB"/>
    <w:rPr>
      <w:rFonts w:ascii="Segoe UI" w:hAnsi="Segoe UI" w:cs="Angsana New"/>
      <w:sz w:val="18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C16AB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16AB"/>
    <w:rPr>
      <w:rFonts w:ascii="Arial" w:hAnsi="Arial" w:cs="Arial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C16AB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16AB"/>
    <w:rPr>
      <w:rFonts w:ascii="Arial" w:hAnsi="Arial" w:cs="Arial"/>
      <w:noProof/>
      <w:sz w:val="20"/>
      <w:szCs w:val="20"/>
    </w:rPr>
  </w:style>
  <w:style w:type="paragraph" w:customStyle="1" w:styleId="Default">
    <w:name w:val="Default"/>
    <w:rsid w:val="000C1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AB"/>
    <w:pPr>
      <w:spacing w:after="0" w:line="240" w:lineRule="auto"/>
    </w:pPr>
    <w:rPr>
      <w:rFonts w:ascii="Arial" w:hAnsi="Arial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AB"/>
    <w:rPr>
      <w:rFonts w:ascii="Arial" w:hAnsi="Arial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0C16AB"/>
    <w:pPr>
      <w:tabs>
        <w:tab w:val="center" w:pos="4513"/>
        <w:tab w:val="right" w:pos="9026"/>
      </w:tabs>
      <w:spacing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C16AB"/>
    <w:rPr>
      <w:rFonts w:ascii="Arial" w:hAnsi="Arial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0C16AB"/>
    <w:pPr>
      <w:tabs>
        <w:tab w:val="center" w:pos="4513"/>
        <w:tab w:val="right" w:pos="9026"/>
      </w:tabs>
      <w:spacing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C16AB"/>
    <w:rPr>
      <w:rFonts w:ascii="Arial" w:hAnsi="Arial" w:cs="Angsana New"/>
      <w:sz w:val="20"/>
      <w:szCs w:val="25"/>
    </w:rPr>
  </w:style>
  <w:style w:type="paragraph" w:styleId="Revision">
    <w:name w:val="Revision"/>
    <w:hidden/>
    <w:uiPriority w:val="99"/>
    <w:semiHidden/>
    <w:rsid w:val="000C16AB"/>
    <w:pPr>
      <w:spacing w:after="0" w:line="240" w:lineRule="auto"/>
    </w:pPr>
    <w:rPr>
      <w:rFonts w:ascii="Arial" w:hAnsi="Arial" w:cs="Angsana New"/>
      <w:sz w:val="20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0C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8941-7E42-4717-8B63-C4D7317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Sangroongruangsri</dc:creator>
  <cp:keywords/>
  <dc:description/>
  <cp:lastModifiedBy>Nagda, Priti</cp:lastModifiedBy>
  <cp:revision>2</cp:revision>
  <dcterms:created xsi:type="dcterms:W3CDTF">2018-07-30T11:29:00Z</dcterms:created>
  <dcterms:modified xsi:type="dcterms:W3CDTF">2018-07-30T11:29:00Z</dcterms:modified>
</cp:coreProperties>
</file>