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09" w:rsidRPr="00813C09" w:rsidRDefault="00813C09" w:rsidP="00813C09">
      <w:pPr>
        <w:widowControl w:val="0"/>
        <w:autoSpaceDE w:val="0"/>
        <w:autoSpaceDN w:val="0"/>
        <w:adjustRightInd w:val="0"/>
        <w:rPr>
          <w:rFonts w:ascii="Times New Roman" w:hAnsi="Times New Roman" w:cs="Times New Roman"/>
          <w:b/>
        </w:rPr>
      </w:pPr>
      <w:bookmarkStart w:id="0" w:name="_GoBack"/>
      <w:bookmarkEnd w:id="0"/>
      <w:r w:rsidRPr="00813C09">
        <w:rPr>
          <w:rFonts w:ascii="Times New Roman" w:hAnsi="Times New Roman" w:cs="Times New Roman"/>
          <w:b/>
        </w:rPr>
        <w:t>Supplemental Material</w:t>
      </w:r>
    </w:p>
    <w:p w:rsidR="00813C09" w:rsidRDefault="00813C09" w:rsidP="00813C09">
      <w:pPr>
        <w:widowControl w:val="0"/>
        <w:autoSpaceDE w:val="0"/>
        <w:autoSpaceDN w:val="0"/>
        <w:adjustRightInd w:val="0"/>
        <w:ind w:left="480" w:hanging="480"/>
        <w:rPr>
          <w:rFonts w:ascii="Times New Roman" w:hAnsi="Times New Roman" w:cs="Times New Roman"/>
        </w:rPr>
      </w:pPr>
    </w:p>
    <w:p w:rsidR="00813C09" w:rsidRPr="00715727" w:rsidRDefault="00813C09" w:rsidP="00813C09">
      <w:pPr>
        <w:widowControl w:val="0"/>
        <w:autoSpaceDE w:val="0"/>
        <w:autoSpaceDN w:val="0"/>
        <w:adjustRightInd w:val="0"/>
        <w:rPr>
          <w:rFonts w:ascii="Times New Roman" w:hAnsi="Times New Roman" w:cs="Times New Roman"/>
          <w:i/>
        </w:rPr>
      </w:pPr>
      <w:r>
        <w:rPr>
          <w:rFonts w:ascii="Times New Roman" w:hAnsi="Times New Roman" w:cs="Times New Roman"/>
        </w:rPr>
        <w:t xml:space="preserve">Table 1. </w:t>
      </w:r>
      <w:r w:rsidRPr="00715727">
        <w:rPr>
          <w:rFonts w:ascii="Times New Roman" w:hAnsi="Times New Roman" w:cs="Times New Roman"/>
          <w:i/>
        </w:rPr>
        <w:t>The comparison adult sample was obtained from The Consortium for Neuropsychiatric</w:t>
      </w:r>
    </w:p>
    <w:p w:rsidR="00813C09" w:rsidRPr="00715727" w:rsidRDefault="00813C09" w:rsidP="00813C09">
      <w:pPr>
        <w:widowControl w:val="0"/>
        <w:autoSpaceDE w:val="0"/>
        <w:autoSpaceDN w:val="0"/>
        <w:adjustRightInd w:val="0"/>
        <w:rPr>
          <w:rFonts w:ascii="Times New Roman" w:hAnsi="Times New Roman" w:cs="Times New Roman"/>
        </w:rPr>
      </w:pPr>
      <w:r w:rsidRPr="00715727">
        <w:rPr>
          <w:rFonts w:ascii="Times New Roman" w:hAnsi="Times New Roman" w:cs="Times New Roman"/>
          <w:i/>
        </w:rPr>
        <w:t>Phenomics (CNP)</w:t>
      </w:r>
      <w:r w:rsidR="00665ACA">
        <w:rPr>
          <w:rFonts w:ascii="Times New Roman" w:hAnsi="Times New Roman" w:cs="Times New Roman"/>
          <w:i/>
        </w:rPr>
        <w:t>,</w:t>
      </w:r>
      <w:r w:rsidRPr="00715727">
        <w:rPr>
          <w:rFonts w:ascii="Times New Roman" w:hAnsi="Times New Roman" w:cs="Times New Roman"/>
          <w:i/>
        </w:rPr>
        <w:t xml:space="preserve"> a large study carried out at UCLA </w:t>
      </w:r>
      <w:r w:rsidRPr="00715727">
        <w:rPr>
          <w:rFonts w:ascii="Times New Roman" w:hAnsi="Times New Roman" w:cs="Times New Roman"/>
          <w:i/>
        </w:rPr>
        <w:fldChar w:fldCharType="begin" w:fldLock="1"/>
      </w:r>
      <w:r w:rsidRPr="00715727">
        <w:rPr>
          <w:rFonts w:ascii="Times New Roman" w:hAnsi="Times New Roman" w:cs="Times New Roman"/>
          <w:i/>
        </w:rPr>
        <w:instrText>ADDIN CSL_CITATION { "citationItems" : [ { "id" : "ITEM-1", "itemData" : { "DOI" : "10.1038/sdata.2016.110", "ISSN" : "2052-4463", "PMID" : "27922632", "abstract" : "This data descriptor outlines a shared neuroimaging dataset from the UCLA Consortium for Neuropsychiatric Phenomics, which focused on understanding the dimensional structure of memory and cognitive control (response inhibition) functions in both healthy individuals (130 subjects) and individuals with neuropsychiatric disorders including schizophrenia (50 subjects), bipolar disorder (49 subjects), and attention deficit/hyperactivity disorder (43 subjects). The dataset includes an extensive set of task-based fMRI assessments, resting fMRI, structural MRI, and high angular resolution diffusion MRI. The dataset is shared through the OpenfMRI project, and is formatted according to the Brain Imaging Data Structure (BIDS) standard.", "author" : [ { "dropping-particle" : "", "family" : "Poldrack", "given" : "R A", "non-dropping-particle" : "", "parse-names" : false, "suffix" : "" }, { "dropping-particle" : "", "family" : "Congdon", "given" : "E", "non-dropping-particle" : "", "parse-names" : false, "suffix" : "" }, { "dropping-particle" : "", "family" : "Triplett", "given" : "W", "non-dropping-particle" : "", "parse-names" : false, "suffix" : "" }, { "dropping-particle" : "", "family" : "Gorgolewski", "given" : "K J", "non-dropping-particle" : "", "parse-names" : false, "suffix" : "" }, { "dropping-particle" : "", "family" : "Karlsgodt", "given" : "K H", "non-dropping-particle" : "", "parse-names" : false, "suffix" : "" }, { "dropping-particle" : "", "family" : "Mumford", "given" : "J A", "non-dropping-particle" : "", "parse-names" : false, "suffix" : "" }, { "dropping-particle" : "", "family" : "Sabb", "given" : "F W", "non-dropping-particle" : "", "parse-names" : false, "suffix" : "" }, { "dropping-particle" : "", "family" : "Freimer", "given" : "N B", "non-dropping-particle" : "", "parse-names" : false, "suffix" : "" }, { "dropping-particle" : "", "family" : "London", "given" : "E D", "non-dropping-particle" : "", "parse-names" : false, "suffix" : "" }, { "dropping-particle" : "", "family" : "Cannon", "given" : "T D", "non-dropping-particle" : "", "parse-names" : false, "suffix" : "" }, { "dropping-particle" : "", "family" : "Bilder", "given" : "R M", "non-dropping-particle" : "", "parse-names" : false, "suffix" : "" } ], "container-title" : "Scientific data", "id" : "ITEM-1", "issued" : { "date-parts" : [ [ "2016" ] ] }, "page" : "160110", "publisher" : "Nature Publishing Group", "title" : "A phenome-wide examination of neural and cognitive function.", "type" : "article-journal", "volume" : "3" }, "uris" : [ "http://www.mendeley.com/documents/?uuid=654705e8-d8a0-3f62-89a6-894e78969f28" ] }, { "id" : "ITEM-2", "itemData" : { "DOI" : "10.1016/j.neuroscience.2009.01.027", "ISSN" : "03064522", "PMID" : "19344640", "abstract" : "Phenomics is an emerging transdiscipline dedicated to the systematic study of phenotypes on a genome-wide scale. New methods for high-throughput genotyping have changed the priority for biomedical research to phenotyping, but the human phenome is vast and its dimensionality remains unknown. Phenomics research strategies capable of linking genetic variation to public health concerns need to prioritize development of mechanistic frameworks that relate neural systems functioning to human behavior. New approaches to phenotype definition will benefit from crossing neuropsychiatric syndromal boundaries, and defining phenotypic features across multiple levels of expression from proteome to syndrome. The demand for high throughput phenotyping may stimulate a migration from conventional laboratory to web-based assessment of behavior, and this offers the promise of dynamic phenotyping-the iterative refinement of phenotype assays based on prior genotype-phenotype associations. Phenotypes that can be studied across species may provide greatest traction, particularly given rapid development in transgenic modeling. Phenomics research demands vertically integrated research teams, novel analytic strategies and informatics infrastructure to help manage complexity. The Consortium for Neuropsychiatric Phenomics at UCLA has been supported by the National Institutes of Health Roadmap Initiative to illustrate these principles, and is developing applications that may help investigators assemble, visualize, and ultimately test multi-level phenomics hypotheses. As the transdiscipline of phenomics matures, and work is extended to large-scale international collaborations, there is promise that systematic new knowledge bases will help fulfill the promise of personalized medicine and the rational diagnosis and treatment of neuropsychiatric syndromes.", "author" : [ { "dropping-particle" : "", "family" : "Bilder", "given" : "R.M.", "non-dropping-particle" : "", "parse-names" : false, "suffix" : "" }, { "dropping-particle" : "", "family" : "Sabb", "given" : "F.W.", "non-dropping-particle" : "", "parse-names" : false, "suffix" : "" }, { "dropping-particle" : "", "family" : "Cannon", "given" : "T.D.", "non-dropping-particle" : "", "parse-names" : false, "suffix" : "" }, { "dropping-particle" : "", "family" : "London", "given" : "E.D.", "non-dropping-particle" : "", "parse-names" : false, "suffix" : "" }, { "dropping-particle" : "", "family" : "Jentsch", "given" : "J.D.", "non-dropping-particle" : "", "parse-names" : false, "suffix" : "" }, { "dropping-particle" : "", "family" : "Parker", "given" : "D. Stott", "non-dropping-particle" : "", "parse-names" : false, "suffix" : "" }, { "dropping-particle" : "", "family" : "Poldrack", "given" : "R.A.", "non-dropping-particle" : "", "parse-names" : false, "suffix" : "" }, { "dropping-particle" : "", "family" : "Evans", "given" : "C.", "non-dropping-particle" : "", "parse-names" : false, "suffix" : "" }, { "dropping-particle" : "", "family" : "Freimer", "given" : "N.B.", "non-dropping-particle" : "", "parse-names" : false, "suffix" : "" } ], "container-title" : "Neuroscience", "id" : "ITEM-2", "issue" : "1", "issued" : { "date-parts" : [ [ "2009", "11", "24" ] ] }, "page" : "30-42", "title" : "Phenomics: the systematic study of phenotypes on a genome-wide scale", "type" : "article-journal", "volume" : "164" }, "uris" : [ "http://www.mendeley.com/documents/?uuid=b32e6f7f-0167-3bb4-a420-4315a6bca8a4" ] } ], "mendeley" : { "formattedCitation" : "(Bilder et al., 2009; Poldrack et al., 2016)", "plainTextFormattedCitation" : "(Bilder et al., 2009; Poldrack et al., 2016)", "previouslyFormattedCitation" : "(Bilder et al., 2009; Poldrack et al., 2016)" }, "properties" : {  }, "schema" : "https://github.com/citation-style-language/schema/raw/master/csl-citation.json" }</w:instrText>
      </w:r>
      <w:r w:rsidRPr="00715727">
        <w:rPr>
          <w:rFonts w:ascii="Times New Roman" w:hAnsi="Times New Roman" w:cs="Times New Roman"/>
          <w:i/>
        </w:rPr>
        <w:fldChar w:fldCharType="separate"/>
      </w:r>
      <w:r w:rsidRPr="00715727">
        <w:rPr>
          <w:rFonts w:ascii="Times New Roman" w:hAnsi="Times New Roman" w:cs="Times New Roman"/>
          <w:i/>
          <w:noProof/>
        </w:rPr>
        <w:t>(Bilder et al., 2009; Poldrack et al., 2016)</w:t>
      </w:r>
      <w:r w:rsidRPr="00715727">
        <w:rPr>
          <w:rFonts w:ascii="Times New Roman" w:hAnsi="Times New Roman" w:cs="Times New Roman"/>
          <w:i/>
        </w:rPr>
        <w:fldChar w:fldCharType="end"/>
      </w:r>
      <w:r w:rsidRPr="00715727" w:rsidDel="00175A0B">
        <w:rPr>
          <w:rFonts w:ascii="Times New Roman" w:hAnsi="Times New Roman" w:cs="Times New Roman"/>
          <w:i/>
        </w:rPr>
        <w:t xml:space="preserve"> </w:t>
      </w:r>
      <w:r w:rsidRPr="00715727">
        <w:rPr>
          <w:rFonts w:ascii="Times New Roman" w:hAnsi="Times New Roman" w:cs="Times New Roman"/>
          <w:i/>
        </w:rPr>
        <w:t xml:space="preserve">in which community participants were recruited from the larger Los Angeles area. All healthy participants were between the ages of 21-50 years of age, were of NIH racial/ethnic categories of </w:t>
      </w:r>
      <w:r w:rsidRPr="00715727">
        <w:rPr>
          <w:rFonts w:ascii="Times New Roman" w:eastAsia="Times New Roman" w:hAnsi="Times New Roman" w:cs="Times New Roman"/>
          <w:i/>
          <w:color w:val="222222"/>
          <w:spacing w:val="3"/>
          <w:shd w:val="clear" w:color="auto" w:fill="FFFFFF"/>
        </w:rPr>
        <w:t>either White, not Hispanic or Latino; or Hispanic or Latino, and were of any racial group. Participant</w:t>
      </w:r>
      <w:r>
        <w:rPr>
          <w:rFonts w:ascii="Times New Roman" w:eastAsia="Times New Roman" w:hAnsi="Times New Roman" w:cs="Times New Roman"/>
          <w:i/>
          <w:color w:val="222222"/>
          <w:spacing w:val="3"/>
          <w:shd w:val="clear" w:color="auto" w:fill="FFFFFF"/>
        </w:rPr>
        <w:t>’</w:t>
      </w:r>
      <w:r w:rsidRPr="00715727">
        <w:rPr>
          <w:rFonts w:ascii="Times New Roman" w:eastAsia="Times New Roman" w:hAnsi="Times New Roman" w:cs="Times New Roman"/>
          <w:i/>
          <w:color w:val="222222"/>
          <w:spacing w:val="3"/>
          <w:shd w:val="clear" w:color="auto" w:fill="FFFFFF"/>
        </w:rPr>
        <w:t>s primary language was either English or Spanish and all individuals had achieved at least 8 years of formal education. Participants were excluded for significant medical illness, inadequate cooperation, visual acuity of less than 20/60, and a urinalysis screen positive for drugs of abuse. Furthermore, healthy participants were excluded if they had lifetime diagnoses of Schizophrenia or Other Psychotic Disorders, Bipolar I or II Disorder, or Substance Abuse or Dependence (not counting caffeine or nicotine); or current Major Depressive Disorder; suicidality; Anxiety Disorder (Obsessive Compulsive Disorder, Panic Disorder, Generalized Anxiety Disorder, Post-Traumatic Stress Disorder), Attention Deficit Hyperactivity Disorder (ADHD) (see Bilder, 2009 for full screening details). Participants were recruited via advertisement, consented to participate through the UCLA IRB, and once enrolled underwent testing on an extensive neuropsychological battery.</w:t>
      </w:r>
    </w:p>
    <w:p w:rsidR="00813C09" w:rsidRDefault="00813C09" w:rsidP="00813C09">
      <w:pPr>
        <w:widowControl w:val="0"/>
        <w:autoSpaceDE w:val="0"/>
        <w:autoSpaceDN w:val="0"/>
        <w:adjustRightInd w:val="0"/>
        <w:ind w:left="480" w:hanging="480"/>
        <w:rPr>
          <w:rFonts w:ascii="Times New Roman" w:hAnsi="Times New Roman" w:cs="Times New Roman"/>
        </w:rPr>
      </w:pPr>
    </w:p>
    <w:p w:rsidR="00813C09" w:rsidRPr="00A35814" w:rsidRDefault="00813C09" w:rsidP="00813C09">
      <w:pPr>
        <w:rPr>
          <w:rFonts w:ascii="Times New Roman" w:hAnsi="Times New Roman" w:cs="Times New Roman"/>
          <w:sz w:val="22"/>
          <w:szCs w:val="22"/>
        </w:rPr>
      </w:pPr>
      <w:r w:rsidRPr="00A35814">
        <w:rPr>
          <w:rFonts w:ascii="Times New Roman" w:hAnsi="Times New Roman" w:cs="Times New Roman"/>
          <w:sz w:val="22"/>
          <w:szCs w:val="22"/>
        </w:rPr>
        <w:t>D</w:t>
      </w:r>
      <w:r w:rsidRPr="00715727">
        <w:rPr>
          <w:rFonts w:ascii="Times New Roman" w:hAnsi="Times New Roman" w:cs="Times New Roman"/>
          <w:sz w:val="22"/>
          <w:szCs w:val="22"/>
        </w:rPr>
        <w:t>escriptive Statistics of BART Variable Within Age Brackets: Displayed as Mean (Standard Deviation)</w:t>
      </w:r>
    </w:p>
    <w:tbl>
      <w:tblPr>
        <w:tblStyle w:val="TableGrid"/>
        <w:tblW w:w="10350" w:type="dxa"/>
        <w:tblInd w:w="-185" w:type="dxa"/>
        <w:tblLayout w:type="fixed"/>
        <w:tblLook w:val="04A0" w:firstRow="1" w:lastRow="0" w:firstColumn="1" w:lastColumn="0" w:noHBand="0" w:noVBand="1"/>
      </w:tblPr>
      <w:tblGrid>
        <w:gridCol w:w="1530"/>
        <w:gridCol w:w="1080"/>
        <w:gridCol w:w="1080"/>
        <w:gridCol w:w="1080"/>
        <w:gridCol w:w="1170"/>
        <w:gridCol w:w="1080"/>
        <w:gridCol w:w="1260"/>
        <w:gridCol w:w="990"/>
        <w:gridCol w:w="1080"/>
      </w:tblGrid>
      <w:tr w:rsidR="00813C09" w:rsidRPr="00067D8E" w:rsidTr="006D79CF">
        <w:trPr>
          <w:trHeight w:val="1260"/>
        </w:trPr>
        <w:tc>
          <w:tcPr>
            <w:tcW w:w="1530" w:type="dxa"/>
          </w:tcPr>
          <w:p w:rsidR="00813C09" w:rsidRPr="00A35814" w:rsidRDefault="00813C09" w:rsidP="006D79CF">
            <w:pPr>
              <w:rPr>
                <w:rFonts w:ascii="Times New Roman" w:hAnsi="Times New Roman" w:cs="Times New Roman"/>
                <w:b/>
                <w:sz w:val="22"/>
                <w:szCs w:val="22"/>
              </w:rPr>
            </w:pPr>
            <w:r w:rsidRPr="00A35814">
              <w:rPr>
                <w:rFonts w:ascii="Times New Roman" w:hAnsi="Times New Roman" w:cs="Times New Roman"/>
                <w:b/>
                <w:sz w:val="22"/>
                <w:szCs w:val="22"/>
              </w:rPr>
              <w:t>Age Group/</w:t>
            </w:r>
          </w:p>
          <w:p w:rsidR="00813C09" w:rsidRPr="00A35814" w:rsidRDefault="00813C09" w:rsidP="006D79CF">
            <w:pPr>
              <w:rPr>
                <w:rFonts w:ascii="Times New Roman" w:hAnsi="Times New Roman" w:cs="Times New Roman"/>
                <w:b/>
                <w:sz w:val="22"/>
                <w:szCs w:val="22"/>
              </w:rPr>
            </w:pPr>
            <w:r w:rsidRPr="00A35814">
              <w:rPr>
                <w:rFonts w:ascii="Times New Roman" w:hAnsi="Times New Roman" w:cs="Times New Roman"/>
                <w:b/>
                <w:sz w:val="22"/>
                <w:szCs w:val="22"/>
              </w:rPr>
              <w:t>BART Performance</w:t>
            </w:r>
          </w:p>
        </w:tc>
        <w:tc>
          <w:tcPr>
            <w:tcW w:w="1080" w:type="dxa"/>
          </w:tcPr>
          <w:p w:rsidR="00813C09" w:rsidRPr="00A35814" w:rsidRDefault="00813C09" w:rsidP="006D79CF">
            <w:pPr>
              <w:rPr>
                <w:rFonts w:ascii="Times New Roman" w:hAnsi="Times New Roman" w:cs="Times New Roman"/>
                <w:b/>
                <w:sz w:val="22"/>
                <w:szCs w:val="22"/>
              </w:rPr>
            </w:pPr>
            <w:r w:rsidRPr="00A35814">
              <w:rPr>
                <w:rFonts w:ascii="Times New Roman" w:hAnsi="Times New Roman" w:cs="Times New Roman"/>
                <w:b/>
                <w:sz w:val="22"/>
                <w:szCs w:val="22"/>
              </w:rPr>
              <w:t>Mean Adjusted Pumps</w:t>
            </w:r>
          </w:p>
        </w:tc>
        <w:tc>
          <w:tcPr>
            <w:tcW w:w="1080" w:type="dxa"/>
          </w:tcPr>
          <w:p w:rsidR="00813C09" w:rsidRPr="00A35814" w:rsidRDefault="00813C09" w:rsidP="006D79CF">
            <w:pPr>
              <w:rPr>
                <w:rFonts w:ascii="Times New Roman" w:hAnsi="Times New Roman" w:cs="Times New Roman"/>
                <w:b/>
                <w:sz w:val="22"/>
                <w:szCs w:val="22"/>
              </w:rPr>
            </w:pPr>
            <w:r w:rsidRPr="00A35814">
              <w:rPr>
                <w:rFonts w:ascii="Times New Roman" w:hAnsi="Times New Roman" w:cs="Times New Roman"/>
                <w:b/>
                <w:sz w:val="22"/>
                <w:szCs w:val="22"/>
              </w:rPr>
              <w:t>Total Adjusted Pumps</w:t>
            </w:r>
          </w:p>
        </w:tc>
        <w:tc>
          <w:tcPr>
            <w:tcW w:w="1080" w:type="dxa"/>
          </w:tcPr>
          <w:p w:rsidR="00813C09" w:rsidRPr="00A35814" w:rsidRDefault="00813C09" w:rsidP="006D79CF">
            <w:pPr>
              <w:rPr>
                <w:rFonts w:ascii="Times New Roman" w:hAnsi="Times New Roman" w:cs="Times New Roman"/>
                <w:b/>
                <w:sz w:val="22"/>
                <w:szCs w:val="22"/>
              </w:rPr>
            </w:pPr>
            <w:r w:rsidRPr="00A35814">
              <w:rPr>
                <w:rFonts w:ascii="Times New Roman" w:hAnsi="Times New Roman" w:cs="Times New Roman"/>
                <w:b/>
                <w:sz w:val="22"/>
                <w:szCs w:val="22"/>
              </w:rPr>
              <w:t>COV- All Balloons</w:t>
            </w:r>
          </w:p>
        </w:tc>
        <w:tc>
          <w:tcPr>
            <w:tcW w:w="1170" w:type="dxa"/>
          </w:tcPr>
          <w:p w:rsidR="00813C09" w:rsidRPr="00A35814" w:rsidRDefault="00813C09" w:rsidP="006D79CF">
            <w:pPr>
              <w:rPr>
                <w:rFonts w:ascii="Times New Roman" w:hAnsi="Times New Roman" w:cs="Times New Roman"/>
                <w:b/>
                <w:sz w:val="22"/>
                <w:szCs w:val="22"/>
              </w:rPr>
            </w:pPr>
            <w:r w:rsidRPr="00A35814">
              <w:rPr>
                <w:rFonts w:ascii="Times New Roman" w:hAnsi="Times New Roman" w:cs="Times New Roman"/>
                <w:b/>
                <w:sz w:val="22"/>
                <w:szCs w:val="22"/>
              </w:rPr>
              <w:t>COV – LR Balloons</w:t>
            </w:r>
          </w:p>
        </w:tc>
        <w:tc>
          <w:tcPr>
            <w:tcW w:w="1080" w:type="dxa"/>
          </w:tcPr>
          <w:p w:rsidR="00813C09" w:rsidRPr="00A35814" w:rsidRDefault="00813C09" w:rsidP="006D79CF">
            <w:pPr>
              <w:rPr>
                <w:rFonts w:ascii="Times New Roman" w:hAnsi="Times New Roman" w:cs="Times New Roman"/>
                <w:b/>
                <w:sz w:val="22"/>
                <w:szCs w:val="22"/>
              </w:rPr>
            </w:pPr>
            <w:r w:rsidRPr="00A35814">
              <w:rPr>
                <w:rFonts w:ascii="Times New Roman" w:hAnsi="Times New Roman" w:cs="Times New Roman"/>
                <w:b/>
                <w:sz w:val="22"/>
                <w:szCs w:val="22"/>
              </w:rPr>
              <w:t>COV- HR Balloons</w:t>
            </w:r>
          </w:p>
        </w:tc>
        <w:tc>
          <w:tcPr>
            <w:tcW w:w="1260" w:type="dxa"/>
          </w:tcPr>
          <w:p w:rsidR="00813C09" w:rsidRPr="00A35814" w:rsidRDefault="00813C09" w:rsidP="006D79CF">
            <w:pPr>
              <w:rPr>
                <w:rFonts w:ascii="Times New Roman" w:hAnsi="Times New Roman" w:cs="Times New Roman"/>
                <w:b/>
                <w:sz w:val="22"/>
                <w:szCs w:val="22"/>
              </w:rPr>
            </w:pPr>
            <w:r w:rsidRPr="00A35814">
              <w:rPr>
                <w:rFonts w:ascii="Times New Roman" w:hAnsi="Times New Roman" w:cs="Times New Roman"/>
                <w:b/>
                <w:sz w:val="22"/>
                <w:szCs w:val="22"/>
              </w:rPr>
              <w:t>Total Explosions</w:t>
            </w:r>
          </w:p>
        </w:tc>
        <w:tc>
          <w:tcPr>
            <w:tcW w:w="990" w:type="dxa"/>
          </w:tcPr>
          <w:p w:rsidR="00813C09" w:rsidRPr="00A35814" w:rsidRDefault="00813C09" w:rsidP="006D79CF">
            <w:pPr>
              <w:rPr>
                <w:rFonts w:ascii="Times New Roman" w:hAnsi="Times New Roman" w:cs="Times New Roman"/>
                <w:b/>
                <w:sz w:val="22"/>
                <w:szCs w:val="22"/>
              </w:rPr>
            </w:pPr>
            <w:r w:rsidRPr="00A35814">
              <w:rPr>
                <w:rFonts w:ascii="Times New Roman" w:hAnsi="Times New Roman" w:cs="Times New Roman"/>
                <w:b/>
                <w:sz w:val="22"/>
                <w:szCs w:val="22"/>
              </w:rPr>
              <w:t>LR Balloon Pump Ratio</w:t>
            </w:r>
          </w:p>
        </w:tc>
        <w:tc>
          <w:tcPr>
            <w:tcW w:w="1080" w:type="dxa"/>
          </w:tcPr>
          <w:p w:rsidR="00813C09" w:rsidRPr="00A35814" w:rsidRDefault="00813C09" w:rsidP="006D79CF">
            <w:pPr>
              <w:rPr>
                <w:rFonts w:ascii="Times New Roman" w:hAnsi="Times New Roman" w:cs="Times New Roman"/>
                <w:b/>
                <w:sz w:val="22"/>
                <w:szCs w:val="22"/>
              </w:rPr>
            </w:pPr>
            <w:r w:rsidRPr="00A35814">
              <w:rPr>
                <w:rFonts w:ascii="Times New Roman" w:hAnsi="Times New Roman" w:cs="Times New Roman"/>
                <w:b/>
                <w:sz w:val="22"/>
                <w:szCs w:val="22"/>
              </w:rPr>
              <w:t>HR Balloon Pump Ratio</w:t>
            </w:r>
          </w:p>
        </w:tc>
      </w:tr>
      <w:tr w:rsidR="00813C09" w:rsidRPr="00067D8E" w:rsidTr="006D79CF">
        <w:trPr>
          <w:trHeight w:val="495"/>
        </w:trPr>
        <w:tc>
          <w:tcPr>
            <w:tcW w:w="1530" w:type="dxa"/>
          </w:tcPr>
          <w:p w:rsidR="00813C09" w:rsidRPr="00A35814" w:rsidRDefault="00813C09" w:rsidP="006D79CF">
            <w:pPr>
              <w:rPr>
                <w:rFonts w:ascii="Times New Roman" w:hAnsi="Times New Roman" w:cs="Times New Roman"/>
                <w:b/>
                <w:sz w:val="22"/>
                <w:szCs w:val="22"/>
              </w:rPr>
            </w:pPr>
            <w:r w:rsidRPr="00A35814">
              <w:rPr>
                <w:rFonts w:ascii="Times New Roman" w:hAnsi="Times New Roman" w:cs="Times New Roman"/>
                <w:b/>
                <w:sz w:val="22"/>
                <w:szCs w:val="22"/>
              </w:rPr>
              <w:t>8-12 (N=12)</w:t>
            </w:r>
          </w:p>
        </w:tc>
        <w:tc>
          <w:tcPr>
            <w:tcW w:w="108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9.97 (5.23)</w:t>
            </w:r>
          </w:p>
        </w:tc>
        <w:tc>
          <w:tcPr>
            <w:tcW w:w="108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296.08 (149.42)</w:t>
            </w:r>
          </w:p>
        </w:tc>
        <w:tc>
          <w:tcPr>
            <w:tcW w:w="108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.63 (.31)</w:t>
            </w:r>
          </w:p>
        </w:tc>
        <w:tc>
          <w:tcPr>
            <w:tcW w:w="117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.81 (.62)</w:t>
            </w:r>
          </w:p>
        </w:tc>
        <w:tc>
          <w:tcPr>
            <w:tcW w:w="108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.61 (.28)</w:t>
            </w:r>
          </w:p>
        </w:tc>
        <w:tc>
          <w:tcPr>
            <w:tcW w:w="126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10 (4.57)</w:t>
            </w:r>
          </w:p>
        </w:tc>
        <w:tc>
          <w:tcPr>
            <w:tcW w:w="99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1.65 (1.14)</w:t>
            </w:r>
          </w:p>
        </w:tc>
        <w:tc>
          <w:tcPr>
            <w:tcW w:w="108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1.80 (1.44)</w:t>
            </w:r>
          </w:p>
        </w:tc>
      </w:tr>
      <w:tr w:rsidR="00813C09" w:rsidRPr="00067D8E" w:rsidTr="006D79CF">
        <w:trPr>
          <w:trHeight w:val="510"/>
        </w:trPr>
        <w:tc>
          <w:tcPr>
            <w:tcW w:w="1530" w:type="dxa"/>
          </w:tcPr>
          <w:p w:rsidR="00813C09" w:rsidRPr="00A35814" w:rsidRDefault="00813C09" w:rsidP="006D79CF">
            <w:pPr>
              <w:rPr>
                <w:rFonts w:ascii="Times New Roman" w:hAnsi="Times New Roman" w:cs="Times New Roman"/>
                <w:b/>
                <w:sz w:val="22"/>
                <w:szCs w:val="22"/>
              </w:rPr>
            </w:pPr>
            <w:r w:rsidRPr="00A35814">
              <w:rPr>
                <w:rFonts w:ascii="Times New Roman" w:hAnsi="Times New Roman" w:cs="Times New Roman"/>
                <w:b/>
                <w:sz w:val="22"/>
                <w:szCs w:val="22"/>
              </w:rPr>
              <w:t>13-17 (N=34)</w:t>
            </w:r>
          </w:p>
        </w:tc>
        <w:tc>
          <w:tcPr>
            <w:tcW w:w="108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13.70 (7.10)</w:t>
            </w:r>
          </w:p>
        </w:tc>
        <w:tc>
          <w:tcPr>
            <w:tcW w:w="108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412.44 (217.16)</w:t>
            </w:r>
          </w:p>
        </w:tc>
        <w:tc>
          <w:tcPr>
            <w:tcW w:w="108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.41 (.15)</w:t>
            </w:r>
          </w:p>
        </w:tc>
        <w:tc>
          <w:tcPr>
            <w:tcW w:w="117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.41 (.17)</w:t>
            </w:r>
          </w:p>
        </w:tc>
        <w:tc>
          <w:tcPr>
            <w:tcW w:w="108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.41 (.17)</w:t>
            </w:r>
          </w:p>
        </w:tc>
        <w:tc>
          <w:tcPr>
            <w:tcW w:w="126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8.82 (4.93)</w:t>
            </w:r>
          </w:p>
        </w:tc>
        <w:tc>
          <w:tcPr>
            <w:tcW w:w="99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1.11 (.67)</w:t>
            </w:r>
          </w:p>
        </w:tc>
        <w:tc>
          <w:tcPr>
            <w:tcW w:w="108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1.15 (.51)</w:t>
            </w:r>
          </w:p>
        </w:tc>
      </w:tr>
      <w:tr w:rsidR="00813C09" w:rsidRPr="00067D8E" w:rsidTr="006D79CF">
        <w:trPr>
          <w:trHeight w:val="495"/>
        </w:trPr>
        <w:tc>
          <w:tcPr>
            <w:tcW w:w="1530" w:type="dxa"/>
          </w:tcPr>
          <w:p w:rsidR="00813C09" w:rsidRPr="00A35814" w:rsidRDefault="00813C09" w:rsidP="006D79CF">
            <w:pPr>
              <w:rPr>
                <w:rFonts w:ascii="Times New Roman" w:hAnsi="Times New Roman" w:cs="Times New Roman"/>
                <w:b/>
                <w:sz w:val="22"/>
                <w:szCs w:val="22"/>
              </w:rPr>
            </w:pPr>
            <w:r w:rsidRPr="00A35814">
              <w:rPr>
                <w:rFonts w:ascii="Times New Roman" w:hAnsi="Times New Roman" w:cs="Times New Roman"/>
                <w:b/>
                <w:sz w:val="22"/>
                <w:szCs w:val="22"/>
              </w:rPr>
              <w:t>18-21 (N=5</w:t>
            </w:r>
            <w:r>
              <w:rPr>
                <w:rFonts w:ascii="Times New Roman" w:hAnsi="Times New Roman" w:cs="Times New Roman"/>
                <w:b/>
                <w:sz w:val="22"/>
                <w:szCs w:val="22"/>
              </w:rPr>
              <w:t>0</w:t>
            </w:r>
            <w:r w:rsidRPr="00A35814">
              <w:rPr>
                <w:rFonts w:ascii="Times New Roman" w:hAnsi="Times New Roman" w:cs="Times New Roman"/>
                <w:b/>
                <w:sz w:val="22"/>
                <w:szCs w:val="22"/>
              </w:rPr>
              <w:t>)</w:t>
            </w:r>
          </w:p>
        </w:tc>
        <w:tc>
          <w:tcPr>
            <w:tcW w:w="108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14.74 (8.22)</w:t>
            </w:r>
          </w:p>
        </w:tc>
        <w:tc>
          <w:tcPr>
            <w:tcW w:w="108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442.65 (249.02)</w:t>
            </w:r>
          </w:p>
        </w:tc>
        <w:tc>
          <w:tcPr>
            <w:tcW w:w="108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.44 (.19)</w:t>
            </w:r>
          </w:p>
        </w:tc>
        <w:tc>
          <w:tcPr>
            <w:tcW w:w="117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.41 (.20)</w:t>
            </w:r>
          </w:p>
        </w:tc>
        <w:tc>
          <w:tcPr>
            <w:tcW w:w="108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.46 (.22)</w:t>
            </w:r>
          </w:p>
        </w:tc>
        <w:tc>
          <w:tcPr>
            <w:tcW w:w="126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9.20 (4.26)</w:t>
            </w:r>
          </w:p>
        </w:tc>
        <w:tc>
          <w:tcPr>
            <w:tcW w:w="99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1.05 (.38)</w:t>
            </w:r>
          </w:p>
        </w:tc>
        <w:tc>
          <w:tcPr>
            <w:tcW w:w="108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1.06 (.48)</w:t>
            </w:r>
          </w:p>
        </w:tc>
      </w:tr>
      <w:tr w:rsidR="00813C09" w:rsidRPr="00067D8E" w:rsidTr="006D79CF">
        <w:trPr>
          <w:trHeight w:val="495"/>
        </w:trPr>
        <w:tc>
          <w:tcPr>
            <w:tcW w:w="1530" w:type="dxa"/>
          </w:tcPr>
          <w:p w:rsidR="00813C09" w:rsidRPr="00EC477F" w:rsidRDefault="00813C09" w:rsidP="006D79CF">
            <w:pPr>
              <w:rPr>
                <w:rFonts w:ascii="Times New Roman" w:hAnsi="Times New Roman" w:cs="Times New Roman"/>
                <w:b/>
                <w:sz w:val="22"/>
                <w:szCs w:val="22"/>
              </w:rPr>
            </w:pPr>
            <w:r w:rsidRPr="00EC477F">
              <w:rPr>
                <w:rFonts w:ascii="Times New Roman" w:hAnsi="Times New Roman" w:cs="Times New Roman"/>
                <w:b/>
                <w:sz w:val="22"/>
                <w:szCs w:val="22"/>
              </w:rPr>
              <w:t>22-25 (N=9)</w:t>
            </w:r>
          </w:p>
        </w:tc>
        <w:tc>
          <w:tcPr>
            <w:tcW w:w="1080" w:type="dxa"/>
          </w:tcPr>
          <w:p w:rsidR="00813C09" w:rsidRPr="00EC477F" w:rsidRDefault="00813C09" w:rsidP="006D79CF">
            <w:pPr>
              <w:rPr>
                <w:rFonts w:ascii="Times New Roman" w:hAnsi="Times New Roman" w:cs="Times New Roman"/>
                <w:sz w:val="22"/>
                <w:szCs w:val="22"/>
              </w:rPr>
            </w:pPr>
            <w:r w:rsidRPr="00EC477F">
              <w:rPr>
                <w:rFonts w:ascii="Times New Roman" w:hAnsi="Times New Roman" w:cs="Times New Roman"/>
                <w:sz w:val="22"/>
                <w:szCs w:val="22"/>
              </w:rPr>
              <w:t>12.17 (5.63)</w:t>
            </w:r>
          </w:p>
        </w:tc>
        <w:tc>
          <w:tcPr>
            <w:tcW w:w="1080" w:type="dxa"/>
          </w:tcPr>
          <w:p w:rsidR="00813C09" w:rsidRPr="00EC477F" w:rsidRDefault="00813C09" w:rsidP="006D79CF">
            <w:pPr>
              <w:rPr>
                <w:rFonts w:ascii="Times New Roman" w:hAnsi="Times New Roman" w:cs="Times New Roman"/>
                <w:sz w:val="22"/>
                <w:szCs w:val="22"/>
              </w:rPr>
            </w:pPr>
            <w:r w:rsidRPr="00EC477F">
              <w:rPr>
                <w:rFonts w:ascii="Times New Roman" w:hAnsi="Times New Roman" w:cs="Times New Roman"/>
                <w:sz w:val="22"/>
                <w:szCs w:val="22"/>
              </w:rPr>
              <w:t>347.11 (183.04)</w:t>
            </w:r>
          </w:p>
        </w:tc>
        <w:tc>
          <w:tcPr>
            <w:tcW w:w="1080" w:type="dxa"/>
          </w:tcPr>
          <w:p w:rsidR="00813C09" w:rsidRPr="00EC477F" w:rsidRDefault="00813C09" w:rsidP="006D79CF">
            <w:pPr>
              <w:rPr>
                <w:rFonts w:ascii="Times New Roman" w:hAnsi="Times New Roman" w:cs="Times New Roman"/>
                <w:sz w:val="22"/>
                <w:szCs w:val="22"/>
              </w:rPr>
            </w:pPr>
            <w:r w:rsidRPr="00EC477F">
              <w:rPr>
                <w:rFonts w:ascii="Times New Roman" w:hAnsi="Times New Roman" w:cs="Times New Roman"/>
                <w:sz w:val="22"/>
                <w:szCs w:val="22"/>
              </w:rPr>
              <w:t>.40 (.11)</w:t>
            </w:r>
          </w:p>
        </w:tc>
        <w:tc>
          <w:tcPr>
            <w:tcW w:w="1170" w:type="dxa"/>
          </w:tcPr>
          <w:p w:rsidR="00813C09" w:rsidRPr="00EC477F" w:rsidRDefault="00813C09" w:rsidP="006D79CF">
            <w:pPr>
              <w:rPr>
                <w:rFonts w:ascii="Times New Roman" w:hAnsi="Times New Roman" w:cs="Times New Roman"/>
                <w:sz w:val="22"/>
                <w:szCs w:val="22"/>
              </w:rPr>
            </w:pPr>
            <w:r w:rsidRPr="00EC477F">
              <w:rPr>
                <w:rFonts w:ascii="Times New Roman" w:hAnsi="Times New Roman" w:cs="Times New Roman"/>
                <w:sz w:val="22"/>
                <w:szCs w:val="22"/>
              </w:rPr>
              <w:t>.37 (.15)</w:t>
            </w:r>
          </w:p>
        </w:tc>
        <w:tc>
          <w:tcPr>
            <w:tcW w:w="1080" w:type="dxa"/>
          </w:tcPr>
          <w:p w:rsidR="00813C09" w:rsidRPr="00EC477F" w:rsidRDefault="00813C09" w:rsidP="006D79CF">
            <w:pPr>
              <w:rPr>
                <w:rFonts w:ascii="Times New Roman" w:hAnsi="Times New Roman" w:cs="Times New Roman"/>
                <w:sz w:val="22"/>
                <w:szCs w:val="22"/>
              </w:rPr>
            </w:pPr>
            <w:r w:rsidRPr="00EC477F">
              <w:rPr>
                <w:rFonts w:ascii="Times New Roman" w:hAnsi="Times New Roman" w:cs="Times New Roman"/>
                <w:sz w:val="22"/>
                <w:szCs w:val="22"/>
              </w:rPr>
              <w:t>.44 (.12)</w:t>
            </w:r>
          </w:p>
        </w:tc>
        <w:tc>
          <w:tcPr>
            <w:tcW w:w="1260" w:type="dxa"/>
          </w:tcPr>
          <w:p w:rsidR="00813C09" w:rsidRPr="00EC477F" w:rsidRDefault="00813C09" w:rsidP="006D79CF">
            <w:pPr>
              <w:rPr>
                <w:rFonts w:ascii="Times New Roman" w:hAnsi="Times New Roman" w:cs="Times New Roman"/>
                <w:sz w:val="22"/>
                <w:szCs w:val="22"/>
              </w:rPr>
            </w:pPr>
            <w:r w:rsidRPr="00EC477F">
              <w:rPr>
                <w:rFonts w:ascii="Times New Roman" w:hAnsi="Times New Roman" w:cs="Times New Roman"/>
                <w:sz w:val="22"/>
                <w:szCs w:val="22"/>
              </w:rPr>
              <w:t>11.44 (5.9)</w:t>
            </w:r>
          </w:p>
        </w:tc>
        <w:tc>
          <w:tcPr>
            <w:tcW w:w="990" w:type="dxa"/>
          </w:tcPr>
          <w:p w:rsidR="00813C09" w:rsidRPr="00EC477F" w:rsidRDefault="00813C09" w:rsidP="006D79CF">
            <w:pPr>
              <w:rPr>
                <w:rFonts w:ascii="Times New Roman" w:hAnsi="Times New Roman" w:cs="Times New Roman"/>
                <w:sz w:val="22"/>
                <w:szCs w:val="22"/>
              </w:rPr>
            </w:pPr>
            <w:r w:rsidRPr="00EC477F">
              <w:rPr>
                <w:rFonts w:ascii="Times New Roman" w:hAnsi="Times New Roman" w:cs="Times New Roman"/>
                <w:sz w:val="22"/>
                <w:szCs w:val="22"/>
              </w:rPr>
              <w:t>1.03 (.48)</w:t>
            </w:r>
          </w:p>
        </w:tc>
        <w:tc>
          <w:tcPr>
            <w:tcW w:w="1080" w:type="dxa"/>
          </w:tcPr>
          <w:p w:rsidR="00813C09" w:rsidRPr="00EC477F" w:rsidRDefault="00813C09" w:rsidP="006D79CF">
            <w:pPr>
              <w:rPr>
                <w:rFonts w:ascii="Times New Roman" w:hAnsi="Times New Roman" w:cs="Times New Roman"/>
                <w:sz w:val="22"/>
                <w:szCs w:val="22"/>
              </w:rPr>
            </w:pPr>
            <w:r w:rsidRPr="00EC477F">
              <w:rPr>
                <w:rFonts w:ascii="Times New Roman" w:hAnsi="Times New Roman" w:cs="Times New Roman"/>
                <w:sz w:val="22"/>
                <w:szCs w:val="22"/>
              </w:rPr>
              <w:t>1.11 (.24)</w:t>
            </w:r>
          </w:p>
        </w:tc>
      </w:tr>
      <w:tr w:rsidR="00813C09" w:rsidRPr="00067D8E" w:rsidTr="006D79CF">
        <w:trPr>
          <w:trHeight w:val="495"/>
        </w:trPr>
        <w:tc>
          <w:tcPr>
            <w:tcW w:w="1530" w:type="dxa"/>
          </w:tcPr>
          <w:p w:rsidR="00813C09" w:rsidRPr="00EC477F" w:rsidRDefault="00813C09" w:rsidP="006D79CF">
            <w:pPr>
              <w:rPr>
                <w:rFonts w:ascii="Times New Roman" w:hAnsi="Times New Roman" w:cs="Times New Roman"/>
                <w:b/>
                <w:sz w:val="22"/>
                <w:szCs w:val="22"/>
              </w:rPr>
            </w:pPr>
            <w:r>
              <w:rPr>
                <w:rFonts w:ascii="Times New Roman" w:hAnsi="Times New Roman" w:cs="Times New Roman"/>
                <w:b/>
                <w:sz w:val="22"/>
                <w:szCs w:val="22"/>
              </w:rPr>
              <w:t>Adult Sample (N= 1102)</w:t>
            </w:r>
          </w:p>
        </w:tc>
        <w:tc>
          <w:tcPr>
            <w:tcW w:w="1080" w:type="dxa"/>
          </w:tcPr>
          <w:p w:rsidR="00813C09" w:rsidRPr="00EC477F" w:rsidRDefault="00813C09" w:rsidP="006D79CF">
            <w:pPr>
              <w:rPr>
                <w:rFonts w:ascii="Times New Roman" w:hAnsi="Times New Roman" w:cs="Times New Roman"/>
                <w:sz w:val="22"/>
                <w:szCs w:val="22"/>
              </w:rPr>
            </w:pPr>
            <w:r>
              <w:rPr>
                <w:rFonts w:ascii="Times New Roman" w:hAnsi="Times New Roman" w:cs="Times New Roman"/>
                <w:sz w:val="22"/>
                <w:szCs w:val="22"/>
              </w:rPr>
              <w:t>15.61 (8.51)</w:t>
            </w:r>
          </w:p>
        </w:tc>
        <w:tc>
          <w:tcPr>
            <w:tcW w:w="1080" w:type="dxa"/>
          </w:tcPr>
          <w:p w:rsidR="00813C09" w:rsidRPr="00EC477F" w:rsidRDefault="00813C09" w:rsidP="006D79CF">
            <w:pPr>
              <w:rPr>
                <w:rFonts w:ascii="Times New Roman" w:hAnsi="Times New Roman" w:cs="Times New Roman"/>
                <w:sz w:val="22"/>
                <w:szCs w:val="22"/>
              </w:rPr>
            </w:pPr>
            <w:r>
              <w:rPr>
                <w:rFonts w:ascii="Times New Roman" w:hAnsi="Times New Roman" w:cs="Times New Roman"/>
                <w:sz w:val="22"/>
                <w:szCs w:val="22"/>
              </w:rPr>
              <w:t>405.36 (160.07)</w:t>
            </w:r>
          </w:p>
        </w:tc>
        <w:tc>
          <w:tcPr>
            <w:tcW w:w="1080" w:type="dxa"/>
          </w:tcPr>
          <w:p w:rsidR="00813C09" w:rsidRPr="00EC477F" w:rsidRDefault="00813C09" w:rsidP="006D79CF">
            <w:pPr>
              <w:rPr>
                <w:rFonts w:ascii="Times New Roman" w:hAnsi="Times New Roman" w:cs="Times New Roman"/>
                <w:sz w:val="22"/>
                <w:szCs w:val="22"/>
              </w:rPr>
            </w:pPr>
            <w:r>
              <w:rPr>
                <w:rFonts w:ascii="Times New Roman" w:hAnsi="Times New Roman" w:cs="Times New Roman"/>
                <w:sz w:val="22"/>
                <w:szCs w:val="22"/>
              </w:rPr>
              <w:t>.50 (.22)</w:t>
            </w:r>
          </w:p>
        </w:tc>
        <w:tc>
          <w:tcPr>
            <w:tcW w:w="1170" w:type="dxa"/>
          </w:tcPr>
          <w:p w:rsidR="00813C09" w:rsidRPr="00EC477F" w:rsidRDefault="00813C09" w:rsidP="006D79CF">
            <w:pPr>
              <w:rPr>
                <w:rFonts w:ascii="Times New Roman" w:hAnsi="Times New Roman" w:cs="Times New Roman"/>
                <w:sz w:val="22"/>
                <w:szCs w:val="22"/>
              </w:rPr>
            </w:pPr>
            <w:r>
              <w:rPr>
                <w:rFonts w:ascii="Times New Roman" w:hAnsi="Times New Roman" w:cs="Times New Roman"/>
                <w:sz w:val="22"/>
                <w:szCs w:val="22"/>
              </w:rPr>
              <w:t>.41 (.20)</w:t>
            </w:r>
          </w:p>
        </w:tc>
        <w:tc>
          <w:tcPr>
            <w:tcW w:w="1080" w:type="dxa"/>
          </w:tcPr>
          <w:p w:rsidR="00813C09" w:rsidRPr="00EC477F" w:rsidRDefault="00813C09" w:rsidP="006D79CF">
            <w:pPr>
              <w:rPr>
                <w:rFonts w:ascii="Times New Roman" w:hAnsi="Times New Roman" w:cs="Times New Roman"/>
                <w:sz w:val="22"/>
                <w:szCs w:val="22"/>
              </w:rPr>
            </w:pPr>
            <w:r>
              <w:rPr>
                <w:rFonts w:ascii="Times New Roman" w:hAnsi="Times New Roman" w:cs="Times New Roman"/>
                <w:sz w:val="22"/>
                <w:szCs w:val="22"/>
              </w:rPr>
              <w:t>.41 (.18)</w:t>
            </w:r>
          </w:p>
        </w:tc>
        <w:tc>
          <w:tcPr>
            <w:tcW w:w="1260" w:type="dxa"/>
          </w:tcPr>
          <w:p w:rsidR="00813C09" w:rsidRPr="00EC477F" w:rsidRDefault="00813C09" w:rsidP="006D79CF">
            <w:pPr>
              <w:rPr>
                <w:rFonts w:ascii="Times New Roman" w:hAnsi="Times New Roman" w:cs="Times New Roman"/>
                <w:sz w:val="22"/>
                <w:szCs w:val="22"/>
              </w:rPr>
            </w:pPr>
            <w:r>
              <w:rPr>
                <w:rFonts w:ascii="Times New Roman" w:hAnsi="Times New Roman" w:cs="Times New Roman"/>
                <w:sz w:val="22"/>
                <w:szCs w:val="22"/>
              </w:rPr>
              <w:t>11.52 (5.34)</w:t>
            </w:r>
          </w:p>
        </w:tc>
        <w:tc>
          <w:tcPr>
            <w:tcW w:w="990" w:type="dxa"/>
          </w:tcPr>
          <w:p w:rsidR="00813C09" w:rsidRPr="00EC477F" w:rsidRDefault="00813C09" w:rsidP="006D79CF">
            <w:pPr>
              <w:rPr>
                <w:rFonts w:ascii="Times New Roman" w:hAnsi="Times New Roman" w:cs="Times New Roman"/>
                <w:sz w:val="22"/>
                <w:szCs w:val="22"/>
              </w:rPr>
            </w:pPr>
            <w:r>
              <w:rPr>
                <w:rFonts w:ascii="Times New Roman" w:hAnsi="Times New Roman" w:cs="Times New Roman"/>
                <w:sz w:val="22"/>
                <w:szCs w:val="22"/>
              </w:rPr>
              <w:t>NA</w:t>
            </w:r>
          </w:p>
        </w:tc>
        <w:tc>
          <w:tcPr>
            <w:tcW w:w="1080" w:type="dxa"/>
          </w:tcPr>
          <w:p w:rsidR="00813C09" w:rsidRPr="00EC477F" w:rsidRDefault="00813C09" w:rsidP="006D79CF">
            <w:pPr>
              <w:rPr>
                <w:rFonts w:ascii="Times New Roman" w:hAnsi="Times New Roman" w:cs="Times New Roman"/>
                <w:sz w:val="22"/>
                <w:szCs w:val="22"/>
              </w:rPr>
            </w:pPr>
            <w:r>
              <w:rPr>
                <w:rFonts w:ascii="Times New Roman" w:hAnsi="Times New Roman" w:cs="Times New Roman"/>
                <w:sz w:val="22"/>
                <w:szCs w:val="22"/>
              </w:rPr>
              <w:t>NA</w:t>
            </w:r>
          </w:p>
        </w:tc>
      </w:tr>
    </w:tbl>
    <w:p w:rsidR="00813C09" w:rsidRPr="00EC477F" w:rsidRDefault="00813C09" w:rsidP="00813C09">
      <w:pPr>
        <w:rPr>
          <w:rFonts w:ascii="Times New Roman" w:hAnsi="Times New Roman" w:cs="Times New Roman"/>
          <w:sz w:val="22"/>
          <w:szCs w:val="22"/>
        </w:rPr>
      </w:pPr>
    </w:p>
    <w:p w:rsidR="00813C09" w:rsidRPr="00EC477F" w:rsidRDefault="00813C09" w:rsidP="00813C09">
      <w:pPr>
        <w:rPr>
          <w:rFonts w:ascii="Times New Roman" w:hAnsi="Times New Roman" w:cs="Times New Roman"/>
          <w:sz w:val="22"/>
          <w:szCs w:val="22"/>
        </w:rPr>
      </w:pPr>
      <w:r w:rsidRPr="00EC477F">
        <w:rPr>
          <w:rFonts w:ascii="Times New Roman" w:hAnsi="Times New Roman" w:cs="Times New Roman"/>
          <w:sz w:val="22"/>
          <w:szCs w:val="22"/>
        </w:rPr>
        <w:t xml:space="preserve">Note. BART = Balloon Analogue Risk Task. COV = Coefficient of Variation of Adjusted Pumps. LR = Low-Risk. HR = High-Risk. </w:t>
      </w:r>
      <w:r>
        <w:rPr>
          <w:rFonts w:ascii="Times New Roman" w:hAnsi="Times New Roman" w:cs="Times New Roman"/>
          <w:sz w:val="22"/>
          <w:szCs w:val="22"/>
        </w:rPr>
        <w:t>NA = Not available. Adult sample data obtained from a publicly available dataset provided by the Consortium for Neuropsychiatric Phenomics (Poldrack, 2016; Bilder, 2009).</w:t>
      </w:r>
      <w:r w:rsidR="005560D9">
        <w:rPr>
          <w:rFonts w:ascii="Times New Roman" w:hAnsi="Times New Roman" w:cs="Times New Roman"/>
          <w:sz w:val="22"/>
          <w:szCs w:val="22"/>
        </w:rPr>
        <w:t xml:space="preserve"> Please note that age was not significantly correlated with MAI (r = .10, p =.33) in our full sample.</w:t>
      </w:r>
    </w:p>
    <w:p w:rsidR="00813C09" w:rsidRDefault="00813C09" w:rsidP="00813C09">
      <w:pPr>
        <w:rPr>
          <w:rFonts w:ascii="Times New Roman" w:hAnsi="Times New Roman" w:cs="Times New Roman"/>
          <w:sz w:val="22"/>
          <w:szCs w:val="22"/>
        </w:rPr>
      </w:pPr>
      <w:r>
        <w:rPr>
          <w:rFonts w:ascii="Times New Roman" w:hAnsi="Times New Roman" w:cs="Times New Roman"/>
          <w:sz w:val="22"/>
          <w:szCs w:val="22"/>
        </w:rPr>
        <w:t xml:space="preserve"> </w:t>
      </w:r>
    </w:p>
    <w:p w:rsidR="00813C09" w:rsidRPr="00EC477F" w:rsidRDefault="00813C09" w:rsidP="00813C09">
      <w:pPr>
        <w:rPr>
          <w:rFonts w:ascii="Times New Roman" w:hAnsi="Times New Roman" w:cs="Times New Roman"/>
          <w:sz w:val="22"/>
          <w:szCs w:val="22"/>
        </w:rPr>
      </w:pPr>
    </w:p>
    <w:p w:rsidR="00813C09" w:rsidRPr="00EC477F" w:rsidRDefault="00813C09" w:rsidP="00813C09">
      <w:pPr>
        <w:rPr>
          <w:rFonts w:ascii="Times New Roman" w:hAnsi="Times New Roman" w:cs="Times New Roman"/>
          <w:sz w:val="22"/>
          <w:szCs w:val="22"/>
        </w:rPr>
      </w:pPr>
      <w:r w:rsidRPr="00715727">
        <w:rPr>
          <w:rFonts w:ascii="Times New Roman" w:hAnsi="Times New Roman" w:cs="Times New Roman"/>
          <w:sz w:val="22"/>
          <w:szCs w:val="22"/>
        </w:rPr>
        <w:t>Descriptive Statistics of Neuropsychological Domains Within Age Brackets: Displayed as Mean (Standard Deviation)</w:t>
      </w:r>
    </w:p>
    <w:tbl>
      <w:tblPr>
        <w:tblStyle w:val="TableGrid"/>
        <w:tblW w:w="9966" w:type="dxa"/>
        <w:tblLayout w:type="fixed"/>
        <w:tblLook w:val="04A0" w:firstRow="1" w:lastRow="0" w:firstColumn="1" w:lastColumn="0" w:noHBand="0" w:noVBand="1"/>
      </w:tblPr>
      <w:tblGrid>
        <w:gridCol w:w="1218"/>
        <w:gridCol w:w="1249"/>
        <w:gridCol w:w="1250"/>
        <w:gridCol w:w="1250"/>
        <w:gridCol w:w="1249"/>
        <w:gridCol w:w="1250"/>
        <w:gridCol w:w="1250"/>
        <w:gridCol w:w="1250"/>
      </w:tblGrid>
      <w:tr w:rsidR="00813C09" w:rsidRPr="00067D8E" w:rsidTr="006D79CF">
        <w:trPr>
          <w:trHeight w:val="1275"/>
        </w:trPr>
        <w:tc>
          <w:tcPr>
            <w:tcW w:w="1218" w:type="dxa"/>
          </w:tcPr>
          <w:p w:rsidR="00813C09" w:rsidRPr="00EC477F" w:rsidRDefault="00813C09" w:rsidP="006D79CF">
            <w:pPr>
              <w:rPr>
                <w:rFonts w:ascii="Times New Roman" w:hAnsi="Times New Roman" w:cs="Times New Roman"/>
                <w:b/>
                <w:sz w:val="22"/>
                <w:szCs w:val="22"/>
              </w:rPr>
            </w:pPr>
            <w:r w:rsidRPr="00EC477F">
              <w:rPr>
                <w:rFonts w:ascii="Times New Roman" w:hAnsi="Times New Roman" w:cs="Times New Roman"/>
                <w:b/>
                <w:sz w:val="22"/>
                <w:szCs w:val="22"/>
              </w:rPr>
              <w:t>Age Group/</w:t>
            </w:r>
          </w:p>
          <w:p w:rsidR="00813C09" w:rsidRPr="00EC477F" w:rsidRDefault="00813C09" w:rsidP="006D79CF">
            <w:pPr>
              <w:rPr>
                <w:rFonts w:ascii="Times New Roman" w:hAnsi="Times New Roman" w:cs="Times New Roman"/>
                <w:b/>
                <w:sz w:val="22"/>
                <w:szCs w:val="22"/>
              </w:rPr>
            </w:pPr>
            <w:r w:rsidRPr="00EC477F">
              <w:rPr>
                <w:rFonts w:ascii="Times New Roman" w:hAnsi="Times New Roman" w:cs="Times New Roman"/>
                <w:b/>
                <w:sz w:val="22"/>
                <w:szCs w:val="22"/>
              </w:rPr>
              <w:t>NP Function</w:t>
            </w:r>
          </w:p>
        </w:tc>
        <w:tc>
          <w:tcPr>
            <w:tcW w:w="1249" w:type="dxa"/>
          </w:tcPr>
          <w:p w:rsidR="00813C09" w:rsidRPr="00EC477F" w:rsidRDefault="00813C09" w:rsidP="006D79CF">
            <w:pPr>
              <w:rPr>
                <w:rFonts w:ascii="Times New Roman" w:hAnsi="Times New Roman" w:cs="Times New Roman"/>
                <w:b/>
                <w:sz w:val="22"/>
                <w:szCs w:val="22"/>
              </w:rPr>
            </w:pPr>
            <w:r w:rsidRPr="00EC477F">
              <w:rPr>
                <w:rFonts w:ascii="Times New Roman" w:hAnsi="Times New Roman" w:cs="Times New Roman"/>
                <w:b/>
                <w:sz w:val="22"/>
                <w:szCs w:val="22"/>
              </w:rPr>
              <w:t>IQ</w:t>
            </w:r>
          </w:p>
        </w:tc>
        <w:tc>
          <w:tcPr>
            <w:tcW w:w="1250" w:type="dxa"/>
          </w:tcPr>
          <w:p w:rsidR="00813C09" w:rsidRPr="00EC477F" w:rsidRDefault="00813C09" w:rsidP="006D79CF">
            <w:pPr>
              <w:rPr>
                <w:rFonts w:ascii="Times New Roman" w:hAnsi="Times New Roman" w:cs="Times New Roman"/>
                <w:b/>
                <w:sz w:val="22"/>
                <w:szCs w:val="22"/>
              </w:rPr>
            </w:pPr>
            <w:r w:rsidRPr="00EC477F">
              <w:rPr>
                <w:rFonts w:ascii="Times New Roman" w:hAnsi="Times New Roman" w:cs="Times New Roman"/>
                <w:b/>
                <w:sz w:val="22"/>
                <w:szCs w:val="22"/>
              </w:rPr>
              <w:t>Processing Speed</w:t>
            </w:r>
          </w:p>
        </w:tc>
        <w:tc>
          <w:tcPr>
            <w:tcW w:w="1250" w:type="dxa"/>
          </w:tcPr>
          <w:p w:rsidR="00813C09" w:rsidRPr="00EC477F" w:rsidRDefault="00813C09" w:rsidP="006D79CF">
            <w:pPr>
              <w:rPr>
                <w:rFonts w:ascii="Times New Roman" w:hAnsi="Times New Roman" w:cs="Times New Roman"/>
                <w:b/>
                <w:sz w:val="22"/>
                <w:szCs w:val="22"/>
              </w:rPr>
            </w:pPr>
            <w:r w:rsidRPr="00EC477F">
              <w:rPr>
                <w:rFonts w:ascii="Times New Roman" w:hAnsi="Times New Roman" w:cs="Times New Roman"/>
                <w:b/>
                <w:sz w:val="22"/>
                <w:szCs w:val="22"/>
              </w:rPr>
              <w:t>Working Memory</w:t>
            </w:r>
          </w:p>
        </w:tc>
        <w:tc>
          <w:tcPr>
            <w:tcW w:w="1249" w:type="dxa"/>
          </w:tcPr>
          <w:p w:rsidR="00813C09" w:rsidRPr="00EC477F" w:rsidRDefault="00813C09" w:rsidP="006D79CF">
            <w:pPr>
              <w:rPr>
                <w:rFonts w:ascii="Times New Roman" w:hAnsi="Times New Roman" w:cs="Times New Roman"/>
                <w:b/>
                <w:sz w:val="22"/>
                <w:szCs w:val="22"/>
              </w:rPr>
            </w:pPr>
            <w:r w:rsidRPr="00EC477F">
              <w:rPr>
                <w:rFonts w:ascii="Times New Roman" w:hAnsi="Times New Roman" w:cs="Times New Roman"/>
                <w:b/>
                <w:sz w:val="22"/>
                <w:szCs w:val="22"/>
              </w:rPr>
              <w:t>Verbal Learning</w:t>
            </w:r>
          </w:p>
        </w:tc>
        <w:tc>
          <w:tcPr>
            <w:tcW w:w="1250" w:type="dxa"/>
          </w:tcPr>
          <w:p w:rsidR="00813C09" w:rsidRPr="00EC477F" w:rsidRDefault="00813C09" w:rsidP="006D79CF">
            <w:pPr>
              <w:rPr>
                <w:rFonts w:ascii="Times New Roman" w:hAnsi="Times New Roman" w:cs="Times New Roman"/>
                <w:b/>
                <w:sz w:val="22"/>
                <w:szCs w:val="22"/>
              </w:rPr>
            </w:pPr>
            <w:r w:rsidRPr="00EC477F">
              <w:rPr>
                <w:rFonts w:ascii="Times New Roman" w:hAnsi="Times New Roman" w:cs="Times New Roman"/>
                <w:b/>
                <w:sz w:val="22"/>
                <w:szCs w:val="22"/>
              </w:rPr>
              <w:t>Reasoning and Problem Solving</w:t>
            </w:r>
          </w:p>
        </w:tc>
        <w:tc>
          <w:tcPr>
            <w:tcW w:w="1250" w:type="dxa"/>
          </w:tcPr>
          <w:p w:rsidR="00813C09" w:rsidRPr="00EC477F" w:rsidRDefault="00813C09" w:rsidP="006D79CF">
            <w:pPr>
              <w:rPr>
                <w:rFonts w:ascii="Times New Roman" w:hAnsi="Times New Roman" w:cs="Times New Roman"/>
                <w:b/>
                <w:sz w:val="22"/>
                <w:szCs w:val="22"/>
              </w:rPr>
            </w:pPr>
            <w:r w:rsidRPr="00EC477F">
              <w:rPr>
                <w:rFonts w:ascii="Times New Roman" w:hAnsi="Times New Roman" w:cs="Times New Roman"/>
                <w:b/>
                <w:sz w:val="22"/>
                <w:szCs w:val="22"/>
              </w:rPr>
              <w:t xml:space="preserve">Inhibitory Control </w:t>
            </w:r>
          </w:p>
        </w:tc>
        <w:tc>
          <w:tcPr>
            <w:tcW w:w="1250" w:type="dxa"/>
          </w:tcPr>
          <w:p w:rsidR="00813C09" w:rsidRPr="00EC477F" w:rsidRDefault="00813C09" w:rsidP="006D79CF">
            <w:pPr>
              <w:rPr>
                <w:rFonts w:ascii="Times New Roman" w:hAnsi="Times New Roman" w:cs="Times New Roman"/>
                <w:b/>
                <w:sz w:val="22"/>
                <w:szCs w:val="22"/>
              </w:rPr>
            </w:pPr>
            <w:r w:rsidRPr="00EC477F">
              <w:rPr>
                <w:rFonts w:ascii="Times New Roman" w:hAnsi="Times New Roman" w:cs="Times New Roman"/>
                <w:b/>
                <w:sz w:val="22"/>
                <w:szCs w:val="22"/>
              </w:rPr>
              <w:t>Global Executive Control Function</w:t>
            </w:r>
          </w:p>
        </w:tc>
      </w:tr>
      <w:tr w:rsidR="00813C09" w:rsidRPr="00067D8E" w:rsidTr="006D79CF">
        <w:trPr>
          <w:trHeight w:val="501"/>
        </w:trPr>
        <w:tc>
          <w:tcPr>
            <w:tcW w:w="1218" w:type="dxa"/>
          </w:tcPr>
          <w:p w:rsidR="00813C09" w:rsidRPr="00A35814" w:rsidRDefault="00813C09" w:rsidP="006D79CF">
            <w:pPr>
              <w:rPr>
                <w:rFonts w:ascii="Times New Roman" w:hAnsi="Times New Roman" w:cs="Times New Roman"/>
                <w:b/>
                <w:sz w:val="22"/>
                <w:szCs w:val="22"/>
              </w:rPr>
            </w:pPr>
            <w:r w:rsidRPr="00A35814">
              <w:rPr>
                <w:rFonts w:ascii="Times New Roman" w:hAnsi="Times New Roman" w:cs="Times New Roman"/>
                <w:b/>
                <w:sz w:val="22"/>
                <w:szCs w:val="22"/>
              </w:rPr>
              <w:lastRenderedPageBreak/>
              <w:t>8-12 (N=12)</w:t>
            </w:r>
          </w:p>
        </w:tc>
        <w:tc>
          <w:tcPr>
            <w:tcW w:w="1249"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108.25 (10.61)</w:t>
            </w:r>
          </w:p>
        </w:tc>
        <w:tc>
          <w:tcPr>
            <w:tcW w:w="125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30.50 (8.37)</w:t>
            </w:r>
          </w:p>
        </w:tc>
        <w:tc>
          <w:tcPr>
            <w:tcW w:w="125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35.58 (6.43)</w:t>
            </w:r>
          </w:p>
        </w:tc>
        <w:tc>
          <w:tcPr>
            <w:tcW w:w="1249"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44.50 (11.19)</w:t>
            </w:r>
          </w:p>
        </w:tc>
        <w:tc>
          <w:tcPr>
            <w:tcW w:w="125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36.25 (10.83)</w:t>
            </w:r>
          </w:p>
        </w:tc>
        <w:tc>
          <w:tcPr>
            <w:tcW w:w="125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48.57 (12.66)</w:t>
            </w:r>
          </w:p>
        </w:tc>
        <w:tc>
          <w:tcPr>
            <w:tcW w:w="1250" w:type="dxa"/>
          </w:tcPr>
          <w:p w:rsidR="00813C09" w:rsidRPr="00A35814" w:rsidRDefault="00813C09" w:rsidP="006D79CF">
            <w:pPr>
              <w:rPr>
                <w:rFonts w:ascii="Times New Roman" w:hAnsi="Times New Roman" w:cs="Times New Roman"/>
                <w:sz w:val="22"/>
                <w:szCs w:val="22"/>
              </w:rPr>
            </w:pPr>
            <w:r>
              <w:rPr>
                <w:rFonts w:ascii="Times New Roman" w:hAnsi="Times New Roman" w:cs="Times New Roman"/>
                <w:sz w:val="22"/>
                <w:szCs w:val="22"/>
              </w:rPr>
              <w:t>36.14 (6.50)</w:t>
            </w:r>
          </w:p>
        </w:tc>
      </w:tr>
      <w:tr w:rsidR="00813C09" w:rsidRPr="00067D8E" w:rsidTr="006D79CF">
        <w:trPr>
          <w:trHeight w:val="516"/>
        </w:trPr>
        <w:tc>
          <w:tcPr>
            <w:tcW w:w="1218" w:type="dxa"/>
          </w:tcPr>
          <w:p w:rsidR="00813C09" w:rsidRPr="00A35814" w:rsidRDefault="00813C09" w:rsidP="006D79CF">
            <w:pPr>
              <w:rPr>
                <w:rFonts w:ascii="Times New Roman" w:hAnsi="Times New Roman" w:cs="Times New Roman"/>
                <w:b/>
                <w:sz w:val="22"/>
                <w:szCs w:val="22"/>
              </w:rPr>
            </w:pPr>
            <w:r w:rsidRPr="00A35814">
              <w:rPr>
                <w:rFonts w:ascii="Times New Roman" w:hAnsi="Times New Roman" w:cs="Times New Roman"/>
                <w:b/>
                <w:sz w:val="22"/>
                <w:szCs w:val="22"/>
              </w:rPr>
              <w:t>13-17 (N=34)</w:t>
            </w:r>
          </w:p>
        </w:tc>
        <w:tc>
          <w:tcPr>
            <w:tcW w:w="1249"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103.21 (10.862)</w:t>
            </w:r>
          </w:p>
        </w:tc>
        <w:tc>
          <w:tcPr>
            <w:tcW w:w="125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44.45 (9.67)</w:t>
            </w:r>
          </w:p>
        </w:tc>
        <w:tc>
          <w:tcPr>
            <w:tcW w:w="125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42.94 (8.03)</w:t>
            </w:r>
          </w:p>
        </w:tc>
        <w:tc>
          <w:tcPr>
            <w:tcW w:w="1249"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41.91 (8.45)</w:t>
            </w:r>
          </w:p>
        </w:tc>
        <w:tc>
          <w:tcPr>
            <w:tcW w:w="125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41.82 (8.52)</w:t>
            </w:r>
          </w:p>
        </w:tc>
        <w:tc>
          <w:tcPr>
            <w:tcW w:w="125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51.28 (9.99)</w:t>
            </w:r>
          </w:p>
        </w:tc>
        <w:tc>
          <w:tcPr>
            <w:tcW w:w="1250" w:type="dxa"/>
          </w:tcPr>
          <w:p w:rsidR="00813C09" w:rsidRPr="00A35814" w:rsidRDefault="00813C09" w:rsidP="006D79CF">
            <w:pPr>
              <w:rPr>
                <w:rFonts w:ascii="Times New Roman" w:hAnsi="Times New Roman" w:cs="Times New Roman"/>
                <w:sz w:val="22"/>
                <w:szCs w:val="22"/>
              </w:rPr>
            </w:pPr>
            <w:r>
              <w:rPr>
                <w:rFonts w:ascii="Times New Roman" w:hAnsi="Times New Roman" w:cs="Times New Roman"/>
                <w:sz w:val="22"/>
                <w:szCs w:val="22"/>
              </w:rPr>
              <w:t>44.95 (6.21)</w:t>
            </w:r>
          </w:p>
        </w:tc>
      </w:tr>
      <w:tr w:rsidR="00813C09" w:rsidRPr="00067D8E" w:rsidTr="006D79CF">
        <w:trPr>
          <w:trHeight w:val="501"/>
        </w:trPr>
        <w:tc>
          <w:tcPr>
            <w:tcW w:w="1218" w:type="dxa"/>
          </w:tcPr>
          <w:p w:rsidR="00813C09" w:rsidRPr="00A35814" w:rsidRDefault="00813C09" w:rsidP="006D79CF">
            <w:pPr>
              <w:rPr>
                <w:rFonts w:ascii="Times New Roman" w:hAnsi="Times New Roman" w:cs="Times New Roman"/>
                <w:b/>
                <w:sz w:val="22"/>
                <w:szCs w:val="22"/>
              </w:rPr>
            </w:pPr>
            <w:r w:rsidRPr="00A35814">
              <w:rPr>
                <w:rFonts w:ascii="Times New Roman" w:hAnsi="Times New Roman" w:cs="Times New Roman"/>
                <w:b/>
                <w:sz w:val="22"/>
                <w:szCs w:val="22"/>
              </w:rPr>
              <w:t>18-21 (N=5</w:t>
            </w:r>
            <w:r>
              <w:rPr>
                <w:rFonts w:ascii="Times New Roman" w:hAnsi="Times New Roman" w:cs="Times New Roman"/>
                <w:b/>
                <w:sz w:val="22"/>
                <w:szCs w:val="22"/>
              </w:rPr>
              <w:t>0</w:t>
            </w:r>
            <w:r w:rsidRPr="00A35814">
              <w:rPr>
                <w:rFonts w:ascii="Times New Roman" w:hAnsi="Times New Roman" w:cs="Times New Roman"/>
                <w:b/>
                <w:sz w:val="22"/>
                <w:szCs w:val="22"/>
              </w:rPr>
              <w:t>)</w:t>
            </w:r>
          </w:p>
        </w:tc>
        <w:tc>
          <w:tcPr>
            <w:tcW w:w="1249"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103.90 (11.11)</w:t>
            </w:r>
          </w:p>
        </w:tc>
        <w:tc>
          <w:tcPr>
            <w:tcW w:w="125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46.80 (9.31)</w:t>
            </w:r>
          </w:p>
        </w:tc>
        <w:tc>
          <w:tcPr>
            <w:tcW w:w="125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47.12 (8.45)</w:t>
            </w:r>
          </w:p>
        </w:tc>
        <w:tc>
          <w:tcPr>
            <w:tcW w:w="1249"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40.86 (7.45)</w:t>
            </w:r>
          </w:p>
        </w:tc>
        <w:tc>
          <w:tcPr>
            <w:tcW w:w="125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45.78 (8.64)</w:t>
            </w:r>
          </w:p>
        </w:tc>
        <w:tc>
          <w:tcPr>
            <w:tcW w:w="125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56.80 (7.69)</w:t>
            </w:r>
          </w:p>
        </w:tc>
        <w:tc>
          <w:tcPr>
            <w:tcW w:w="1250" w:type="dxa"/>
          </w:tcPr>
          <w:p w:rsidR="00813C09" w:rsidRPr="00A35814" w:rsidRDefault="00813C09" w:rsidP="006D79CF">
            <w:pPr>
              <w:rPr>
                <w:rFonts w:ascii="Times New Roman" w:hAnsi="Times New Roman" w:cs="Times New Roman"/>
                <w:sz w:val="22"/>
                <w:szCs w:val="22"/>
              </w:rPr>
            </w:pPr>
            <w:r>
              <w:rPr>
                <w:rFonts w:ascii="Times New Roman" w:hAnsi="Times New Roman" w:cs="Times New Roman"/>
                <w:sz w:val="22"/>
                <w:szCs w:val="22"/>
              </w:rPr>
              <w:t>48.99 (6.07)</w:t>
            </w:r>
          </w:p>
        </w:tc>
      </w:tr>
      <w:tr w:rsidR="00813C09" w:rsidRPr="00067D8E" w:rsidTr="006D79CF">
        <w:trPr>
          <w:trHeight w:val="501"/>
        </w:trPr>
        <w:tc>
          <w:tcPr>
            <w:tcW w:w="1218" w:type="dxa"/>
          </w:tcPr>
          <w:p w:rsidR="00813C09" w:rsidRPr="00A35814" w:rsidRDefault="00813C09" w:rsidP="006D79CF">
            <w:pPr>
              <w:rPr>
                <w:rFonts w:ascii="Times New Roman" w:hAnsi="Times New Roman" w:cs="Times New Roman"/>
                <w:b/>
                <w:sz w:val="22"/>
                <w:szCs w:val="22"/>
              </w:rPr>
            </w:pPr>
            <w:r w:rsidRPr="00A35814">
              <w:rPr>
                <w:rFonts w:ascii="Times New Roman" w:hAnsi="Times New Roman" w:cs="Times New Roman"/>
                <w:b/>
                <w:sz w:val="22"/>
                <w:szCs w:val="22"/>
              </w:rPr>
              <w:t>22-25 (N=9)</w:t>
            </w:r>
          </w:p>
        </w:tc>
        <w:tc>
          <w:tcPr>
            <w:tcW w:w="1249"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105.11 (13.55)</w:t>
            </w:r>
          </w:p>
        </w:tc>
        <w:tc>
          <w:tcPr>
            <w:tcW w:w="125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48 (14.08)</w:t>
            </w:r>
          </w:p>
        </w:tc>
        <w:tc>
          <w:tcPr>
            <w:tcW w:w="125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50.44 (5.62)</w:t>
            </w:r>
          </w:p>
        </w:tc>
        <w:tc>
          <w:tcPr>
            <w:tcW w:w="1249"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39.33 (7.43)</w:t>
            </w:r>
          </w:p>
        </w:tc>
        <w:tc>
          <w:tcPr>
            <w:tcW w:w="125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41.89 (9.53)</w:t>
            </w:r>
          </w:p>
        </w:tc>
        <w:tc>
          <w:tcPr>
            <w:tcW w:w="1250" w:type="dxa"/>
          </w:tcPr>
          <w:p w:rsidR="00813C09" w:rsidRPr="00A35814" w:rsidRDefault="00813C09" w:rsidP="006D79CF">
            <w:pPr>
              <w:rPr>
                <w:rFonts w:ascii="Times New Roman" w:hAnsi="Times New Roman" w:cs="Times New Roman"/>
                <w:sz w:val="22"/>
                <w:szCs w:val="22"/>
              </w:rPr>
            </w:pPr>
            <w:r w:rsidRPr="00A35814">
              <w:rPr>
                <w:rFonts w:ascii="Times New Roman" w:hAnsi="Times New Roman" w:cs="Times New Roman"/>
                <w:sz w:val="22"/>
                <w:szCs w:val="22"/>
              </w:rPr>
              <w:t>54.11 (8.94)</w:t>
            </w:r>
          </w:p>
        </w:tc>
        <w:tc>
          <w:tcPr>
            <w:tcW w:w="1250" w:type="dxa"/>
          </w:tcPr>
          <w:p w:rsidR="00813C09" w:rsidRPr="00A35814" w:rsidRDefault="00813C09" w:rsidP="006D79CF">
            <w:pPr>
              <w:rPr>
                <w:rFonts w:ascii="Times New Roman" w:hAnsi="Times New Roman" w:cs="Times New Roman"/>
                <w:sz w:val="22"/>
                <w:szCs w:val="22"/>
              </w:rPr>
            </w:pPr>
            <w:r>
              <w:rPr>
                <w:rFonts w:ascii="Times New Roman" w:hAnsi="Times New Roman" w:cs="Times New Roman"/>
                <w:sz w:val="22"/>
                <w:szCs w:val="22"/>
              </w:rPr>
              <w:t>48.61 (7.03)</w:t>
            </w:r>
          </w:p>
        </w:tc>
      </w:tr>
    </w:tbl>
    <w:p w:rsidR="00813C09" w:rsidRPr="00A35814" w:rsidRDefault="00813C09" w:rsidP="00813C09">
      <w:pPr>
        <w:rPr>
          <w:sz w:val="22"/>
          <w:szCs w:val="22"/>
        </w:rPr>
      </w:pPr>
    </w:p>
    <w:p w:rsidR="00813C09" w:rsidRPr="00A35814" w:rsidRDefault="00813C09" w:rsidP="00813C09">
      <w:pPr>
        <w:rPr>
          <w:rFonts w:ascii="Times New Roman" w:hAnsi="Times New Roman" w:cs="Times New Roman"/>
          <w:sz w:val="22"/>
          <w:szCs w:val="22"/>
        </w:rPr>
      </w:pPr>
      <w:r w:rsidRPr="00A35814">
        <w:rPr>
          <w:rFonts w:ascii="Times New Roman" w:hAnsi="Times New Roman" w:cs="Times New Roman"/>
          <w:sz w:val="22"/>
          <w:szCs w:val="22"/>
        </w:rPr>
        <w:t xml:space="preserve">Note. NP = Neuropsychological. </w:t>
      </w:r>
    </w:p>
    <w:p w:rsidR="00813C09" w:rsidRDefault="00813C09" w:rsidP="00813C09">
      <w:pPr>
        <w:rPr>
          <w:rFonts w:ascii="Times New Roman" w:hAnsi="Times New Roman" w:cs="Times New Roman"/>
        </w:rPr>
      </w:pPr>
    </w:p>
    <w:p w:rsidR="00813C09" w:rsidRDefault="00813C09" w:rsidP="00813C09">
      <w:pPr>
        <w:rPr>
          <w:rFonts w:ascii="Times New Roman" w:hAnsi="Times New Roman" w:cs="Times New Roman"/>
        </w:rPr>
      </w:pPr>
      <w:r>
        <w:rPr>
          <w:rFonts w:ascii="Times New Roman" w:hAnsi="Times New Roman" w:cs="Times New Roman"/>
        </w:rPr>
        <w:br w:type="page"/>
      </w:r>
    </w:p>
    <w:p w:rsidR="00813C09" w:rsidRDefault="00813C09" w:rsidP="00813C09">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Supplemental Table 2.</w:t>
      </w:r>
    </w:p>
    <w:p w:rsidR="00813C09" w:rsidRDefault="00813C09" w:rsidP="00813C09">
      <w:pPr>
        <w:widowControl w:val="0"/>
        <w:autoSpaceDE w:val="0"/>
        <w:autoSpaceDN w:val="0"/>
        <w:adjustRightInd w:val="0"/>
        <w:ind w:left="480" w:hanging="480"/>
        <w:rPr>
          <w:rFonts w:ascii="Times New Roman" w:hAnsi="Times New Roman" w:cs="Times New Roman"/>
          <w:i/>
        </w:rPr>
      </w:pPr>
      <w:r>
        <w:rPr>
          <w:rFonts w:ascii="Times New Roman" w:hAnsi="Times New Roman" w:cs="Times New Roman"/>
          <w:i/>
        </w:rPr>
        <w:t>Mediation analyses results in the opposite direction of original analyses to examine the role of</w:t>
      </w:r>
    </w:p>
    <w:p w:rsidR="00813C09" w:rsidRDefault="00813C09" w:rsidP="00813C09">
      <w:pPr>
        <w:widowControl w:val="0"/>
        <w:autoSpaceDE w:val="0"/>
        <w:autoSpaceDN w:val="0"/>
        <w:adjustRightInd w:val="0"/>
        <w:ind w:left="480" w:hanging="480"/>
        <w:rPr>
          <w:rFonts w:ascii="Times New Roman" w:hAnsi="Times New Roman" w:cs="Times New Roman"/>
          <w:i/>
        </w:rPr>
      </w:pPr>
      <w:r>
        <w:rPr>
          <w:rFonts w:ascii="Times New Roman" w:hAnsi="Times New Roman" w:cs="Times New Roman"/>
          <w:i/>
        </w:rPr>
        <w:t>age in the relationship between executive control functions and Coefficient of Variation of</w:t>
      </w:r>
    </w:p>
    <w:p w:rsidR="00813C09" w:rsidRDefault="00813C09" w:rsidP="00813C09">
      <w:pPr>
        <w:widowControl w:val="0"/>
        <w:autoSpaceDE w:val="0"/>
        <w:autoSpaceDN w:val="0"/>
        <w:adjustRightInd w:val="0"/>
        <w:ind w:left="480" w:hanging="480"/>
        <w:rPr>
          <w:rFonts w:ascii="Times New Roman" w:hAnsi="Times New Roman" w:cs="Times New Roman"/>
          <w:i/>
        </w:rPr>
      </w:pPr>
      <w:r>
        <w:rPr>
          <w:rFonts w:ascii="Times New Roman" w:hAnsi="Times New Roman" w:cs="Times New Roman"/>
          <w:i/>
        </w:rPr>
        <w:t>adjusted inflations (COV) during the BART are displayed below. All four criteria for a mediation</w:t>
      </w:r>
    </w:p>
    <w:p w:rsidR="00813C09" w:rsidRDefault="00813C09" w:rsidP="00813C09">
      <w:pPr>
        <w:widowControl w:val="0"/>
        <w:autoSpaceDE w:val="0"/>
        <w:autoSpaceDN w:val="0"/>
        <w:adjustRightInd w:val="0"/>
        <w:ind w:left="480" w:hanging="480"/>
        <w:rPr>
          <w:rFonts w:ascii="Times New Roman" w:hAnsi="Times New Roman" w:cs="Times New Roman"/>
          <w:i/>
        </w:rPr>
      </w:pPr>
      <w:r>
        <w:rPr>
          <w:rFonts w:ascii="Times New Roman" w:hAnsi="Times New Roman" w:cs="Times New Roman"/>
          <w:i/>
        </w:rPr>
        <w:t>analysis were not met: 1) Working Memory related to COV (p=.002, beta=-.37, 2) Working</w:t>
      </w:r>
    </w:p>
    <w:p w:rsidR="00813C09" w:rsidRDefault="00813C09" w:rsidP="00813C09">
      <w:pPr>
        <w:widowControl w:val="0"/>
        <w:autoSpaceDE w:val="0"/>
        <w:autoSpaceDN w:val="0"/>
        <w:adjustRightInd w:val="0"/>
        <w:ind w:left="480" w:hanging="480"/>
        <w:rPr>
          <w:rFonts w:ascii="Times New Roman" w:hAnsi="Times New Roman" w:cs="Times New Roman"/>
          <w:i/>
        </w:rPr>
      </w:pPr>
      <w:r>
        <w:rPr>
          <w:rFonts w:ascii="Times New Roman" w:hAnsi="Times New Roman" w:cs="Times New Roman"/>
          <w:i/>
        </w:rPr>
        <w:t xml:space="preserve">Memory related to Age related to Working Memory (p=.001, beta= .46) 3) Age related to COV </w:t>
      </w:r>
    </w:p>
    <w:p w:rsidR="00813C09" w:rsidRDefault="00813C09" w:rsidP="00813C09">
      <w:pPr>
        <w:widowControl w:val="0"/>
        <w:autoSpaceDE w:val="0"/>
        <w:autoSpaceDN w:val="0"/>
        <w:adjustRightInd w:val="0"/>
        <w:ind w:left="480" w:hanging="480"/>
        <w:rPr>
          <w:rFonts w:ascii="Times New Roman" w:hAnsi="Times New Roman" w:cs="Times New Roman"/>
          <w:i/>
        </w:rPr>
      </w:pPr>
      <w:r>
        <w:rPr>
          <w:rFonts w:ascii="Times New Roman" w:hAnsi="Times New Roman" w:cs="Times New Roman"/>
          <w:i/>
        </w:rPr>
        <w:t xml:space="preserve">(p=.03, -.24, but 4) the relationship between Working Memory and COV was still significant </w:t>
      </w:r>
    </w:p>
    <w:p w:rsidR="00813C09" w:rsidRDefault="00813C09" w:rsidP="00813C09">
      <w:pPr>
        <w:widowControl w:val="0"/>
        <w:autoSpaceDE w:val="0"/>
        <w:autoSpaceDN w:val="0"/>
        <w:adjustRightInd w:val="0"/>
        <w:ind w:left="480" w:hanging="480"/>
        <w:rPr>
          <w:rFonts w:ascii="Times New Roman" w:hAnsi="Times New Roman" w:cs="Times New Roman"/>
          <w:i/>
        </w:rPr>
      </w:pPr>
      <w:r>
        <w:rPr>
          <w:rFonts w:ascii="Times New Roman" w:hAnsi="Times New Roman" w:cs="Times New Roman"/>
          <w:i/>
        </w:rPr>
        <w:t xml:space="preserve">once Age was added to the model (p=.003, beta= -.29), indicating a mediation effect is not </w:t>
      </w:r>
    </w:p>
    <w:p w:rsidR="00813C09" w:rsidRDefault="00813C09" w:rsidP="00813C09">
      <w:pPr>
        <w:widowControl w:val="0"/>
        <w:autoSpaceDE w:val="0"/>
        <w:autoSpaceDN w:val="0"/>
        <w:adjustRightInd w:val="0"/>
        <w:ind w:left="480" w:hanging="480"/>
        <w:rPr>
          <w:rFonts w:ascii="Times New Roman" w:hAnsi="Times New Roman" w:cs="Times New Roman"/>
          <w:i/>
        </w:rPr>
      </w:pPr>
      <w:r>
        <w:rPr>
          <w:rFonts w:ascii="Times New Roman" w:hAnsi="Times New Roman" w:cs="Times New Roman"/>
          <w:i/>
        </w:rPr>
        <w:t>present.</w:t>
      </w:r>
    </w:p>
    <w:p w:rsidR="00813C09" w:rsidRDefault="00813C09" w:rsidP="00813C09">
      <w:pPr>
        <w:widowControl w:val="0"/>
        <w:autoSpaceDE w:val="0"/>
        <w:autoSpaceDN w:val="0"/>
        <w:adjustRightInd w:val="0"/>
        <w:ind w:left="480" w:hanging="480"/>
        <w:rPr>
          <w:rFonts w:ascii="Times New Roman" w:hAnsi="Times New Roman" w:cs="Times New Roman"/>
        </w:rPr>
      </w:pPr>
    </w:p>
    <w:tbl>
      <w:tblPr>
        <w:tblW w:w="0" w:type="auto"/>
        <w:shd w:val="clear" w:color="auto" w:fill="FFFFFF"/>
        <w:tblCellMar>
          <w:left w:w="0" w:type="dxa"/>
          <w:right w:w="0" w:type="dxa"/>
        </w:tblCellMar>
        <w:tblLook w:val="04A0" w:firstRow="1" w:lastRow="0" w:firstColumn="1" w:lastColumn="0" w:noHBand="0" w:noVBand="1"/>
      </w:tblPr>
      <w:tblGrid>
        <w:gridCol w:w="2335"/>
        <w:gridCol w:w="2335"/>
        <w:gridCol w:w="2335"/>
        <w:gridCol w:w="2335"/>
      </w:tblGrid>
      <w:tr w:rsidR="00813C09" w:rsidRPr="00003EAE" w:rsidTr="006D79CF">
        <w:trPr>
          <w:trHeight w:val="242"/>
        </w:trPr>
        <w:tc>
          <w:tcPr>
            <w:tcW w:w="934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13C09" w:rsidRPr="00003EAE" w:rsidRDefault="00813C09" w:rsidP="006D79CF">
            <w:pPr>
              <w:jc w:val="center"/>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Model 1</w:t>
            </w:r>
            <w:r w:rsidRPr="00003EAE">
              <w:rPr>
                <w:rFonts w:ascii="Times New Roman" w:hAnsi="Times New Roman" w:cs="Times New Roman"/>
                <w:b/>
                <w:bCs/>
                <w:color w:val="000000" w:themeColor="text1"/>
                <w:sz w:val="22"/>
                <w:szCs w:val="22"/>
              </w:rPr>
              <w:t xml:space="preserve">: Working Memory T-Score </w:t>
            </w:r>
          </w:p>
        </w:tc>
      </w:tr>
      <w:tr w:rsidR="00813C09" w:rsidRPr="00003EAE" w:rsidTr="006D79CF">
        <w:trPr>
          <w:trHeight w:val="288"/>
        </w:trPr>
        <w:tc>
          <w:tcPr>
            <w:tcW w:w="2335" w:type="dxa"/>
            <w:tcBorders>
              <w:top w:val="single" w:sz="4" w:space="0" w:color="auto"/>
              <w:left w:val="single" w:sz="4" w:space="0" w:color="auto"/>
            </w:tcBorders>
            <w:shd w:val="clear" w:color="auto" w:fill="FFFFFF"/>
            <w:tcMar>
              <w:top w:w="0" w:type="dxa"/>
              <w:left w:w="108" w:type="dxa"/>
              <w:bottom w:w="0" w:type="dxa"/>
              <w:right w:w="108" w:type="dxa"/>
            </w:tcMar>
            <w:hideMark/>
          </w:tcPr>
          <w:p w:rsidR="00813C09" w:rsidRPr="00416442" w:rsidRDefault="00813C09" w:rsidP="006D79CF">
            <w:pPr>
              <w:rPr>
                <w:rFonts w:ascii="Times New Roman" w:hAnsi="Times New Roman" w:cs="Times New Roman"/>
                <w:color w:val="000000" w:themeColor="text1"/>
                <w:sz w:val="22"/>
                <w:szCs w:val="22"/>
                <w:u w:val="single"/>
              </w:rPr>
            </w:pPr>
            <w:r w:rsidRPr="00416442">
              <w:rPr>
                <w:rFonts w:ascii="Times New Roman" w:hAnsi="Times New Roman" w:cs="Times New Roman"/>
                <w:iCs/>
                <w:color w:val="000000" w:themeColor="text1"/>
                <w:sz w:val="22"/>
                <w:szCs w:val="22"/>
                <w:u w:val="single"/>
              </w:rPr>
              <w:t>Predictor Variable</w:t>
            </w:r>
          </w:p>
        </w:tc>
        <w:tc>
          <w:tcPr>
            <w:tcW w:w="2335" w:type="dxa"/>
            <w:tcBorders>
              <w:top w:val="single" w:sz="4" w:space="0" w:color="auto"/>
            </w:tcBorders>
            <w:shd w:val="clear" w:color="auto" w:fill="FFFFFF"/>
            <w:tcMar>
              <w:top w:w="0" w:type="dxa"/>
              <w:left w:w="108" w:type="dxa"/>
              <w:bottom w:w="0" w:type="dxa"/>
              <w:right w:w="108" w:type="dxa"/>
            </w:tcMar>
            <w:hideMark/>
          </w:tcPr>
          <w:p w:rsidR="00813C09" w:rsidRPr="00416442" w:rsidRDefault="00813C09" w:rsidP="006D79CF">
            <w:pPr>
              <w:rPr>
                <w:rFonts w:ascii="Times New Roman" w:hAnsi="Times New Roman" w:cs="Times New Roman"/>
                <w:color w:val="000000" w:themeColor="text1"/>
                <w:sz w:val="22"/>
                <w:szCs w:val="22"/>
                <w:u w:val="single"/>
              </w:rPr>
            </w:pPr>
            <w:r w:rsidRPr="00416442">
              <w:rPr>
                <w:rFonts w:ascii="Times New Roman" w:hAnsi="Times New Roman" w:cs="Times New Roman"/>
                <w:iCs/>
                <w:color w:val="000000" w:themeColor="text1"/>
                <w:sz w:val="22"/>
                <w:szCs w:val="22"/>
                <w:u w:val="single"/>
              </w:rPr>
              <w:t>Outcome Variable</w:t>
            </w:r>
          </w:p>
        </w:tc>
        <w:tc>
          <w:tcPr>
            <w:tcW w:w="2335" w:type="dxa"/>
            <w:tcBorders>
              <w:top w:val="single" w:sz="4" w:space="0" w:color="auto"/>
            </w:tcBorders>
            <w:shd w:val="clear" w:color="auto" w:fill="FFFFFF"/>
            <w:tcMar>
              <w:top w:w="0" w:type="dxa"/>
              <w:left w:w="108" w:type="dxa"/>
              <w:bottom w:w="0" w:type="dxa"/>
              <w:right w:w="108" w:type="dxa"/>
            </w:tcMar>
            <w:hideMark/>
          </w:tcPr>
          <w:p w:rsidR="00813C09" w:rsidRPr="00416442" w:rsidRDefault="00813C09" w:rsidP="006D79CF">
            <w:pPr>
              <w:rPr>
                <w:rFonts w:ascii="Times New Roman" w:hAnsi="Times New Roman" w:cs="Times New Roman"/>
                <w:color w:val="000000" w:themeColor="text1"/>
                <w:sz w:val="22"/>
                <w:szCs w:val="22"/>
                <w:u w:val="single"/>
              </w:rPr>
            </w:pPr>
            <w:r w:rsidRPr="00416442">
              <w:rPr>
                <w:rFonts w:ascii="Times New Roman" w:hAnsi="Times New Roman" w:cs="Times New Roman"/>
                <w:iCs/>
                <w:color w:val="000000" w:themeColor="text1"/>
                <w:sz w:val="22"/>
                <w:szCs w:val="22"/>
                <w:u w:val="single"/>
              </w:rPr>
              <w:t>P-Value</w:t>
            </w:r>
          </w:p>
        </w:tc>
        <w:tc>
          <w:tcPr>
            <w:tcW w:w="2335" w:type="dxa"/>
            <w:tcBorders>
              <w:top w:val="single" w:sz="4" w:space="0" w:color="auto"/>
              <w:right w:val="single" w:sz="4" w:space="0" w:color="auto"/>
            </w:tcBorders>
            <w:shd w:val="clear" w:color="auto" w:fill="FFFFFF"/>
            <w:tcMar>
              <w:top w:w="0" w:type="dxa"/>
              <w:left w:w="108" w:type="dxa"/>
              <w:bottom w:w="0" w:type="dxa"/>
              <w:right w:w="108" w:type="dxa"/>
            </w:tcMar>
            <w:hideMark/>
          </w:tcPr>
          <w:p w:rsidR="00813C09" w:rsidRPr="00416442" w:rsidRDefault="00813C09" w:rsidP="006D79CF">
            <w:pPr>
              <w:rPr>
                <w:rFonts w:ascii="Times New Roman" w:hAnsi="Times New Roman" w:cs="Times New Roman"/>
                <w:color w:val="000000" w:themeColor="text1"/>
                <w:sz w:val="22"/>
                <w:szCs w:val="22"/>
                <w:u w:val="single"/>
              </w:rPr>
            </w:pPr>
            <w:r w:rsidRPr="00416442">
              <w:rPr>
                <w:rFonts w:ascii="Times New Roman" w:hAnsi="Times New Roman" w:cs="Times New Roman"/>
                <w:iCs/>
                <w:color w:val="000000" w:themeColor="text1"/>
                <w:sz w:val="22"/>
                <w:szCs w:val="22"/>
                <w:u w:val="single"/>
              </w:rPr>
              <w:t>Beta</w:t>
            </w:r>
          </w:p>
        </w:tc>
      </w:tr>
      <w:tr w:rsidR="00813C09" w:rsidRPr="00003EAE" w:rsidTr="006D79CF">
        <w:trPr>
          <w:trHeight w:val="288"/>
        </w:trPr>
        <w:tc>
          <w:tcPr>
            <w:tcW w:w="2335" w:type="dxa"/>
            <w:tcBorders>
              <w:top w:val="nil"/>
              <w:left w:val="single" w:sz="4" w:space="0" w:color="auto"/>
            </w:tcBorders>
            <w:shd w:val="clear" w:color="auto" w:fill="FFFFFF"/>
            <w:tcMar>
              <w:top w:w="0" w:type="dxa"/>
              <w:left w:w="108" w:type="dxa"/>
              <w:bottom w:w="0" w:type="dxa"/>
              <w:right w:w="108" w:type="dxa"/>
            </w:tcMar>
            <w:hideMark/>
          </w:tcPr>
          <w:p w:rsidR="00813C09" w:rsidRPr="00003EAE" w:rsidRDefault="00813C09" w:rsidP="006D79C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Working Memory</w:t>
            </w:r>
          </w:p>
        </w:tc>
        <w:tc>
          <w:tcPr>
            <w:tcW w:w="2335" w:type="dxa"/>
            <w:tcBorders>
              <w:top w:val="nil"/>
            </w:tcBorders>
            <w:shd w:val="clear" w:color="auto" w:fill="FFFFFF"/>
            <w:tcMar>
              <w:top w:w="0" w:type="dxa"/>
              <w:left w:w="108" w:type="dxa"/>
              <w:bottom w:w="0" w:type="dxa"/>
              <w:right w:w="108" w:type="dxa"/>
            </w:tcMar>
            <w:hideMark/>
          </w:tcPr>
          <w:p w:rsidR="00813C09" w:rsidRPr="00003EAE" w:rsidRDefault="00813C09" w:rsidP="006D79CF">
            <w:pPr>
              <w:rPr>
                <w:rFonts w:ascii="Times New Roman" w:hAnsi="Times New Roman" w:cs="Times New Roman"/>
                <w:color w:val="000000" w:themeColor="text1"/>
                <w:sz w:val="22"/>
                <w:szCs w:val="22"/>
              </w:rPr>
            </w:pPr>
            <w:r w:rsidRPr="00003EAE">
              <w:rPr>
                <w:rFonts w:ascii="Times New Roman" w:hAnsi="Times New Roman" w:cs="Times New Roman"/>
                <w:color w:val="000000" w:themeColor="text1"/>
                <w:sz w:val="22"/>
                <w:szCs w:val="22"/>
              </w:rPr>
              <w:t>COV</w:t>
            </w:r>
          </w:p>
        </w:tc>
        <w:tc>
          <w:tcPr>
            <w:tcW w:w="2335" w:type="dxa"/>
            <w:tcBorders>
              <w:top w:val="nil"/>
            </w:tcBorders>
            <w:shd w:val="clear" w:color="auto" w:fill="FFFFFF"/>
            <w:tcMar>
              <w:top w:w="0" w:type="dxa"/>
              <w:left w:w="108" w:type="dxa"/>
              <w:bottom w:w="0" w:type="dxa"/>
              <w:right w:w="108" w:type="dxa"/>
            </w:tcMar>
            <w:hideMark/>
          </w:tcPr>
          <w:p w:rsidR="00813C09" w:rsidRPr="00003EAE" w:rsidRDefault="00813C09" w:rsidP="006D79C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.002</w:t>
            </w:r>
          </w:p>
        </w:tc>
        <w:tc>
          <w:tcPr>
            <w:tcW w:w="2335" w:type="dxa"/>
            <w:tcBorders>
              <w:top w:val="nil"/>
              <w:right w:val="single" w:sz="4" w:space="0" w:color="auto"/>
            </w:tcBorders>
            <w:shd w:val="clear" w:color="auto" w:fill="FFFFFF"/>
            <w:tcMar>
              <w:top w:w="0" w:type="dxa"/>
              <w:left w:w="108" w:type="dxa"/>
              <w:bottom w:w="0" w:type="dxa"/>
              <w:right w:w="108" w:type="dxa"/>
            </w:tcMar>
            <w:hideMark/>
          </w:tcPr>
          <w:p w:rsidR="00813C09" w:rsidRPr="00003EAE" w:rsidRDefault="00813C09" w:rsidP="006D79C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-.37</w:t>
            </w:r>
          </w:p>
        </w:tc>
      </w:tr>
      <w:tr w:rsidR="00813C09" w:rsidRPr="00003EAE" w:rsidTr="006D79CF">
        <w:trPr>
          <w:trHeight w:val="288"/>
        </w:trPr>
        <w:tc>
          <w:tcPr>
            <w:tcW w:w="2335" w:type="dxa"/>
            <w:tcBorders>
              <w:top w:val="nil"/>
              <w:left w:val="single" w:sz="4" w:space="0" w:color="auto"/>
            </w:tcBorders>
            <w:shd w:val="clear" w:color="auto" w:fill="FFFFFF"/>
            <w:tcMar>
              <w:top w:w="0" w:type="dxa"/>
              <w:left w:w="108" w:type="dxa"/>
              <w:bottom w:w="0" w:type="dxa"/>
              <w:right w:w="108" w:type="dxa"/>
            </w:tcMar>
            <w:hideMark/>
          </w:tcPr>
          <w:p w:rsidR="00813C09" w:rsidRPr="00003EAE" w:rsidRDefault="00813C09" w:rsidP="006D79C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Working Memory</w:t>
            </w:r>
          </w:p>
        </w:tc>
        <w:tc>
          <w:tcPr>
            <w:tcW w:w="2335" w:type="dxa"/>
            <w:tcBorders>
              <w:top w:val="nil"/>
            </w:tcBorders>
            <w:shd w:val="clear" w:color="auto" w:fill="FFFFFF"/>
            <w:tcMar>
              <w:top w:w="0" w:type="dxa"/>
              <w:left w:w="108" w:type="dxa"/>
              <w:bottom w:w="0" w:type="dxa"/>
              <w:right w:w="108" w:type="dxa"/>
            </w:tcMar>
            <w:hideMark/>
          </w:tcPr>
          <w:p w:rsidR="00813C09" w:rsidRPr="00003EAE" w:rsidRDefault="00813C09" w:rsidP="006D79C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Age</w:t>
            </w:r>
          </w:p>
        </w:tc>
        <w:tc>
          <w:tcPr>
            <w:tcW w:w="2335" w:type="dxa"/>
            <w:tcBorders>
              <w:top w:val="nil"/>
            </w:tcBorders>
            <w:shd w:val="clear" w:color="auto" w:fill="FFFFFF"/>
            <w:tcMar>
              <w:top w:w="0" w:type="dxa"/>
              <w:left w:w="108" w:type="dxa"/>
              <w:bottom w:w="0" w:type="dxa"/>
              <w:right w:w="108" w:type="dxa"/>
            </w:tcMar>
            <w:hideMark/>
          </w:tcPr>
          <w:p w:rsidR="00813C09" w:rsidRPr="00003EAE" w:rsidRDefault="00813C09" w:rsidP="006D79C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.001</w:t>
            </w:r>
          </w:p>
        </w:tc>
        <w:tc>
          <w:tcPr>
            <w:tcW w:w="2335" w:type="dxa"/>
            <w:tcBorders>
              <w:top w:val="nil"/>
              <w:right w:val="single" w:sz="4" w:space="0" w:color="auto"/>
            </w:tcBorders>
            <w:shd w:val="clear" w:color="auto" w:fill="FFFFFF"/>
            <w:tcMar>
              <w:top w:w="0" w:type="dxa"/>
              <w:left w:w="108" w:type="dxa"/>
              <w:bottom w:w="0" w:type="dxa"/>
              <w:right w:w="108" w:type="dxa"/>
            </w:tcMar>
            <w:hideMark/>
          </w:tcPr>
          <w:p w:rsidR="00813C09" w:rsidRPr="00003EAE" w:rsidRDefault="00813C09" w:rsidP="006D79C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.46</w:t>
            </w:r>
          </w:p>
        </w:tc>
      </w:tr>
      <w:tr w:rsidR="00813C09" w:rsidRPr="00003EAE" w:rsidTr="006D79CF">
        <w:trPr>
          <w:trHeight w:val="288"/>
        </w:trPr>
        <w:tc>
          <w:tcPr>
            <w:tcW w:w="2335" w:type="dxa"/>
            <w:tcBorders>
              <w:top w:val="nil"/>
              <w:left w:val="single" w:sz="4" w:space="0" w:color="auto"/>
            </w:tcBorders>
            <w:shd w:val="clear" w:color="auto" w:fill="FFFFFF"/>
            <w:tcMar>
              <w:top w:w="0" w:type="dxa"/>
              <w:left w:w="108" w:type="dxa"/>
              <w:bottom w:w="0" w:type="dxa"/>
              <w:right w:w="108" w:type="dxa"/>
            </w:tcMar>
            <w:hideMark/>
          </w:tcPr>
          <w:p w:rsidR="00813C09" w:rsidRPr="00003EAE" w:rsidRDefault="00813C09" w:rsidP="006D79C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Age</w:t>
            </w:r>
          </w:p>
        </w:tc>
        <w:tc>
          <w:tcPr>
            <w:tcW w:w="2335" w:type="dxa"/>
            <w:tcBorders>
              <w:top w:val="nil"/>
            </w:tcBorders>
            <w:shd w:val="clear" w:color="auto" w:fill="FFFFFF"/>
            <w:tcMar>
              <w:top w:w="0" w:type="dxa"/>
              <w:left w:w="108" w:type="dxa"/>
              <w:bottom w:w="0" w:type="dxa"/>
              <w:right w:w="108" w:type="dxa"/>
            </w:tcMar>
            <w:hideMark/>
          </w:tcPr>
          <w:p w:rsidR="00813C09" w:rsidRPr="00003EAE" w:rsidRDefault="00813C09" w:rsidP="006D79CF">
            <w:pPr>
              <w:rPr>
                <w:rFonts w:ascii="Times New Roman" w:hAnsi="Times New Roman" w:cs="Times New Roman"/>
                <w:color w:val="000000" w:themeColor="text1"/>
                <w:sz w:val="22"/>
                <w:szCs w:val="22"/>
              </w:rPr>
            </w:pPr>
            <w:r w:rsidRPr="00003EAE">
              <w:rPr>
                <w:rFonts w:ascii="Times New Roman" w:hAnsi="Times New Roman" w:cs="Times New Roman"/>
                <w:color w:val="000000" w:themeColor="text1"/>
                <w:sz w:val="22"/>
                <w:szCs w:val="22"/>
              </w:rPr>
              <w:t>COV</w:t>
            </w:r>
          </w:p>
        </w:tc>
        <w:tc>
          <w:tcPr>
            <w:tcW w:w="2335" w:type="dxa"/>
            <w:tcBorders>
              <w:top w:val="nil"/>
            </w:tcBorders>
            <w:shd w:val="clear" w:color="auto" w:fill="FFFFFF"/>
            <w:tcMar>
              <w:top w:w="0" w:type="dxa"/>
              <w:left w:w="108" w:type="dxa"/>
              <w:bottom w:w="0" w:type="dxa"/>
              <w:right w:w="108" w:type="dxa"/>
            </w:tcMar>
            <w:hideMark/>
          </w:tcPr>
          <w:p w:rsidR="00813C09" w:rsidRPr="00003EAE" w:rsidRDefault="00813C09" w:rsidP="006D79C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.03</w:t>
            </w:r>
          </w:p>
        </w:tc>
        <w:tc>
          <w:tcPr>
            <w:tcW w:w="2335" w:type="dxa"/>
            <w:tcBorders>
              <w:top w:val="nil"/>
              <w:right w:val="single" w:sz="4" w:space="0" w:color="auto"/>
            </w:tcBorders>
            <w:shd w:val="clear" w:color="auto" w:fill="FFFFFF"/>
            <w:tcMar>
              <w:top w:w="0" w:type="dxa"/>
              <w:left w:w="108" w:type="dxa"/>
              <w:bottom w:w="0" w:type="dxa"/>
              <w:right w:w="108" w:type="dxa"/>
            </w:tcMar>
            <w:hideMark/>
          </w:tcPr>
          <w:p w:rsidR="00813C09" w:rsidRPr="00003EAE" w:rsidRDefault="00813C09" w:rsidP="006D79C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-.24</w:t>
            </w:r>
          </w:p>
        </w:tc>
      </w:tr>
      <w:tr w:rsidR="00813C09" w:rsidRPr="00003EAE" w:rsidTr="006D79CF">
        <w:trPr>
          <w:trHeight w:val="288"/>
        </w:trPr>
        <w:tc>
          <w:tcPr>
            <w:tcW w:w="2335" w:type="dxa"/>
            <w:tcBorders>
              <w:top w:val="nil"/>
              <w:left w:val="single" w:sz="4" w:space="0" w:color="auto"/>
              <w:bottom w:val="single" w:sz="4" w:space="0" w:color="auto"/>
            </w:tcBorders>
            <w:shd w:val="clear" w:color="auto" w:fill="FFFFFF"/>
            <w:tcMar>
              <w:top w:w="0" w:type="dxa"/>
              <w:left w:w="108" w:type="dxa"/>
              <w:bottom w:w="0" w:type="dxa"/>
              <w:right w:w="108" w:type="dxa"/>
            </w:tcMar>
            <w:hideMark/>
          </w:tcPr>
          <w:p w:rsidR="00813C09" w:rsidRPr="006142C1" w:rsidRDefault="00813C09" w:rsidP="006D79CF">
            <w:pPr>
              <w:rPr>
                <w:rFonts w:ascii="Times New Roman" w:hAnsi="Times New Roman" w:cs="Times New Roman"/>
                <w:b/>
                <w:color w:val="000000" w:themeColor="text1"/>
                <w:sz w:val="22"/>
                <w:szCs w:val="22"/>
              </w:rPr>
            </w:pPr>
            <w:r w:rsidRPr="006142C1">
              <w:rPr>
                <w:rFonts w:ascii="Times New Roman" w:hAnsi="Times New Roman" w:cs="Times New Roman"/>
                <w:b/>
                <w:color w:val="000000" w:themeColor="text1"/>
                <w:sz w:val="22"/>
                <w:szCs w:val="22"/>
              </w:rPr>
              <w:t>Working Memory + Age</w:t>
            </w:r>
            <w:r w:rsidRPr="006142C1">
              <w:rPr>
                <w:rFonts w:ascii="Times New Roman" w:hAnsi="Times New Roman" w:cs="Times New Roman"/>
                <w:b/>
                <w:color w:val="000000" w:themeColor="text1"/>
                <w:sz w:val="22"/>
                <w:szCs w:val="22"/>
                <w:vertAlign w:val="superscript"/>
              </w:rPr>
              <w:t>*</w:t>
            </w:r>
          </w:p>
        </w:tc>
        <w:tc>
          <w:tcPr>
            <w:tcW w:w="2335" w:type="dxa"/>
            <w:tcBorders>
              <w:top w:val="nil"/>
              <w:bottom w:val="single" w:sz="4" w:space="0" w:color="auto"/>
            </w:tcBorders>
            <w:shd w:val="clear" w:color="auto" w:fill="FFFFFF"/>
            <w:tcMar>
              <w:top w:w="0" w:type="dxa"/>
              <w:left w:w="108" w:type="dxa"/>
              <w:bottom w:w="0" w:type="dxa"/>
              <w:right w:w="108" w:type="dxa"/>
            </w:tcMar>
            <w:hideMark/>
          </w:tcPr>
          <w:p w:rsidR="00813C09" w:rsidRPr="006142C1" w:rsidRDefault="00813C09" w:rsidP="006D79CF">
            <w:pPr>
              <w:rPr>
                <w:rFonts w:ascii="Times New Roman" w:hAnsi="Times New Roman" w:cs="Times New Roman"/>
                <w:b/>
                <w:color w:val="000000" w:themeColor="text1"/>
                <w:sz w:val="22"/>
                <w:szCs w:val="22"/>
              </w:rPr>
            </w:pPr>
            <w:r w:rsidRPr="006142C1">
              <w:rPr>
                <w:rFonts w:ascii="Times New Roman" w:hAnsi="Times New Roman" w:cs="Times New Roman"/>
                <w:b/>
                <w:color w:val="000000" w:themeColor="text1"/>
                <w:sz w:val="22"/>
                <w:szCs w:val="22"/>
              </w:rPr>
              <w:t>COV</w:t>
            </w:r>
          </w:p>
        </w:tc>
        <w:tc>
          <w:tcPr>
            <w:tcW w:w="2335" w:type="dxa"/>
            <w:tcBorders>
              <w:top w:val="nil"/>
              <w:bottom w:val="single" w:sz="4" w:space="0" w:color="auto"/>
            </w:tcBorders>
            <w:shd w:val="clear" w:color="auto" w:fill="FFFFFF"/>
            <w:tcMar>
              <w:top w:w="0" w:type="dxa"/>
              <w:left w:w="108" w:type="dxa"/>
              <w:bottom w:w="0" w:type="dxa"/>
              <w:right w:w="108" w:type="dxa"/>
            </w:tcMar>
            <w:hideMark/>
          </w:tcPr>
          <w:p w:rsidR="00813C09" w:rsidRPr="006142C1" w:rsidRDefault="00813C09" w:rsidP="006D79CF">
            <w:pPr>
              <w:rPr>
                <w:rFonts w:ascii="Times New Roman" w:hAnsi="Times New Roman" w:cs="Times New Roman"/>
                <w:b/>
                <w:color w:val="000000" w:themeColor="text1"/>
                <w:sz w:val="22"/>
                <w:szCs w:val="22"/>
              </w:rPr>
            </w:pPr>
            <w:r w:rsidRPr="006142C1">
              <w:rPr>
                <w:rFonts w:ascii="Times New Roman" w:hAnsi="Times New Roman" w:cs="Times New Roman"/>
                <w:b/>
                <w:color w:val="000000" w:themeColor="text1"/>
                <w:sz w:val="22"/>
                <w:szCs w:val="22"/>
              </w:rPr>
              <w:t>.003</w:t>
            </w:r>
          </w:p>
        </w:tc>
        <w:tc>
          <w:tcPr>
            <w:tcW w:w="2335" w:type="dxa"/>
            <w:tcBorders>
              <w:top w:val="nil"/>
              <w:bottom w:val="single" w:sz="4" w:space="0" w:color="auto"/>
              <w:right w:val="single" w:sz="4" w:space="0" w:color="auto"/>
            </w:tcBorders>
            <w:shd w:val="clear" w:color="auto" w:fill="FFFFFF"/>
            <w:tcMar>
              <w:top w:w="0" w:type="dxa"/>
              <w:left w:w="108" w:type="dxa"/>
              <w:bottom w:w="0" w:type="dxa"/>
              <w:right w:w="108" w:type="dxa"/>
            </w:tcMar>
            <w:hideMark/>
          </w:tcPr>
          <w:p w:rsidR="00813C09" w:rsidRPr="006142C1" w:rsidRDefault="00813C09" w:rsidP="006D79CF">
            <w:pPr>
              <w:rPr>
                <w:rFonts w:ascii="Times New Roman" w:hAnsi="Times New Roman" w:cs="Times New Roman"/>
                <w:b/>
                <w:color w:val="000000" w:themeColor="text1"/>
                <w:sz w:val="22"/>
                <w:szCs w:val="22"/>
              </w:rPr>
            </w:pPr>
            <w:r w:rsidRPr="006142C1">
              <w:rPr>
                <w:rFonts w:ascii="Times New Roman" w:hAnsi="Times New Roman" w:cs="Times New Roman"/>
                <w:b/>
                <w:color w:val="000000" w:themeColor="text1"/>
                <w:sz w:val="22"/>
                <w:szCs w:val="22"/>
              </w:rPr>
              <w:t>-.29</w:t>
            </w:r>
          </w:p>
        </w:tc>
      </w:tr>
    </w:tbl>
    <w:p w:rsidR="00813C09" w:rsidRDefault="00813C09" w:rsidP="00813C09">
      <w:pPr>
        <w:rPr>
          <w:rFonts w:ascii="Times New Roman" w:hAnsi="Times New Roman" w:cs="Times New Roman"/>
        </w:rPr>
      </w:pPr>
    </w:p>
    <w:p w:rsidR="00813C09" w:rsidRDefault="00813C09" w:rsidP="00813C09">
      <w:pPr>
        <w:rPr>
          <w:rFonts w:ascii="Times New Roman" w:hAnsi="Times New Roman" w:cs="Times New Roman"/>
        </w:rPr>
      </w:pPr>
    </w:p>
    <w:p w:rsidR="00813C09" w:rsidRDefault="00813C09" w:rsidP="00813C09">
      <w:pPr>
        <w:rPr>
          <w:rFonts w:ascii="Times New Roman" w:hAnsi="Times New Roman" w:cs="Times New Roman"/>
        </w:rPr>
      </w:pPr>
      <w:r>
        <w:rPr>
          <w:rFonts w:ascii="Times New Roman" w:hAnsi="Times New Roman" w:cs="Times New Roman"/>
        </w:rPr>
        <w:br w:type="page"/>
      </w:r>
    </w:p>
    <w:p w:rsidR="00813C09" w:rsidRPr="00A35814" w:rsidRDefault="00813C09" w:rsidP="00813C09">
      <w:pPr>
        <w:widowControl w:val="0"/>
        <w:autoSpaceDE w:val="0"/>
        <w:autoSpaceDN w:val="0"/>
        <w:adjustRightInd w:val="0"/>
        <w:ind w:left="480" w:hanging="480"/>
        <w:rPr>
          <w:rFonts w:ascii="Times New Roman" w:hAnsi="Times New Roman" w:cs="Times New Roman"/>
          <w:sz w:val="22"/>
          <w:szCs w:val="22"/>
        </w:rPr>
      </w:pPr>
    </w:p>
    <w:p w:rsidR="00813C09" w:rsidRDefault="00813C09" w:rsidP="00813C09">
      <w:pPr>
        <w:rPr>
          <w:rFonts w:ascii="Times New Roman" w:hAnsi="Times New Roman" w:cs="Times New Roman"/>
        </w:rPr>
      </w:pPr>
      <w:r>
        <w:rPr>
          <w:rFonts w:ascii="Times New Roman" w:hAnsi="Times New Roman" w:cs="Times New Roman"/>
          <w:noProof/>
          <w:lang w:val="en-IN" w:eastAsia="en-IN"/>
        </w:rPr>
        <w:drawing>
          <wp:inline distT="0" distB="0" distL="0" distR="0" wp14:anchorId="62C5099D" wp14:editId="3C0EC306">
            <wp:extent cx="5943600" cy="46132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TGraphsMAI.png"/>
                    <pic:cNvPicPr/>
                  </pic:nvPicPr>
                  <pic:blipFill>
                    <a:blip r:embed="rId4">
                      <a:extLst>
                        <a:ext uri="{28A0092B-C50C-407E-A947-70E740481C1C}">
                          <a14:useLocalDpi xmlns:a14="http://schemas.microsoft.com/office/drawing/2010/main" val="0"/>
                        </a:ext>
                      </a:extLst>
                    </a:blip>
                    <a:stretch>
                      <a:fillRect/>
                    </a:stretch>
                  </pic:blipFill>
                  <pic:spPr>
                    <a:xfrm>
                      <a:off x="0" y="0"/>
                      <a:ext cx="5943600" cy="4613275"/>
                    </a:xfrm>
                    <a:prstGeom prst="rect">
                      <a:avLst/>
                    </a:prstGeom>
                  </pic:spPr>
                </pic:pic>
              </a:graphicData>
            </a:graphic>
          </wp:inline>
        </w:drawing>
      </w:r>
    </w:p>
    <w:p w:rsidR="00813C09" w:rsidRDefault="00813C09" w:rsidP="00813C09">
      <w:pPr>
        <w:widowControl w:val="0"/>
        <w:autoSpaceDE w:val="0"/>
        <w:autoSpaceDN w:val="0"/>
        <w:adjustRightInd w:val="0"/>
        <w:rPr>
          <w:rFonts w:ascii="Times New Roman" w:hAnsi="Times New Roman" w:cs="Times New Roman"/>
          <w:i/>
        </w:rPr>
      </w:pPr>
    </w:p>
    <w:p w:rsidR="00813C09" w:rsidRDefault="00813C09" w:rsidP="00813C09">
      <w:pPr>
        <w:widowControl w:val="0"/>
        <w:autoSpaceDE w:val="0"/>
        <w:autoSpaceDN w:val="0"/>
        <w:adjustRightInd w:val="0"/>
        <w:rPr>
          <w:rFonts w:ascii="Times New Roman" w:hAnsi="Times New Roman" w:cs="Times New Roman"/>
          <w:b/>
        </w:rPr>
      </w:pPr>
      <w:r>
        <w:rPr>
          <w:rFonts w:ascii="Times New Roman" w:hAnsi="Times New Roman" w:cs="Times New Roman"/>
          <w:i/>
        </w:rPr>
        <w:t xml:space="preserve">Supplemental Material </w:t>
      </w:r>
      <w:r w:rsidRPr="00995FF0">
        <w:rPr>
          <w:rFonts w:ascii="Times New Roman" w:hAnsi="Times New Roman" w:cs="Times New Roman"/>
          <w:i/>
        </w:rPr>
        <w:t xml:space="preserve">Figure </w:t>
      </w:r>
      <w:r>
        <w:rPr>
          <w:rFonts w:ascii="Times New Roman" w:hAnsi="Times New Roman" w:cs="Times New Roman"/>
          <w:i/>
        </w:rPr>
        <w:t>1</w:t>
      </w:r>
      <w:r w:rsidRPr="00995FF0">
        <w:rPr>
          <w:rFonts w:ascii="Times New Roman" w:hAnsi="Times New Roman" w:cs="Times New Roman"/>
          <w:i/>
        </w:rPr>
        <w:t>.</w:t>
      </w:r>
      <w:r>
        <w:rPr>
          <w:rFonts w:ascii="Times New Roman" w:hAnsi="Times New Roman" w:cs="Times New Roman"/>
        </w:rPr>
        <w:t xml:space="preserve"> These figures show the lack of significant relationship between </w:t>
      </w:r>
      <w:r w:rsidRPr="00E80AF1">
        <w:rPr>
          <w:rFonts w:ascii="Times New Roman" w:hAnsi="Times New Roman" w:cs="Times New Roman"/>
        </w:rPr>
        <w:t>relationship</w:t>
      </w:r>
      <w:r>
        <w:rPr>
          <w:rFonts w:ascii="Times New Roman" w:hAnsi="Times New Roman" w:cs="Times New Roman"/>
        </w:rPr>
        <w:t xml:space="preserve"> between the traditional Balloon Analogue Risk Task metric, Mean Adjusted Inflations and the four domains of executive control functions (ECF). These graphs demonstrate the distinct relationship ECF has to COV, a measure of adaptive risk-taking compared with Mean Adjusted Inflations, traditionally a measure of maladaptive risk-propensity. All graphs reflect z-scores of respective variables.</w:t>
      </w:r>
    </w:p>
    <w:p w:rsidR="00DC55E1" w:rsidRDefault="005B2613"/>
    <w:sectPr w:rsidR="00DC5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09"/>
    <w:rsid w:val="005560D9"/>
    <w:rsid w:val="00586070"/>
    <w:rsid w:val="005B2613"/>
    <w:rsid w:val="00665ACA"/>
    <w:rsid w:val="006C0055"/>
    <w:rsid w:val="006D6872"/>
    <w:rsid w:val="007A2899"/>
    <w:rsid w:val="00813C09"/>
    <w:rsid w:val="0093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DE1A5-A708-4D2D-AF8E-A4F765FA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0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C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Queens College</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 Blair</dc:creator>
  <cp:keywords/>
  <dc:description/>
  <cp:lastModifiedBy>Parag Sharma Ishwar Lal Sharma, Integra-PDY, IN</cp:lastModifiedBy>
  <cp:revision>2</cp:revision>
  <dcterms:created xsi:type="dcterms:W3CDTF">2018-08-27T10:03:00Z</dcterms:created>
  <dcterms:modified xsi:type="dcterms:W3CDTF">2018-08-27T10:03:00Z</dcterms:modified>
</cp:coreProperties>
</file>