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5E" w:rsidRDefault="00F5065E" w:rsidP="00AF0C56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F51DC" w:rsidRDefault="00F5065E" w:rsidP="00AF0C56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APPENDIX 1: FIRST </w:t>
      </w:r>
      <w:r w:rsidR="00FF51DC">
        <w:rPr>
          <w:rFonts w:ascii="Times New Roman" w:hAnsi="Times New Roman"/>
          <w:b/>
          <w:color w:val="000000" w:themeColor="text1"/>
          <w:sz w:val="24"/>
          <w:szCs w:val="24"/>
        </w:rPr>
        <w:t>SURVEY</w:t>
      </w:r>
    </w:p>
    <w:p w:rsidR="0029460B" w:rsidRPr="00104C8B" w:rsidRDefault="00FF51DC" w:rsidP="00AF0C56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Questionnaire on the School Feeding Programme for Head teachers, Class t</w:t>
      </w:r>
      <w:r w:rsidRPr="00104C8B">
        <w:rPr>
          <w:rFonts w:ascii="Times New Roman" w:hAnsi="Times New Roman"/>
          <w:b/>
          <w:color w:val="000000" w:themeColor="text1"/>
          <w:sz w:val="24"/>
          <w:szCs w:val="24"/>
        </w:rPr>
        <w:t>eachers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and Parents</w:t>
      </w:r>
    </w:p>
    <w:p w:rsidR="0029460B" w:rsidRPr="00104C8B" w:rsidRDefault="0029460B" w:rsidP="00AF0C56">
      <w:pPr>
        <w:pStyle w:val="NoSpacing"/>
        <w:jc w:val="center"/>
        <w:rPr>
          <w:rFonts w:ascii="Times New Roman" w:hAnsi="Times New Roman"/>
          <w:color w:val="000000" w:themeColor="text1"/>
          <w:sz w:val="16"/>
          <w:szCs w:val="24"/>
        </w:rPr>
      </w:pPr>
    </w:p>
    <w:p w:rsidR="0029460B" w:rsidRPr="00104C8B" w:rsidRDefault="0029460B" w:rsidP="00AF0C56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4C8B">
        <w:rPr>
          <w:rFonts w:ascii="Times New Roman" w:hAnsi="Times New Roman"/>
          <w:color w:val="000000" w:themeColor="text1"/>
          <w:sz w:val="24"/>
          <w:szCs w:val="24"/>
        </w:rPr>
        <w:t>This questionnaire is designed purely for academic work and data collected will be strictly confidential. Under no circumstances will information identifying the respondent or school be disclosed.</w:t>
      </w:r>
    </w:p>
    <w:p w:rsidR="00191759" w:rsidRDefault="00191759" w:rsidP="00414FA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14FA1" w:rsidRDefault="00414FA1" w:rsidP="00414FA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065E" w:rsidRDefault="00F9597C" w:rsidP="00414FA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Please name all the factors you think are responsible for the reasons why parents are now more willing to take their children to school than before</w:t>
      </w:r>
    </w:p>
    <w:p w:rsidR="00F5065E" w:rsidRDefault="00F9597C" w:rsidP="00414FA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</w:p>
    <w:p w:rsidR="00F9597C" w:rsidRDefault="00F9597C" w:rsidP="00414FA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</w:p>
    <w:p w:rsidR="00F9597C" w:rsidRDefault="00F9597C" w:rsidP="00414FA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</w:p>
    <w:p w:rsidR="00F9597C" w:rsidRDefault="00F9597C" w:rsidP="00414FA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</w:p>
    <w:p w:rsidR="00F9597C" w:rsidRDefault="00F9597C" w:rsidP="00414FA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6.</w:t>
      </w:r>
    </w:p>
    <w:p w:rsidR="00F9597C" w:rsidRDefault="00F9597C" w:rsidP="00414FA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</w:p>
    <w:p w:rsidR="00F9597C" w:rsidRDefault="00F9597C" w:rsidP="00414FA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8.</w:t>
      </w:r>
    </w:p>
    <w:p w:rsidR="00F9597C" w:rsidRDefault="00F9597C" w:rsidP="00414FA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9.</w:t>
      </w:r>
    </w:p>
    <w:p w:rsidR="00F9597C" w:rsidRDefault="00F9597C" w:rsidP="00414FA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10.</w:t>
      </w:r>
    </w:p>
    <w:p w:rsidR="00544CB2" w:rsidRDefault="00544CB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p w:rsidR="00F5065E" w:rsidRDefault="00F5065E" w:rsidP="00414FA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5065E" w:rsidRDefault="00F5065E" w:rsidP="00F5065E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APPENDIX 2: SECOND SURVEY</w:t>
      </w:r>
    </w:p>
    <w:p w:rsidR="00F5065E" w:rsidRDefault="00F5065E" w:rsidP="00414FA1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9460B" w:rsidRPr="00104C8B" w:rsidRDefault="0029460B" w:rsidP="00AF0C5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4C8B">
        <w:rPr>
          <w:rFonts w:ascii="Times New Roman" w:hAnsi="Times New Roman"/>
          <w:b/>
          <w:color w:val="000000" w:themeColor="text1"/>
          <w:sz w:val="24"/>
          <w:szCs w:val="24"/>
        </w:rPr>
        <w:t xml:space="preserve">INSTRUCTION: </w:t>
      </w:r>
    </w:p>
    <w:p w:rsidR="0029460B" w:rsidRDefault="0029460B" w:rsidP="00A3554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04C8B">
        <w:rPr>
          <w:rFonts w:ascii="Times New Roman" w:hAnsi="Times New Roman"/>
          <w:color w:val="000000" w:themeColor="text1"/>
          <w:sz w:val="24"/>
          <w:szCs w:val="24"/>
        </w:rPr>
        <w:t>To what extent do you strongly agree, agree, disagree, strongly disagree to, or are indifferent (neutral) to each of the following statements about School Feeding Programme.</w:t>
      </w:r>
      <w:r w:rsidR="00A35548">
        <w:rPr>
          <w:rFonts w:ascii="Times New Roman" w:hAnsi="Times New Roman"/>
          <w:color w:val="000000" w:themeColor="text1"/>
          <w:sz w:val="24"/>
          <w:szCs w:val="24"/>
        </w:rPr>
        <w:t xml:space="preserve"> Please</w:t>
      </w:r>
      <w:r w:rsidR="004B7EF3">
        <w:rPr>
          <w:rFonts w:ascii="Times New Roman" w:hAnsi="Times New Roman"/>
          <w:color w:val="000000" w:themeColor="text1"/>
          <w:sz w:val="24"/>
          <w:szCs w:val="24"/>
        </w:rPr>
        <w:t xml:space="preserve"> tick</w:t>
      </w:r>
      <w:r w:rsidRPr="00104C8B">
        <w:rPr>
          <w:rFonts w:ascii="Times New Roman" w:hAnsi="Times New Roman"/>
          <w:color w:val="000000" w:themeColor="text1"/>
          <w:sz w:val="24"/>
          <w:szCs w:val="24"/>
        </w:rPr>
        <w:t xml:space="preserve"> one choice for each item that best represents your opinion on the issue.</w:t>
      </w:r>
    </w:p>
    <w:p w:rsidR="004B7EF3" w:rsidRDefault="004B7EF3" w:rsidP="004B7EF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4B7EF3" w:rsidRPr="004B7EF3" w:rsidRDefault="004B7EF3" w:rsidP="004B7EF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B7EF3">
        <w:rPr>
          <w:rFonts w:ascii="Times New Roman" w:hAnsi="Times New Roman"/>
          <w:b/>
          <w:color w:val="000000" w:themeColor="text1"/>
          <w:sz w:val="24"/>
          <w:szCs w:val="24"/>
        </w:rPr>
        <w:t>The extent of the influence of the SFP on school e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nrolment in the Basic Schools in t</w:t>
      </w:r>
      <w:r w:rsidRPr="004B7EF3">
        <w:rPr>
          <w:rFonts w:ascii="Times New Roman" w:hAnsi="Times New Roman"/>
          <w:b/>
          <w:color w:val="000000" w:themeColor="text1"/>
          <w:sz w:val="24"/>
          <w:szCs w:val="24"/>
        </w:rPr>
        <w:t>he Bawku West District</w:t>
      </w:r>
    </w:p>
    <w:tbl>
      <w:tblPr>
        <w:tblW w:w="9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751"/>
        <w:gridCol w:w="1273"/>
        <w:gridCol w:w="1109"/>
        <w:gridCol w:w="1141"/>
        <w:gridCol w:w="988"/>
        <w:gridCol w:w="1097"/>
      </w:tblGrid>
      <w:tr w:rsidR="0029460B" w:rsidRPr="00104C8B" w:rsidTr="001050A4">
        <w:trPr>
          <w:jc w:val="center"/>
        </w:trPr>
        <w:tc>
          <w:tcPr>
            <w:tcW w:w="646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</w:pPr>
            <w:r w:rsidRPr="00104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  <w:t>S/N</w:t>
            </w:r>
          </w:p>
        </w:tc>
        <w:tc>
          <w:tcPr>
            <w:tcW w:w="2751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</w:pPr>
            <w:r w:rsidRPr="00104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  <w:t>Statement</w:t>
            </w:r>
          </w:p>
        </w:tc>
        <w:tc>
          <w:tcPr>
            <w:tcW w:w="1273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</w:pPr>
            <w:r w:rsidRPr="00104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  <w:t>Strongly  Disagree</w:t>
            </w:r>
          </w:p>
        </w:tc>
        <w:tc>
          <w:tcPr>
            <w:tcW w:w="1109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</w:pPr>
            <w:r w:rsidRPr="00104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  <w:t>Disagree</w:t>
            </w:r>
          </w:p>
        </w:tc>
        <w:tc>
          <w:tcPr>
            <w:tcW w:w="1141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</w:pPr>
            <w:r w:rsidRPr="00104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  <w:t>Neutral</w:t>
            </w:r>
          </w:p>
        </w:tc>
        <w:tc>
          <w:tcPr>
            <w:tcW w:w="988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</w:pPr>
            <w:r w:rsidRPr="00104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  <w:t>Agree</w:t>
            </w:r>
          </w:p>
        </w:tc>
        <w:tc>
          <w:tcPr>
            <w:tcW w:w="1097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</w:pPr>
            <w:r w:rsidRPr="00104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  <w:t>Strongly</w:t>
            </w:r>
          </w:p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</w:pPr>
            <w:r w:rsidRPr="00104C8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 w:eastAsia="en-GB"/>
              </w:rPr>
              <w:t>Agree</w:t>
            </w:r>
          </w:p>
        </w:tc>
      </w:tr>
      <w:tr w:rsidR="0029460B" w:rsidRPr="00104C8B" w:rsidTr="001050A4">
        <w:trPr>
          <w:jc w:val="center"/>
        </w:trPr>
        <w:tc>
          <w:tcPr>
            <w:tcW w:w="646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104C8B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751" w:type="dxa"/>
          </w:tcPr>
          <w:p w:rsidR="0029460B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SFP helps only needy children to enrol in basic education</w:t>
            </w:r>
          </w:p>
        </w:tc>
        <w:tc>
          <w:tcPr>
            <w:tcW w:w="1273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09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41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988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097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</w:tr>
      <w:tr w:rsidR="0029460B" w:rsidRPr="00104C8B" w:rsidTr="001050A4">
        <w:trPr>
          <w:jc w:val="center"/>
        </w:trPr>
        <w:tc>
          <w:tcPr>
            <w:tcW w:w="646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104C8B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751" w:type="dxa"/>
          </w:tcPr>
          <w:p w:rsidR="0029460B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Since the inception of the </w:t>
            </w:r>
            <w:r w:rsidRPr="00167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FP school</w:t>
            </w:r>
            <w:r w:rsidRPr="001672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admission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seeking has been rising</w:t>
            </w:r>
          </w:p>
        </w:tc>
        <w:tc>
          <w:tcPr>
            <w:tcW w:w="1273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09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41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988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097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</w:tr>
      <w:tr w:rsidR="0029460B" w:rsidRPr="00104C8B" w:rsidTr="001050A4">
        <w:trPr>
          <w:jc w:val="center"/>
        </w:trPr>
        <w:tc>
          <w:tcPr>
            <w:tcW w:w="646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104C8B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751" w:type="dxa"/>
          </w:tcPr>
          <w:p w:rsidR="0029460B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With the introduction of the SFP many parents are now more willing to send their wards to school than before</w:t>
            </w:r>
          </w:p>
        </w:tc>
        <w:tc>
          <w:tcPr>
            <w:tcW w:w="1273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09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41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988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097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</w:tr>
      <w:tr w:rsidR="0029460B" w:rsidRPr="00104C8B" w:rsidTr="00734BC0">
        <w:trPr>
          <w:trHeight w:val="1223"/>
          <w:jc w:val="center"/>
        </w:trPr>
        <w:tc>
          <w:tcPr>
            <w:tcW w:w="646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 w:rsidRPr="00104C8B"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751" w:type="dxa"/>
          </w:tcPr>
          <w:p w:rsidR="0029460B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 abolishment of the SFP will reduce school admission seeking</w:t>
            </w:r>
          </w:p>
        </w:tc>
        <w:tc>
          <w:tcPr>
            <w:tcW w:w="1273" w:type="dxa"/>
          </w:tcPr>
          <w:p w:rsidR="0029460B" w:rsidRPr="00104C8B" w:rsidRDefault="0029460B" w:rsidP="00AF0C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09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41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988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097" w:type="dxa"/>
          </w:tcPr>
          <w:p w:rsidR="0029460B" w:rsidRPr="00104C8B" w:rsidRDefault="0029460B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</w:tr>
      <w:tr w:rsidR="00734BC0" w:rsidRPr="00104C8B" w:rsidTr="00734BC0">
        <w:trPr>
          <w:trHeight w:val="1223"/>
          <w:jc w:val="center"/>
        </w:trPr>
        <w:tc>
          <w:tcPr>
            <w:tcW w:w="646" w:type="dxa"/>
          </w:tcPr>
          <w:p w:rsidR="00734BC0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5.</w:t>
            </w:r>
          </w:p>
        </w:tc>
        <w:tc>
          <w:tcPr>
            <w:tcW w:w="2751" w:type="dxa"/>
          </w:tcPr>
          <w:p w:rsidR="00734BC0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SFP needs improvement to attract more children to school</w:t>
            </w:r>
          </w:p>
        </w:tc>
        <w:tc>
          <w:tcPr>
            <w:tcW w:w="1273" w:type="dxa"/>
          </w:tcPr>
          <w:p w:rsidR="00734BC0" w:rsidRPr="00104C8B" w:rsidRDefault="00734BC0" w:rsidP="00AF0C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09" w:type="dxa"/>
          </w:tcPr>
          <w:p w:rsidR="00734BC0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41" w:type="dxa"/>
          </w:tcPr>
          <w:p w:rsidR="00734BC0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988" w:type="dxa"/>
          </w:tcPr>
          <w:p w:rsidR="00734BC0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097" w:type="dxa"/>
          </w:tcPr>
          <w:p w:rsidR="00734BC0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</w:tr>
      <w:tr w:rsidR="00734BC0" w:rsidRPr="00104C8B" w:rsidTr="00734BC0">
        <w:trPr>
          <w:trHeight w:val="1223"/>
          <w:jc w:val="center"/>
        </w:trPr>
        <w:tc>
          <w:tcPr>
            <w:tcW w:w="646" w:type="dxa"/>
          </w:tcPr>
          <w:p w:rsidR="00734BC0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6.</w:t>
            </w:r>
          </w:p>
        </w:tc>
        <w:tc>
          <w:tcPr>
            <w:tcW w:w="2751" w:type="dxa"/>
          </w:tcPr>
          <w:p w:rsidR="00734BC0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SFP should be extended to all communities in Ghana to increase school enrolments</w:t>
            </w:r>
          </w:p>
        </w:tc>
        <w:tc>
          <w:tcPr>
            <w:tcW w:w="1273" w:type="dxa"/>
          </w:tcPr>
          <w:p w:rsidR="00734BC0" w:rsidRPr="00104C8B" w:rsidRDefault="00734BC0" w:rsidP="00AF0C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09" w:type="dxa"/>
          </w:tcPr>
          <w:p w:rsidR="00734BC0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41" w:type="dxa"/>
          </w:tcPr>
          <w:p w:rsidR="00734BC0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988" w:type="dxa"/>
          </w:tcPr>
          <w:p w:rsidR="00734BC0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097" w:type="dxa"/>
          </w:tcPr>
          <w:p w:rsidR="00734BC0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</w:tr>
      <w:tr w:rsidR="00734BC0" w:rsidRPr="00104C8B" w:rsidTr="001050A4">
        <w:trPr>
          <w:trHeight w:val="1223"/>
          <w:jc w:val="center"/>
        </w:trPr>
        <w:tc>
          <w:tcPr>
            <w:tcW w:w="646" w:type="dxa"/>
            <w:tcBorders>
              <w:bottom w:val="single" w:sz="4" w:space="0" w:color="auto"/>
            </w:tcBorders>
          </w:tcPr>
          <w:p w:rsidR="00734BC0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  <w:t>7.</w:t>
            </w:r>
          </w:p>
        </w:tc>
        <w:tc>
          <w:tcPr>
            <w:tcW w:w="2751" w:type="dxa"/>
            <w:tcBorders>
              <w:bottom w:val="single" w:sz="4" w:space="0" w:color="auto"/>
            </w:tcBorders>
          </w:tcPr>
          <w:p w:rsidR="00734BC0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SFP should be scrapped when basic school enrolment figures in deprived communities show appreciable increases</w:t>
            </w:r>
          </w:p>
        </w:tc>
        <w:tc>
          <w:tcPr>
            <w:tcW w:w="1273" w:type="dxa"/>
            <w:tcBorders>
              <w:bottom w:val="single" w:sz="4" w:space="0" w:color="auto"/>
            </w:tcBorders>
          </w:tcPr>
          <w:p w:rsidR="00734BC0" w:rsidRPr="00104C8B" w:rsidRDefault="00734BC0" w:rsidP="00AF0C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734BC0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734BC0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34BC0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734BC0" w:rsidRPr="00104C8B" w:rsidRDefault="00734BC0" w:rsidP="00AF0C5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szCs w:val="24"/>
                <w:lang w:val="en-GB" w:eastAsia="en-GB"/>
              </w:rPr>
            </w:pPr>
          </w:p>
        </w:tc>
      </w:tr>
    </w:tbl>
    <w:p w:rsidR="00C67C34" w:rsidRDefault="00C67C34" w:rsidP="00C67C3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66CC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The items in </w:t>
      </w:r>
      <w:r>
        <w:rPr>
          <w:rFonts w:ascii="Times New Roman" w:hAnsi="Times New Roman"/>
          <w:color w:val="000000" w:themeColor="text1"/>
          <w:sz w:val="24"/>
          <w:szCs w:val="24"/>
        </w:rPr>
        <w:t>this section are not exhaustive,</w:t>
      </w:r>
      <w:r w:rsidRPr="00166C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166CC1">
        <w:rPr>
          <w:rFonts w:ascii="Times New Roman" w:hAnsi="Times New Roman"/>
          <w:color w:val="000000" w:themeColor="text1"/>
          <w:sz w:val="24"/>
          <w:szCs w:val="24"/>
        </w:rPr>
        <w:t xml:space="preserve">lease provide other relevant information </w:t>
      </w:r>
      <w:r w:rsidR="00F5065E">
        <w:rPr>
          <w:rFonts w:ascii="Times New Roman" w:hAnsi="Times New Roman"/>
          <w:color w:val="000000" w:themeColor="text1"/>
          <w:sz w:val="24"/>
          <w:szCs w:val="24"/>
        </w:rPr>
        <w:t>not captured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460B" w:rsidRPr="00104C8B" w:rsidRDefault="0029460B" w:rsidP="00AF0C56">
      <w:pPr>
        <w:pStyle w:val="NoSpacing"/>
        <w:rPr>
          <w:rFonts w:ascii="Times New Roman" w:hAnsi="Times New Roman"/>
          <w:color w:val="000000" w:themeColor="text1"/>
          <w:position w:val="-10"/>
          <w:sz w:val="24"/>
          <w:szCs w:val="24"/>
        </w:rPr>
      </w:pPr>
      <w:bookmarkStart w:id="0" w:name="_GoBack"/>
      <w:bookmarkEnd w:id="0"/>
    </w:p>
    <w:sectPr w:rsidR="0029460B" w:rsidRPr="00104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7E92"/>
    <w:multiLevelType w:val="hybridMultilevel"/>
    <w:tmpl w:val="02E08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F4C3F"/>
    <w:multiLevelType w:val="hybridMultilevel"/>
    <w:tmpl w:val="0A98B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EC552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F1"/>
    <w:rsid w:val="00006AF7"/>
    <w:rsid w:val="00012574"/>
    <w:rsid w:val="00166CC1"/>
    <w:rsid w:val="00171CF7"/>
    <w:rsid w:val="00191759"/>
    <w:rsid w:val="001E123D"/>
    <w:rsid w:val="0029460B"/>
    <w:rsid w:val="00414FA1"/>
    <w:rsid w:val="004B7EF3"/>
    <w:rsid w:val="00544CB2"/>
    <w:rsid w:val="005C107F"/>
    <w:rsid w:val="00734BC0"/>
    <w:rsid w:val="007D5A15"/>
    <w:rsid w:val="008C64E6"/>
    <w:rsid w:val="00A35548"/>
    <w:rsid w:val="00AF0C56"/>
    <w:rsid w:val="00C67C34"/>
    <w:rsid w:val="00E312F1"/>
    <w:rsid w:val="00E71F87"/>
    <w:rsid w:val="00F5065E"/>
    <w:rsid w:val="00F9597C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0B"/>
    <w:pPr>
      <w:spacing w:line="36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946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0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0B"/>
    <w:pPr>
      <w:spacing w:line="36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2946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INUSAH SALIFU</cp:lastModifiedBy>
  <cp:revision>24</cp:revision>
  <dcterms:created xsi:type="dcterms:W3CDTF">2017-10-16T11:05:00Z</dcterms:created>
  <dcterms:modified xsi:type="dcterms:W3CDTF">2018-06-27T21:07:00Z</dcterms:modified>
</cp:coreProperties>
</file>