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7AD" w:rsidRPr="00751314" w:rsidRDefault="00FC67AD" w:rsidP="00FC67AD">
      <w:pPr>
        <w:jc w:val="center"/>
        <w:rPr>
          <w:b/>
          <w:sz w:val="28"/>
          <w:szCs w:val="28"/>
          <w:u w:val="single"/>
        </w:rPr>
      </w:pPr>
      <w:r w:rsidRPr="00FC67AD">
        <w:rPr>
          <w:b/>
          <w:sz w:val="28"/>
          <w:szCs w:val="28"/>
          <w:u w:val="single"/>
        </w:rPr>
        <w:t>Supplementary Material</w:t>
      </w:r>
    </w:p>
    <w:p w:rsidR="00FC67AD" w:rsidRDefault="00FC67AD" w:rsidP="00FC67AD">
      <w:r>
        <w:t xml:space="preserve">Table S1 – AIC and BIC statistics for alternate parametric distributions for modeling ToT </w:t>
      </w:r>
    </w:p>
    <w:tbl>
      <w:tblPr>
        <w:tblW w:w="9473" w:type="dxa"/>
        <w:tblInd w:w="103" w:type="dxa"/>
        <w:tblLayout w:type="fixed"/>
        <w:tblLook w:val="04A0" w:firstRow="1" w:lastRow="0" w:firstColumn="1" w:lastColumn="0" w:noHBand="0" w:noVBand="1"/>
      </w:tblPr>
      <w:tblGrid>
        <w:gridCol w:w="2241"/>
        <w:gridCol w:w="1390"/>
        <w:gridCol w:w="1390"/>
        <w:gridCol w:w="1374"/>
        <w:gridCol w:w="1350"/>
        <w:gridCol w:w="1728"/>
      </w:tblGrid>
      <w:tr w:rsidR="00FC67AD" w:rsidRPr="00202C97" w:rsidTr="00F42309">
        <w:trPr>
          <w:gridAfter w:val="1"/>
          <w:wAfter w:w="1728" w:type="dxa"/>
          <w:trHeight w:val="390"/>
        </w:trPr>
        <w:tc>
          <w:tcPr>
            <w:tcW w:w="2241"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bottom"/>
            <w:hideMark/>
          </w:tcPr>
          <w:p w:rsidR="00FC67AD" w:rsidRPr="00202C97" w:rsidRDefault="00FC67AD" w:rsidP="00F42309">
            <w:pPr>
              <w:spacing w:after="0" w:line="240" w:lineRule="auto"/>
              <w:jc w:val="center"/>
              <w:rPr>
                <w:rFonts w:ascii="Calibri" w:eastAsia="Times New Roman" w:hAnsi="Calibri" w:cs="Times New Roman"/>
                <w:b/>
                <w:bCs/>
                <w:color w:val="FFFFFF"/>
                <w:sz w:val="24"/>
                <w:szCs w:val="24"/>
              </w:rPr>
            </w:pPr>
            <w:r w:rsidRPr="00202C97">
              <w:rPr>
                <w:rFonts w:ascii="Calibri" w:eastAsia="Times New Roman" w:hAnsi="Calibri" w:cs="Times New Roman"/>
                <w:b/>
                <w:bCs/>
                <w:color w:val="FFFFFF"/>
                <w:sz w:val="24"/>
                <w:szCs w:val="24"/>
              </w:rPr>
              <w:t>Fitted Function</w:t>
            </w:r>
          </w:p>
        </w:tc>
        <w:tc>
          <w:tcPr>
            <w:tcW w:w="2780" w:type="dxa"/>
            <w:gridSpan w:val="2"/>
            <w:tcBorders>
              <w:top w:val="single" w:sz="4" w:space="0" w:color="auto"/>
              <w:left w:val="nil"/>
              <w:bottom w:val="single" w:sz="4" w:space="0" w:color="auto"/>
              <w:right w:val="single" w:sz="4" w:space="0" w:color="000000"/>
            </w:tcBorders>
            <w:shd w:val="clear" w:color="000000" w:fill="8DB4E2"/>
            <w:noWrap/>
            <w:vAlign w:val="bottom"/>
            <w:hideMark/>
          </w:tcPr>
          <w:p w:rsidR="00FC67AD" w:rsidRPr="00202C97" w:rsidRDefault="00FC67AD" w:rsidP="00F42309">
            <w:pPr>
              <w:spacing w:after="0" w:line="240" w:lineRule="auto"/>
              <w:jc w:val="center"/>
              <w:rPr>
                <w:rFonts w:ascii="Calibri" w:eastAsia="Times New Roman" w:hAnsi="Calibri" w:cs="Times New Roman"/>
                <w:b/>
                <w:bCs/>
                <w:color w:val="FFFFFF"/>
                <w:sz w:val="24"/>
                <w:szCs w:val="24"/>
              </w:rPr>
            </w:pPr>
            <w:r>
              <w:rPr>
                <w:rFonts w:ascii="Calibri" w:eastAsia="Times New Roman" w:hAnsi="Calibri" w:cs="Times New Roman"/>
                <w:b/>
                <w:bCs/>
                <w:color w:val="FFFFFF"/>
                <w:sz w:val="24"/>
                <w:szCs w:val="24"/>
              </w:rPr>
              <w:t>Pembrolizumab + Chemotherapy</w:t>
            </w:r>
          </w:p>
        </w:tc>
        <w:tc>
          <w:tcPr>
            <w:tcW w:w="2724" w:type="dxa"/>
            <w:gridSpan w:val="2"/>
            <w:tcBorders>
              <w:top w:val="single" w:sz="4" w:space="0" w:color="auto"/>
              <w:left w:val="nil"/>
              <w:bottom w:val="single" w:sz="4" w:space="0" w:color="auto"/>
              <w:right w:val="single" w:sz="4" w:space="0" w:color="000000"/>
            </w:tcBorders>
            <w:shd w:val="clear" w:color="000000" w:fill="8DB4E2"/>
          </w:tcPr>
          <w:p w:rsidR="00FC67AD" w:rsidRPr="00202C97" w:rsidRDefault="00FC67AD" w:rsidP="00F42309">
            <w:pPr>
              <w:spacing w:after="0" w:line="240" w:lineRule="auto"/>
              <w:jc w:val="center"/>
              <w:rPr>
                <w:rFonts w:ascii="Calibri" w:eastAsia="Times New Roman" w:hAnsi="Calibri" w:cs="Times New Roman"/>
                <w:b/>
                <w:bCs/>
                <w:color w:val="FFFFFF"/>
                <w:sz w:val="24"/>
                <w:szCs w:val="24"/>
              </w:rPr>
            </w:pPr>
            <w:r>
              <w:rPr>
                <w:rFonts w:ascii="Calibri" w:eastAsia="Times New Roman" w:hAnsi="Calibri" w:cs="Times New Roman"/>
                <w:b/>
                <w:bCs/>
                <w:color w:val="FFFFFF"/>
                <w:sz w:val="24"/>
                <w:szCs w:val="24"/>
              </w:rPr>
              <w:t>Chemotherapy</w:t>
            </w:r>
          </w:p>
        </w:tc>
      </w:tr>
      <w:tr w:rsidR="00FC67AD" w:rsidRPr="00202C97" w:rsidTr="00F42309">
        <w:trPr>
          <w:trHeight w:val="345"/>
        </w:trPr>
        <w:tc>
          <w:tcPr>
            <w:tcW w:w="2241" w:type="dxa"/>
            <w:vMerge/>
            <w:tcBorders>
              <w:top w:val="single" w:sz="4" w:space="0" w:color="auto"/>
              <w:left w:val="single" w:sz="4" w:space="0" w:color="auto"/>
              <w:bottom w:val="single" w:sz="4" w:space="0" w:color="000000"/>
              <w:right w:val="single" w:sz="4" w:space="0" w:color="auto"/>
            </w:tcBorders>
            <w:vAlign w:val="center"/>
            <w:hideMark/>
          </w:tcPr>
          <w:p w:rsidR="00FC67AD" w:rsidRPr="00202C97" w:rsidRDefault="00FC67AD" w:rsidP="00F42309">
            <w:pPr>
              <w:spacing w:after="0" w:line="240" w:lineRule="auto"/>
              <w:rPr>
                <w:rFonts w:ascii="Calibri" w:eastAsia="Times New Roman" w:hAnsi="Calibri" w:cs="Times New Roman"/>
                <w:b/>
                <w:bCs/>
                <w:color w:val="FFFFFF"/>
                <w:sz w:val="24"/>
                <w:szCs w:val="24"/>
              </w:rPr>
            </w:pPr>
          </w:p>
        </w:tc>
        <w:tc>
          <w:tcPr>
            <w:tcW w:w="1390" w:type="dxa"/>
            <w:tcBorders>
              <w:top w:val="nil"/>
              <w:left w:val="nil"/>
              <w:bottom w:val="single" w:sz="4" w:space="0" w:color="auto"/>
              <w:right w:val="single" w:sz="4" w:space="0" w:color="auto"/>
            </w:tcBorders>
            <w:shd w:val="clear" w:color="000000" w:fill="8DB4E2"/>
            <w:noWrap/>
            <w:vAlign w:val="bottom"/>
            <w:hideMark/>
          </w:tcPr>
          <w:p w:rsidR="00FC67AD" w:rsidRPr="00202C97" w:rsidRDefault="00FC67AD" w:rsidP="00F42309">
            <w:pPr>
              <w:spacing w:after="0" w:line="240" w:lineRule="auto"/>
              <w:jc w:val="center"/>
              <w:rPr>
                <w:rFonts w:ascii="Calibri" w:eastAsia="Times New Roman" w:hAnsi="Calibri" w:cs="Times New Roman"/>
                <w:b/>
                <w:bCs/>
                <w:color w:val="FFFFFF"/>
                <w:sz w:val="24"/>
                <w:szCs w:val="24"/>
              </w:rPr>
            </w:pPr>
            <w:r w:rsidRPr="00202C97">
              <w:rPr>
                <w:rFonts w:ascii="Calibri" w:eastAsia="Times New Roman" w:hAnsi="Calibri" w:cs="Times New Roman"/>
                <w:b/>
                <w:bCs/>
                <w:color w:val="FFFFFF"/>
                <w:sz w:val="24"/>
                <w:szCs w:val="24"/>
              </w:rPr>
              <w:t>AIC</w:t>
            </w:r>
          </w:p>
        </w:tc>
        <w:tc>
          <w:tcPr>
            <w:tcW w:w="1390" w:type="dxa"/>
            <w:tcBorders>
              <w:top w:val="nil"/>
              <w:left w:val="nil"/>
              <w:bottom w:val="single" w:sz="4" w:space="0" w:color="auto"/>
              <w:right w:val="single" w:sz="4" w:space="0" w:color="auto"/>
            </w:tcBorders>
            <w:shd w:val="clear" w:color="000000" w:fill="8DB4E2"/>
            <w:noWrap/>
            <w:vAlign w:val="bottom"/>
            <w:hideMark/>
          </w:tcPr>
          <w:p w:rsidR="00FC67AD" w:rsidRPr="00202C97" w:rsidRDefault="00FC67AD" w:rsidP="00F42309">
            <w:pPr>
              <w:spacing w:after="0" w:line="240" w:lineRule="auto"/>
              <w:jc w:val="center"/>
              <w:rPr>
                <w:rFonts w:ascii="Calibri" w:eastAsia="Times New Roman" w:hAnsi="Calibri" w:cs="Times New Roman"/>
                <w:b/>
                <w:bCs/>
                <w:color w:val="FFFFFF"/>
                <w:sz w:val="24"/>
                <w:szCs w:val="24"/>
              </w:rPr>
            </w:pPr>
            <w:r w:rsidRPr="00202C97">
              <w:rPr>
                <w:rFonts w:ascii="Calibri" w:eastAsia="Times New Roman" w:hAnsi="Calibri" w:cs="Times New Roman"/>
                <w:b/>
                <w:bCs/>
                <w:color w:val="FFFFFF"/>
                <w:sz w:val="24"/>
                <w:szCs w:val="24"/>
              </w:rPr>
              <w:t>BIC</w:t>
            </w:r>
          </w:p>
        </w:tc>
        <w:tc>
          <w:tcPr>
            <w:tcW w:w="1374" w:type="dxa"/>
            <w:tcBorders>
              <w:top w:val="nil"/>
              <w:left w:val="nil"/>
              <w:bottom w:val="single" w:sz="4" w:space="0" w:color="auto"/>
              <w:right w:val="single" w:sz="4" w:space="0" w:color="auto"/>
            </w:tcBorders>
            <w:shd w:val="clear" w:color="000000" w:fill="8DB4E2"/>
            <w:vAlign w:val="bottom"/>
          </w:tcPr>
          <w:p w:rsidR="00FC67AD" w:rsidRPr="00202C97" w:rsidRDefault="00FC67AD" w:rsidP="00F42309">
            <w:pPr>
              <w:spacing w:after="0" w:line="240" w:lineRule="auto"/>
              <w:jc w:val="center"/>
              <w:rPr>
                <w:rFonts w:ascii="Calibri" w:eastAsia="Times New Roman" w:hAnsi="Calibri" w:cs="Times New Roman"/>
                <w:b/>
                <w:bCs/>
                <w:color w:val="FFFFFF"/>
                <w:sz w:val="24"/>
                <w:szCs w:val="24"/>
              </w:rPr>
            </w:pPr>
            <w:r w:rsidRPr="00202C97">
              <w:rPr>
                <w:rFonts w:ascii="Calibri" w:eastAsia="Times New Roman" w:hAnsi="Calibri" w:cs="Times New Roman"/>
                <w:b/>
                <w:bCs/>
                <w:color w:val="FFFFFF"/>
                <w:sz w:val="24"/>
                <w:szCs w:val="24"/>
              </w:rPr>
              <w:t>AIC</w:t>
            </w:r>
          </w:p>
        </w:tc>
        <w:tc>
          <w:tcPr>
            <w:tcW w:w="1350" w:type="dxa"/>
            <w:tcBorders>
              <w:top w:val="nil"/>
              <w:left w:val="single" w:sz="4" w:space="0" w:color="auto"/>
              <w:bottom w:val="single" w:sz="4" w:space="0" w:color="auto"/>
              <w:right w:val="single" w:sz="4" w:space="0" w:color="auto"/>
            </w:tcBorders>
            <w:shd w:val="clear" w:color="000000" w:fill="8DB4E2"/>
            <w:vAlign w:val="bottom"/>
          </w:tcPr>
          <w:p w:rsidR="00FC67AD" w:rsidRPr="00202C97" w:rsidRDefault="00FC67AD" w:rsidP="00F42309">
            <w:pPr>
              <w:spacing w:after="0" w:line="240" w:lineRule="auto"/>
              <w:jc w:val="center"/>
              <w:rPr>
                <w:rFonts w:ascii="Calibri" w:eastAsia="Times New Roman" w:hAnsi="Calibri" w:cs="Times New Roman"/>
                <w:b/>
                <w:bCs/>
                <w:color w:val="FFFFFF"/>
                <w:sz w:val="24"/>
                <w:szCs w:val="24"/>
              </w:rPr>
            </w:pPr>
            <w:r w:rsidRPr="00202C97">
              <w:rPr>
                <w:rFonts w:ascii="Calibri" w:eastAsia="Times New Roman" w:hAnsi="Calibri" w:cs="Times New Roman"/>
                <w:b/>
                <w:bCs/>
                <w:color w:val="FFFFFF"/>
                <w:sz w:val="24"/>
                <w:szCs w:val="24"/>
              </w:rPr>
              <w:t>BIC</w:t>
            </w:r>
          </w:p>
        </w:tc>
        <w:tc>
          <w:tcPr>
            <w:tcW w:w="1728" w:type="dxa"/>
            <w:vAlign w:val="bottom"/>
          </w:tcPr>
          <w:p w:rsidR="00FC67AD" w:rsidRPr="00202C97" w:rsidRDefault="00FC67AD" w:rsidP="00F42309">
            <w:pPr>
              <w:rPr>
                <w:rFonts w:ascii="Times New Roman" w:eastAsia="Times New Roman" w:hAnsi="Times New Roman" w:cs="Times New Roman"/>
                <w:sz w:val="20"/>
                <w:szCs w:val="20"/>
              </w:rPr>
            </w:pPr>
            <w:r w:rsidRPr="00202C97">
              <w:rPr>
                <w:rFonts w:ascii="Calibri" w:eastAsia="Times New Roman" w:hAnsi="Calibri" w:cs="Times New Roman"/>
                <w:b/>
                <w:bCs/>
                <w:color w:val="FFFFFF"/>
                <w:sz w:val="24"/>
                <w:szCs w:val="24"/>
              </w:rPr>
              <w:t>BIC</w:t>
            </w:r>
          </w:p>
        </w:tc>
      </w:tr>
      <w:tr w:rsidR="00FC67AD" w:rsidRPr="00202C97" w:rsidTr="00F42309">
        <w:trPr>
          <w:gridAfter w:val="1"/>
          <w:wAfter w:w="1728" w:type="dxa"/>
          <w:trHeight w:val="315"/>
        </w:trPr>
        <w:tc>
          <w:tcPr>
            <w:tcW w:w="2241" w:type="dxa"/>
            <w:tcBorders>
              <w:top w:val="nil"/>
              <w:left w:val="single" w:sz="4" w:space="0" w:color="auto"/>
              <w:bottom w:val="single" w:sz="4" w:space="0" w:color="auto"/>
              <w:right w:val="single" w:sz="4" w:space="0" w:color="auto"/>
            </w:tcBorders>
            <w:shd w:val="clear" w:color="000000" w:fill="FFFFFF"/>
            <w:noWrap/>
            <w:vAlign w:val="bottom"/>
            <w:hideMark/>
          </w:tcPr>
          <w:p w:rsidR="00FC67AD" w:rsidRPr="00202C97" w:rsidRDefault="00FC67AD" w:rsidP="00F42309">
            <w:pPr>
              <w:spacing w:after="0" w:line="240" w:lineRule="auto"/>
              <w:jc w:val="center"/>
              <w:rPr>
                <w:rFonts w:ascii="Calibri" w:eastAsia="Times New Roman" w:hAnsi="Calibri" w:cs="Times New Roman"/>
                <w:color w:val="000000"/>
                <w:sz w:val="24"/>
                <w:szCs w:val="24"/>
              </w:rPr>
            </w:pPr>
            <w:r w:rsidRPr="00202C97">
              <w:rPr>
                <w:rFonts w:ascii="Calibri" w:eastAsia="Times New Roman" w:hAnsi="Calibri" w:cs="Times New Roman"/>
                <w:color w:val="000000"/>
                <w:sz w:val="24"/>
                <w:szCs w:val="24"/>
              </w:rPr>
              <w:t>Exponential</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7AD" w:rsidRPr="00202C97" w:rsidRDefault="00FC67AD" w:rsidP="00F42309">
            <w:pPr>
              <w:spacing w:after="0" w:line="240" w:lineRule="auto"/>
              <w:jc w:val="center"/>
              <w:rPr>
                <w:rFonts w:ascii="Calibri" w:eastAsia="Times New Roman" w:hAnsi="Calibri" w:cs="Times New Roman"/>
                <w:b/>
                <w:bCs/>
                <w:color w:val="000000"/>
                <w:sz w:val="24"/>
                <w:szCs w:val="24"/>
              </w:rPr>
            </w:pPr>
            <w:r w:rsidRPr="00202C97">
              <w:rPr>
                <w:rFonts w:ascii="Calibri" w:eastAsia="Times New Roman" w:hAnsi="Calibri" w:cs="Times New Roman"/>
                <w:b/>
                <w:bCs/>
                <w:color w:val="000000"/>
                <w:sz w:val="24"/>
                <w:szCs w:val="24"/>
              </w:rPr>
              <w:t>2620.7</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FC67AD" w:rsidRPr="00202C97" w:rsidRDefault="00FC67AD" w:rsidP="00F42309">
            <w:pPr>
              <w:spacing w:after="0" w:line="240" w:lineRule="auto"/>
              <w:jc w:val="center"/>
              <w:rPr>
                <w:rFonts w:ascii="Calibri" w:eastAsia="Times New Roman" w:hAnsi="Calibri" w:cs="Times New Roman"/>
                <w:b/>
                <w:bCs/>
                <w:color w:val="000000"/>
                <w:sz w:val="24"/>
                <w:szCs w:val="24"/>
              </w:rPr>
            </w:pPr>
            <w:r w:rsidRPr="00202C97">
              <w:rPr>
                <w:rFonts w:ascii="Calibri" w:eastAsia="Times New Roman" w:hAnsi="Calibri" w:cs="Times New Roman"/>
                <w:b/>
                <w:bCs/>
                <w:color w:val="000000"/>
                <w:sz w:val="24"/>
                <w:szCs w:val="24"/>
              </w:rPr>
              <w:t>2624.7</w:t>
            </w:r>
          </w:p>
        </w:tc>
        <w:tc>
          <w:tcPr>
            <w:tcW w:w="1374" w:type="dxa"/>
            <w:tcBorders>
              <w:top w:val="single" w:sz="4" w:space="0" w:color="auto"/>
              <w:left w:val="nil"/>
              <w:bottom w:val="single" w:sz="4" w:space="0" w:color="auto"/>
              <w:right w:val="single" w:sz="4" w:space="0" w:color="auto"/>
            </w:tcBorders>
            <w:vAlign w:val="bottom"/>
          </w:tcPr>
          <w:p w:rsidR="00FC67AD" w:rsidRPr="00202C97" w:rsidRDefault="00FC67AD" w:rsidP="00F42309">
            <w:pPr>
              <w:spacing w:after="0" w:line="240" w:lineRule="auto"/>
              <w:jc w:val="center"/>
              <w:rPr>
                <w:rFonts w:ascii="Calibri" w:eastAsia="Times New Roman" w:hAnsi="Calibri" w:cs="Times New Roman"/>
                <w:b/>
                <w:bCs/>
                <w:color w:val="000000"/>
                <w:sz w:val="24"/>
                <w:szCs w:val="24"/>
              </w:rPr>
            </w:pPr>
            <w:r w:rsidRPr="00202C97">
              <w:rPr>
                <w:rFonts w:ascii="Calibri" w:hAnsi="Calibri"/>
                <w:color w:val="000000"/>
                <w:sz w:val="24"/>
                <w:szCs w:val="24"/>
              </w:rPr>
              <w:t>1445.8</w:t>
            </w:r>
          </w:p>
        </w:tc>
        <w:tc>
          <w:tcPr>
            <w:tcW w:w="1350" w:type="dxa"/>
            <w:tcBorders>
              <w:top w:val="single" w:sz="4" w:space="0" w:color="auto"/>
              <w:left w:val="single" w:sz="4" w:space="0" w:color="auto"/>
              <w:bottom w:val="single" w:sz="4" w:space="0" w:color="auto"/>
              <w:right w:val="single" w:sz="4" w:space="0" w:color="auto"/>
            </w:tcBorders>
            <w:vAlign w:val="bottom"/>
          </w:tcPr>
          <w:p w:rsidR="00FC67AD" w:rsidRPr="00202C97" w:rsidRDefault="00FC67AD" w:rsidP="00F42309">
            <w:pPr>
              <w:spacing w:after="0" w:line="240" w:lineRule="auto"/>
              <w:jc w:val="center"/>
              <w:rPr>
                <w:rFonts w:ascii="Calibri" w:eastAsia="Times New Roman" w:hAnsi="Calibri" w:cs="Times New Roman"/>
                <w:b/>
                <w:bCs/>
                <w:color w:val="000000"/>
                <w:sz w:val="24"/>
                <w:szCs w:val="24"/>
              </w:rPr>
            </w:pPr>
            <w:r w:rsidRPr="00202C97">
              <w:rPr>
                <w:rFonts w:ascii="Calibri" w:hAnsi="Calibri"/>
                <w:color w:val="000000"/>
                <w:sz w:val="24"/>
                <w:szCs w:val="24"/>
              </w:rPr>
              <w:t>1449.1</w:t>
            </w:r>
          </w:p>
        </w:tc>
      </w:tr>
      <w:tr w:rsidR="00FC67AD" w:rsidRPr="00202C97" w:rsidTr="00F42309">
        <w:trPr>
          <w:gridAfter w:val="1"/>
          <w:wAfter w:w="1728" w:type="dxa"/>
          <w:trHeight w:val="215"/>
        </w:trPr>
        <w:tc>
          <w:tcPr>
            <w:tcW w:w="2241" w:type="dxa"/>
            <w:tcBorders>
              <w:top w:val="nil"/>
              <w:left w:val="single" w:sz="4" w:space="0" w:color="auto"/>
              <w:bottom w:val="single" w:sz="4" w:space="0" w:color="auto"/>
              <w:right w:val="single" w:sz="4" w:space="0" w:color="auto"/>
            </w:tcBorders>
            <w:shd w:val="clear" w:color="000000" w:fill="FFFFFF"/>
            <w:noWrap/>
            <w:vAlign w:val="bottom"/>
            <w:hideMark/>
          </w:tcPr>
          <w:p w:rsidR="00FC67AD" w:rsidRPr="00202C97" w:rsidRDefault="00FC67AD" w:rsidP="00F42309">
            <w:pPr>
              <w:spacing w:after="0" w:line="240" w:lineRule="auto"/>
              <w:jc w:val="center"/>
              <w:rPr>
                <w:rFonts w:ascii="Calibri" w:eastAsia="Times New Roman" w:hAnsi="Calibri" w:cs="Times New Roman"/>
                <w:color w:val="000000"/>
                <w:sz w:val="24"/>
                <w:szCs w:val="24"/>
              </w:rPr>
            </w:pPr>
            <w:r w:rsidRPr="00202C97">
              <w:rPr>
                <w:rFonts w:ascii="Calibri" w:eastAsia="Times New Roman" w:hAnsi="Calibri" w:cs="Times New Roman"/>
                <w:color w:val="000000"/>
                <w:sz w:val="24"/>
                <w:szCs w:val="24"/>
              </w:rPr>
              <w:t>Weibull</w:t>
            </w:r>
          </w:p>
        </w:tc>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FC67AD" w:rsidRPr="00202C97" w:rsidRDefault="00FC67AD" w:rsidP="00F42309">
            <w:pPr>
              <w:spacing w:after="0" w:line="240" w:lineRule="auto"/>
              <w:jc w:val="center"/>
              <w:rPr>
                <w:rFonts w:ascii="Calibri" w:eastAsia="Times New Roman" w:hAnsi="Calibri" w:cs="Times New Roman"/>
                <w:color w:val="000000"/>
                <w:sz w:val="24"/>
                <w:szCs w:val="24"/>
              </w:rPr>
            </w:pPr>
            <w:r w:rsidRPr="00202C97">
              <w:rPr>
                <w:rFonts w:ascii="Calibri" w:eastAsia="Times New Roman" w:hAnsi="Calibri" w:cs="Times New Roman"/>
                <w:color w:val="000000"/>
                <w:sz w:val="24"/>
                <w:szCs w:val="24"/>
              </w:rPr>
              <w:t>2621.1</w:t>
            </w:r>
          </w:p>
        </w:tc>
        <w:tc>
          <w:tcPr>
            <w:tcW w:w="1390" w:type="dxa"/>
            <w:tcBorders>
              <w:top w:val="nil"/>
              <w:left w:val="nil"/>
              <w:bottom w:val="single" w:sz="4" w:space="0" w:color="auto"/>
              <w:right w:val="single" w:sz="4" w:space="0" w:color="auto"/>
            </w:tcBorders>
            <w:shd w:val="clear" w:color="auto" w:fill="auto"/>
            <w:noWrap/>
            <w:vAlign w:val="bottom"/>
            <w:hideMark/>
          </w:tcPr>
          <w:p w:rsidR="00FC67AD" w:rsidRPr="00202C97" w:rsidRDefault="00FC67AD" w:rsidP="00F42309">
            <w:pPr>
              <w:spacing w:after="0" w:line="240" w:lineRule="auto"/>
              <w:jc w:val="center"/>
              <w:rPr>
                <w:rFonts w:ascii="Calibri" w:eastAsia="Times New Roman" w:hAnsi="Calibri" w:cs="Times New Roman"/>
                <w:color w:val="000000"/>
                <w:sz w:val="24"/>
                <w:szCs w:val="24"/>
              </w:rPr>
            </w:pPr>
            <w:r w:rsidRPr="00202C97">
              <w:rPr>
                <w:rFonts w:ascii="Calibri" w:eastAsia="Times New Roman" w:hAnsi="Calibri" w:cs="Times New Roman"/>
                <w:color w:val="000000"/>
                <w:sz w:val="24"/>
                <w:szCs w:val="24"/>
              </w:rPr>
              <w:t>2629.2</w:t>
            </w:r>
          </w:p>
        </w:tc>
        <w:tc>
          <w:tcPr>
            <w:tcW w:w="1374" w:type="dxa"/>
            <w:tcBorders>
              <w:top w:val="single" w:sz="4" w:space="0" w:color="auto"/>
              <w:left w:val="nil"/>
              <w:bottom w:val="single" w:sz="4" w:space="0" w:color="auto"/>
              <w:right w:val="single" w:sz="4" w:space="0" w:color="auto"/>
            </w:tcBorders>
            <w:vAlign w:val="bottom"/>
          </w:tcPr>
          <w:p w:rsidR="00FC67AD" w:rsidRPr="00202C97" w:rsidRDefault="00FC67AD" w:rsidP="00F42309">
            <w:pPr>
              <w:spacing w:after="0" w:line="240" w:lineRule="auto"/>
              <w:jc w:val="center"/>
              <w:rPr>
                <w:rFonts w:ascii="Calibri" w:eastAsia="Times New Roman" w:hAnsi="Calibri" w:cs="Times New Roman"/>
                <w:color w:val="000000"/>
                <w:sz w:val="24"/>
                <w:szCs w:val="24"/>
              </w:rPr>
            </w:pPr>
            <w:r w:rsidRPr="00202C97">
              <w:rPr>
                <w:rFonts w:ascii="Calibri" w:hAnsi="Calibri"/>
                <w:sz w:val="24"/>
                <w:szCs w:val="24"/>
              </w:rPr>
              <w:t>1441.9</w:t>
            </w:r>
          </w:p>
        </w:tc>
        <w:tc>
          <w:tcPr>
            <w:tcW w:w="1350" w:type="dxa"/>
            <w:tcBorders>
              <w:top w:val="nil"/>
              <w:left w:val="single" w:sz="4" w:space="0" w:color="auto"/>
              <w:bottom w:val="single" w:sz="4" w:space="0" w:color="auto"/>
              <w:right w:val="single" w:sz="4" w:space="0" w:color="auto"/>
            </w:tcBorders>
            <w:vAlign w:val="bottom"/>
          </w:tcPr>
          <w:p w:rsidR="00FC67AD" w:rsidRPr="00202C97" w:rsidRDefault="00FC67AD" w:rsidP="00F42309">
            <w:pPr>
              <w:spacing w:after="0" w:line="240" w:lineRule="auto"/>
              <w:jc w:val="center"/>
              <w:rPr>
                <w:rFonts w:ascii="Calibri" w:eastAsia="Times New Roman" w:hAnsi="Calibri" w:cs="Times New Roman"/>
                <w:color w:val="000000"/>
                <w:sz w:val="24"/>
                <w:szCs w:val="24"/>
              </w:rPr>
            </w:pPr>
            <w:r w:rsidRPr="00202C97">
              <w:rPr>
                <w:rFonts w:ascii="Calibri" w:hAnsi="Calibri"/>
                <w:sz w:val="24"/>
                <w:szCs w:val="24"/>
              </w:rPr>
              <w:t>1448.5</w:t>
            </w:r>
          </w:p>
        </w:tc>
      </w:tr>
      <w:tr w:rsidR="00FC67AD" w:rsidRPr="00202C97" w:rsidTr="00F42309">
        <w:trPr>
          <w:gridAfter w:val="1"/>
          <w:wAfter w:w="1728" w:type="dxa"/>
          <w:trHeight w:val="315"/>
        </w:trPr>
        <w:tc>
          <w:tcPr>
            <w:tcW w:w="2241" w:type="dxa"/>
            <w:tcBorders>
              <w:top w:val="nil"/>
              <w:left w:val="single" w:sz="4" w:space="0" w:color="auto"/>
              <w:bottom w:val="single" w:sz="4" w:space="0" w:color="auto"/>
              <w:right w:val="single" w:sz="4" w:space="0" w:color="auto"/>
            </w:tcBorders>
            <w:shd w:val="clear" w:color="000000" w:fill="FFFFFF"/>
            <w:noWrap/>
            <w:vAlign w:val="bottom"/>
            <w:hideMark/>
          </w:tcPr>
          <w:p w:rsidR="00FC67AD" w:rsidRPr="00202C97" w:rsidRDefault="00FC67AD" w:rsidP="00F42309">
            <w:pPr>
              <w:spacing w:after="0" w:line="240" w:lineRule="auto"/>
              <w:jc w:val="center"/>
              <w:rPr>
                <w:rFonts w:ascii="Calibri" w:eastAsia="Times New Roman" w:hAnsi="Calibri" w:cs="Times New Roman"/>
                <w:color w:val="000000"/>
                <w:sz w:val="24"/>
                <w:szCs w:val="24"/>
              </w:rPr>
            </w:pPr>
            <w:r w:rsidRPr="00202C97">
              <w:rPr>
                <w:rFonts w:ascii="Calibri" w:eastAsia="Times New Roman" w:hAnsi="Calibri" w:cs="Times New Roman"/>
                <w:color w:val="000000"/>
                <w:sz w:val="24"/>
                <w:szCs w:val="24"/>
              </w:rPr>
              <w:t>LogNormal</w:t>
            </w:r>
          </w:p>
        </w:tc>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FC67AD" w:rsidRPr="00202C97" w:rsidRDefault="00FC67AD" w:rsidP="00F42309">
            <w:pPr>
              <w:spacing w:after="0" w:line="240" w:lineRule="auto"/>
              <w:jc w:val="center"/>
              <w:rPr>
                <w:rFonts w:ascii="Calibri" w:eastAsia="Times New Roman" w:hAnsi="Calibri" w:cs="Times New Roman"/>
                <w:color w:val="000000"/>
                <w:sz w:val="24"/>
                <w:szCs w:val="24"/>
              </w:rPr>
            </w:pPr>
            <w:r w:rsidRPr="00202C97">
              <w:rPr>
                <w:rFonts w:ascii="Calibri" w:eastAsia="Times New Roman" w:hAnsi="Calibri" w:cs="Times New Roman"/>
                <w:color w:val="000000"/>
                <w:sz w:val="24"/>
                <w:szCs w:val="24"/>
              </w:rPr>
              <w:t>2683</w:t>
            </w:r>
          </w:p>
        </w:tc>
        <w:tc>
          <w:tcPr>
            <w:tcW w:w="1390" w:type="dxa"/>
            <w:tcBorders>
              <w:top w:val="nil"/>
              <w:left w:val="nil"/>
              <w:bottom w:val="single" w:sz="4" w:space="0" w:color="auto"/>
              <w:right w:val="single" w:sz="4" w:space="0" w:color="auto"/>
            </w:tcBorders>
            <w:shd w:val="clear" w:color="auto" w:fill="auto"/>
            <w:noWrap/>
            <w:vAlign w:val="bottom"/>
            <w:hideMark/>
          </w:tcPr>
          <w:p w:rsidR="00FC67AD" w:rsidRPr="00202C97" w:rsidRDefault="00FC67AD" w:rsidP="00F42309">
            <w:pPr>
              <w:spacing w:after="0" w:line="240" w:lineRule="auto"/>
              <w:jc w:val="center"/>
              <w:rPr>
                <w:rFonts w:ascii="Calibri" w:eastAsia="Times New Roman" w:hAnsi="Calibri" w:cs="Times New Roman"/>
                <w:color w:val="000000"/>
                <w:sz w:val="24"/>
                <w:szCs w:val="24"/>
              </w:rPr>
            </w:pPr>
            <w:r w:rsidRPr="00202C97">
              <w:rPr>
                <w:rFonts w:ascii="Calibri" w:eastAsia="Times New Roman" w:hAnsi="Calibri" w:cs="Times New Roman"/>
                <w:color w:val="000000"/>
                <w:sz w:val="24"/>
                <w:szCs w:val="24"/>
              </w:rPr>
              <w:t>2691</w:t>
            </w:r>
          </w:p>
        </w:tc>
        <w:tc>
          <w:tcPr>
            <w:tcW w:w="1374" w:type="dxa"/>
            <w:tcBorders>
              <w:top w:val="single" w:sz="4" w:space="0" w:color="auto"/>
              <w:left w:val="nil"/>
              <w:bottom w:val="single" w:sz="4" w:space="0" w:color="auto"/>
              <w:right w:val="single" w:sz="4" w:space="0" w:color="auto"/>
            </w:tcBorders>
            <w:vAlign w:val="bottom"/>
          </w:tcPr>
          <w:p w:rsidR="00FC67AD" w:rsidRPr="00202C97" w:rsidRDefault="00FC67AD" w:rsidP="00F42309">
            <w:pPr>
              <w:spacing w:after="0" w:line="240" w:lineRule="auto"/>
              <w:jc w:val="center"/>
              <w:rPr>
                <w:rFonts w:ascii="Calibri" w:eastAsia="Times New Roman" w:hAnsi="Calibri" w:cs="Times New Roman"/>
                <w:color w:val="000000"/>
                <w:sz w:val="24"/>
                <w:szCs w:val="24"/>
              </w:rPr>
            </w:pPr>
            <w:r w:rsidRPr="00202C97">
              <w:rPr>
                <w:rFonts w:ascii="Calibri" w:hAnsi="Calibri"/>
                <w:color w:val="000000"/>
                <w:sz w:val="24"/>
                <w:szCs w:val="24"/>
              </w:rPr>
              <w:t>1485.3</w:t>
            </w:r>
          </w:p>
        </w:tc>
        <w:tc>
          <w:tcPr>
            <w:tcW w:w="1350" w:type="dxa"/>
            <w:tcBorders>
              <w:top w:val="nil"/>
              <w:left w:val="single" w:sz="4" w:space="0" w:color="auto"/>
              <w:bottom w:val="single" w:sz="4" w:space="0" w:color="auto"/>
              <w:right w:val="single" w:sz="4" w:space="0" w:color="auto"/>
            </w:tcBorders>
            <w:vAlign w:val="bottom"/>
          </w:tcPr>
          <w:p w:rsidR="00FC67AD" w:rsidRPr="00202C97" w:rsidRDefault="00FC67AD" w:rsidP="00F42309">
            <w:pPr>
              <w:spacing w:after="0" w:line="240" w:lineRule="auto"/>
              <w:jc w:val="center"/>
              <w:rPr>
                <w:rFonts w:ascii="Calibri" w:eastAsia="Times New Roman" w:hAnsi="Calibri" w:cs="Times New Roman"/>
                <w:color w:val="000000"/>
                <w:sz w:val="24"/>
                <w:szCs w:val="24"/>
              </w:rPr>
            </w:pPr>
            <w:r w:rsidRPr="00202C97">
              <w:rPr>
                <w:rFonts w:ascii="Calibri" w:hAnsi="Calibri"/>
                <w:color w:val="000000"/>
                <w:sz w:val="24"/>
                <w:szCs w:val="24"/>
              </w:rPr>
              <w:t>1491.9</w:t>
            </w:r>
          </w:p>
        </w:tc>
      </w:tr>
      <w:tr w:rsidR="00FC67AD" w:rsidRPr="00202C97" w:rsidTr="00F42309">
        <w:trPr>
          <w:gridAfter w:val="1"/>
          <w:wAfter w:w="1728" w:type="dxa"/>
          <w:trHeight w:val="315"/>
        </w:trPr>
        <w:tc>
          <w:tcPr>
            <w:tcW w:w="2241" w:type="dxa"/>
            <w:tcBorders>
              <w:top w:val="nil"/>
              <w:left w:val="single" w:sz="4" w:space="0" w:color="auto"/>
              <w:bottom w:val="single" w:sz="4" w:space="0" w:color="auto"/>
              <w:right w:val="single" w:sz="4" w:space="0" w:color="auto"/>
            </w:tcBorders>
            <w:shd w:val="clear" w:color="000000" w:fill="FFFFFF"/>
            <w:noWrap/>
            <w:vAlign w:val="bottom"/>
            <w:hideMark/>
          </w:tcPr>
          <w:p w:rsidR="00FC67AD" w:rsidRPr="00202C97" w:rsidRDefault="00FC67AD" w:rsidP="00F42309">
            <w:pPr>
              <w:spacing w:after="0" w:line="240" w:lineRule="auto"/>
              <w:jc w:val="center"/>
              <w:rPr>
                <w:rFonts w:ascii="Calibri" w:eastAsia="Times New Roman" w:hAnsi="Calibri" w:cs="Times New Roman"/>
                <w:color w:val="000000"/>
                <w:sz w:val="24"/>
                <w:szCs w:val="24"/>
              </w:rPr>
            </w:pPr>
            <w:r w:rsidRPr="00202C97">
              <w:rPr>
                <w:rFonts w:ascii="Calibri" w:eastAsia="Times New Roman" w:hAnsi="Calibri" w:cs="Times New Roman"/>
                <w:color w:val="000000"/>
                <w:sz w:val="24"/>
                <w:szCs w:val="24"/>
              </w:rPr>
              <w:t>LogLogistic</w:t>
            </w:r>
          </w:p>
        </w:tc>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FC67AD" w:rsidRPr="00202C97" w:rsidRDefault="00FC67AD" w:rsidP="00F42309">
            <w:pPr>
              <w:spacing w:after="0" w:line="240" w:lineRule="auto"/>
              <w:jc w:val="center"/>
              <w:rPr>
                <w:rFonts w:ascii="Calibri" w:eastAsia="Times New Roman" w:hAnsi="Calibri" w:cs="Times New Roman"/>
                <w:color w:val="000000"/>
                <w:sz w:val="24"/>
                <w:szCs w:val="24"/>
              </w:rPr>
            </w:pPr>
            <w:r w:rsidRPr="00202C97">
              <w:rPr>
                <w:rFonts w:ascii="Calibri" w:eastAsia="Times New Roman" w:hAnsi="Calibri" w:cs="Times New Roman"/>
                <w:color w:val="000000"/>
                <w:sz w:val="24"/>
                <w:szCs w:val="24"/>
              </w:rPr>
              <w:t>2638.1</w:t>
            </w:r>
          </w:p>
        </w:tc>
        <w:tc>
          <w:tcPr>
            <w:tcW w:w="1390" w:type="dxa"/>
            <w:tcBorders>
              <w:top w:val="nil"/>
              <w:left w:val="nil"/>
              <w:bottom w:val="single" w:sz="4" w:space="0" w:color="auto"/>
              <w:right w:val="single" w:sz="4" w:space="0" w:color="auto"/>
            </w:tcBorders>
            <w:shd w:val="clear" w:color="auto" w:fill="auto"/>
            <w:noWrap/>
            <w:vAlign w:val="bottom"/>
            <w:hideMark/>
          </w:tcPr>
          <w:p w:rsidR="00FC67AD" w:rsidRPr="00202C97" w:rsidRDefault="00FC67AD" w:rsidP="00F42309">
            <w:pPr>
              <w:spacing w:after="0" w:line="240" w:lineRule="auto"/>
              <w:jc w:val="center"/>
              <w:rPr>
                <w:rFonts w:ascii="Calibri" w:eastAsia="Times New Roman" w:hAnsi="Calibri" w:cs="Times New Roman"/>
                <w:color w:val="000000"/>
                <w:sz w:val="24"/>
                <w:szCs w:val="24"/>
              </w:rPr>
            </w:pPr>
            <w:r w:rsidRPr="00202C97">
              <w:rPr>
                <w:rFonts w:ascii="Calibri" w:eastAsia="Times New Roman" w:hAnsi="Calibri" w:cs="Times New Roman"/>
                <w:color w:val="000000"/>
                <w:sz w:val="24"/>
                <w:szCs w:val="24"/>
              </w:rPr>
              <w:t>2646.1</w:t>
            </w:r>
          </w:p>
        </w:tc>
        <w:tc>
          <w:tcPr>
            <w:tcW w:w="1374" w:type="dxa"/>
            <w:tcBorders>
              <w:top w:val="single" w:sz="4" w:space="0" w:color="auto"/>
              <w:left w:val="nil"/>
              <w:bottom w:val="single" w:sz="4" w:space="0" w:color="auto"/>
              <w:right w:val="single" w:sz="4" w:space="0" w:color="auto"/>
            </w:tcBorders>
            <w:vAlign w:val="bottom"/>
          </w:tcPr>
          <w:p w:rsidR="00FC67AD" w:rsidRPr="00202C97" w:rsidRDefault="00FC67AD" w:rsidP="00F42309">
            <w:pPr>
              <w:spacing w:after="0" w:line="240" w:lineRule="auto"/>
              <w:jc w:val="center"/>
              <w:rPr>
                <w:rFonts w:ascii="Calibri" w:eastAsia="Times New Roman" w:hAnsi="Calibri" w:cs="Times New Roman"/>
                <w:color w:val="000000"/>
                <w:sz w:val="24"/>
                <w:szCs w:val="24"/>
              </w:rPr>
            </w:pPr>
            <w:r w:rsidRPr="00202C97">
              <w:rPr>
                <w:rFonts w:ascii="Calibri" w:hAnsi="Calibri"/>
                <w:color w:val="000000"/>
                <w:sz w:val="24"/>
                <w:szCs w:val="24"/>
              </w:rPr>
              <w:t>1461.1</w:t>
            </w:r>
          </w:p>
        </w:tc>
        <w:tc>
          <w:tcPr>
            <w:tcW w:w="1350" w:type="dxa"/>
            <w:tcBorders>
              <w:top w:val="nil"/>
              <w:left w:val="single" w:sz="4" w:space="0" w:color="auto"/>
              <w:bottom w:val="single" w:sz="4" w:space="0" w:color="auto"/>
              <w:right w:val="single" w:sz="4" w:space="0" w:color="auto"/>
            </w:tcBorders>
            <w:vAlign w:val="bottom"/>
          </w:tcPr>
          <w:p w:rsidR="00FC67AD" w:rsidRPr="00202C97" w:rsidRDefault="00FC67AD" w:rsidP="00F42309">
            <w:pPr>
              <w:spacing w:after="0" w:line="240" w:lineRule="auto"/>
              <w:jc w:val="center"/>
              <w:rPr>
                <w:rFonts w:ascii="Calibri" w:eastAsia="Times New Roman" w:hAnsi="Calibri" w:cs="Times New Roman"/>
                <w:color w:val="000000"/>
                <w:sz w:val="24"/>
                <w:szCs w:val="24"/>
              </w:rPr>
            </w:pPr>
            <w:r w:rsidRPr="00202C97">
              <w:rPr>
                <w:rFonts w:ascii="Calibri" w:hAnsi="Calibri"/>
                <w:color w:val="000000"/>
                <w:sz w:val="24"/>
                <w:szCs w:val="24"/>
              </w:rPr>
              <w:t>1467.7</w:t>
            </w:r>
          </w:p>
        </w:tc>
      </w:tr>
      <w:tr w:rsidR="00FC67AD" w:rsidRPr="00202C97" w:rsidTr="00F42309">
        <w:trPr>
          <w:gridAfter w:val="1"/>
          <w:wAfter w:w="1728" w:type="dxa"/>
          <w:trHeight w:val="315"/>
        </w:trPr>
        <w:tc>
          <w:tcPr>
            <w:tcW w:w="2241" w:type="dxa"/>
            <w:tcBorders>
              <w:top w:val="nil"/>
              <w:left w:val="single" w:sz="4" w:space="0" w:color="auto"/>
              <w:bottom w:val="single" w:sz="4" w:space="0" w:color="auto"/>
              <w:right w:val="single" w:sz="4" w:space="0" w:color="auto"/>
            </w:tcBorders>
            <w:shd w:val="clear" w:color="auto" w:fill="auto"/>
            <w:noWrap/>
            <w:vAlign w:val="bottom"/>
            <w:hideMark/>
          </w:tcPr>
          <w:p w:rsidR="00FC67AD" w:rsidRPr="00202C97" w:rsidRDefault="00FC67AD" w:rsidP="00F42309">
            <w:pPr>
              <w:spacing w:after="0" w:line="240" w:lineRule="auto"/>
              <w:jc w:val="center"/>
              <w:rPr>
                <w:rFonts w:ascii="Calibri" w:eastAsia="Times New Roman" w:hAnsi="Calibri" w:cs="Times New Roman"/>
                <w:color w:val="000000"/>
                <w:sz w:val="24"/>
                <w:szCs w:val="24"/>
              </w:rPr>
            </w:pPr>
            <w:r w:rsidRPr="00202C97">
              <w:rPr>
                <w:rFonts w:ascii="Calibri" w:eastAsia="Times New Roman" w:hAnsi="Calibri" w:cs="Times New Roman"/>
                <w:color w:val="000000"/>
                <w:sz w:val="24"/>
                <w:szCs w:val="24"/>
              </w:rPr>
              <w:t>Gompertz</w:t>
            </w:r>
          </w:p>
        </w:tc>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FC67AD" w:rsidRPr="00202C97" w:rsidRDefault="00FC67AD" w:rsidP="00F42309">
            <w:pPr>
              <w:spacing w:after="0" w:line="240" w:lineRule="auto"/>
              <w:jc w:val="center"/>
              <w:rPr>
                <w:rFonts w:ascii="Calibri" w:eastAsia="Times New Roman" w:hAnsi="Calibri" w:cs="Times New Roman"/>
                <w:color w:val="000000"/>
                <w:sz w:val="24"/>
                <w:szCs w:val="24"/>
              </w:rPr>
            </w:pPr>
            <w:r w:rsidRPr="00202C97">
              <w:rPr>
                <w:rFonts w:ascii="Calibri" w:eastAsia="Times New Roman" w:hAnsi="Calibri" w:cs="Times New Roman"/>
                <w:color w:val="000000"/>
                <w:sz w:val="24"/>
                <w:szCs w:val="24"/>
              </w:rPr>
              <w:t>2622.7</w:t>
            </w:r>
          </w:p>
        </w:tc>
        <w:tc>
          <w:tcPr>
            <w:tcW w:w="1390" w:type="dxa"/>
            <w:tcBorders>
              <w:top w:val="nil"/>
              <w:left w:val="nil"/>
              <w:bottom w:val="single" w:sz="4" w:space="0" w:color="auto"/>
              <w:right w:val="single" w:sz="4" w:space="0" w:color="auto"/>
            </w:tcBorders>
            <w:shd w:val="clear" w:color="auto" w:fill="auto"/>
            <w:noWrap/>
            <w:vAlign w:val="bottom"/>
            <w:hideMark/>
          </w:tcPr>
          <w:p w:rsidR="00FC67AD" w:rsidRPr="00202C97" w:rsidRDefault="00FC67AD" w:rsidP="00F42309">
            <w:pPr>
              <w:spacing w:after="0" w:line="240" w:lineRule="auto"/>
              <w:jc w:val="center"/>
              <w:rPr>
                <w:rFonts w:ascii="Calibri" w:eastAsia="Times New Roman" w:hAnsi="Calibri" w:cs="Times New Roman"/>
                <w:color w:val="000000"/>
                <w:sz w:val="24"/>
                <w:szCs w:val="24"/>
              </w:rPr>
            </w:pPr>
            <w:r w:rsidRPr="00202C97">
              <w:rPr>
                <w:rFonts w:ascii="Calibri" w:eastAsia="Times New Roman" w:hAnsi="Calibri" w:cs="Times New Roman"/>
                <w:color w:val="000000"/>
                <w:sz w:val="24"/>
                <w:szCs w:val="24"/>
              </w:rPr>
              <w:t>2630.7</w:t>
            </w:r>
          </w:p>
        </w:tc>
        <w:tc>
          <w:tcPr>
            <w:tcW w:w="1374" w:type="dxa"/>
            <w:tcBorders>
              <w:top w:val="single" w:sz="4" w:space="0" w:color="auto"/>
              <w:left w:val="nil"/>
              <w:bottom w:val="single" w:sz="4" w:space="0" w:color="auto"/>
              <w:right w:val="single" w:sz="4" w:space="0" w:color="auto"/>
            </w:tcBorders>
            <w:vAlign w:val="bottom"/>
          </w:tcPr>
          <w:p w:rsidR="00FC67AD" w:rsidRPr="00202C97" w:rsidRDefault="00FC67AD" w:rsidP="00F42309">
            <w:pPr>
              <w:spacing w:after="0" w:line="240" w:lineRule="auto"/>
              <w:jc w:val="center"/>
              <w:rPr>
                <w:rFonts w:ascii="Calibri" w:eastAsia="Times New Roman" w:hAnsi="Calibri" w:cs="Times New Roman"/>
                <w:color w:val="000000"/>
                <w:sz w:val="24"/>
                <w:szCs w:val="24"/>
              </w:rPr>
            </w:pPr>
            <w:r w:rsidRPr="00202C97">
              <w:rPr>
                <w:rFonts w:ascii="Calibri" w:hAnsi="Calibri"/>
                <w:b/>
                <w:bCs/>
                <w:color w:val="000000"/>
                <w:sz w:val="24"/>
                <w:szCs w:val="24"/>
              </w:rPr>
              <w:t>1446</w:t>
            </w:r>
          </w:p>
        </w:tc>
        <w:tc>
          <w:tcPr>
            <w:tcW w:w="1350" w:type="dxa"/>
            <w:tcBorders>
              <w:top w:val="nil"/>
              <w:left w:val="single" w:sz="4" w:space="0" w:color="auto"/>
              <w:bottom w:val="single" w:sz="4" w:space="0" w:color="auto"/>
              <w:right w:val="single" w:sz="4" w:space="0" w:color="auto"/>
            </w:tcBorders>
            <w:vAlign w:val="bottom"/>
          </w:tcPr>
          <w:p w:rsidR="00FC67AD" w:rsidRPr="00202C97" w:rsidRDefault="00FC67AD" w:rsidP="00F42309">
            <w:pPr>
              <w:spacing w:after="0" w:line="240" w:lineRule="auto"/>
              <w:jc w:val="center"/>
              <w:rPr>
                <w:rFonts w:ascii="Calibri" w:eastAsia="Times New Roman" w:hAnsi="Calibri" w:cs="Times New Roman"/>
                <w:color w:val="000000"/>
                <w:sz w:val="24"/>
                <w:szCs w:val="24"/>
              </w:rPr>
            </w:pPr>
            <w:r w:rsidRPr="00202C97">
              <w:rPr>
                <w:rFonts w:ascii="Calibri" w:hAnsi="Calibri"/>
                <w:b/>
                <w:bCs/>
                <w:color w:val="000000"/>
                <w:sz w:val="24"/>
                <w:szCs w:val="24"/>
              </w:rPr>
              <w:t>1452.7</w:t>
            </w:r>
          </w:p>
        </w:tc>
      </w:tr>
      <w:tr w:rsidR="00FC67AD" w:rsidRPr="00202C97" w:rsidTr="00F42309">
        <w:trPr>
          <w:gridAfter w:val="1"/>
          <w:wAfter w:w="1728" w:type="dxa"/>
          <w:trHeight w:val="315"/>
        </w:trPr>
        <w:tc>
          <w:tcPr>
            <w:tcW w:w="2241" w:type="dxa"/>
            <w:tcBorders>
              <w:top w:val="nil"/>
              <w:left w:val="single" w:sz="4" w:space="0" w:color="auto"/>
              <w:bottom w:val="single" w:sz="4" w:space="0" w:color="auto"/>
              <w:right w:val="single" w:sz="4" w:space="0" w:color="auto"/>
            </w:tcBorders>
            <w:shd w:val="clear" w:color="auto" w:fill="auto"/>
            <w:noWrap/>
            <w:vAlign w:val="bottom"/>
            <w:hideMark/>
          </w:tcPr>
          <w:p w:rsidR="00FC67AD" w:rsidRPr="00202C97" w:rsidRDefault="00FC67AD" w:rsidP="00F42309">
            <w:pPr>
              <w:spacing w:after="0" w:line="240" w:lineRule="auto"/>
              <w:jc w:val="center"/>
              <w:rPr>
                <w:rFonts w:ascii="Calibri" w:eastAsia="Times New Roman" w:hAnsi="Calibri" w:cs="Times New Roman"/>
                <w:color w:val="000000"/>
                <w:sz w:val="24"/>
                <w:szCs w:val="24"/>
              </w:rPr>
            </w:pPr>
            <w:r w:rsidRPr="00202C97">
              <w:rPr>
                <w:rFonts w:ascii="Calibri" w:eastAsia="Times New Roman" w:hAnsi="Calibri" w:cs="Times New Roman"/>
                <w:color w:val="000000"/>
                <w:sz w:val="24"/>
                <w:szCs w:val="24"/>
              </w:rPr>
              <w:t>GenGamma</w:t>
            </w:r>
          </w:p>
        </w:tc>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FC67AD" w:rsidRPr="00202C97" w:rsidRDefault="00FC67AD" w:rsidP="00F42309">
            <w:pPr>
              <w:spacing w:after="0" w:line="240" w:lineRule="auto"/>
              <w:jc w:val="center"/>
              <w:rPr>
                <w:rFonts w:ascii="Calibri" w:eastAsia="Times New Roman" w:hAnsi="Calibri" w:cs="Times New Roman"/>
                <w:color w:val="000000"/>
                <w:sz w:val="24"/>
                <w:szCs w:val="24"/>
              </w:rPr>
            </w:pPr>
            <w:r w:rsidRPr="00202C97">
              <w:rPr>
                <w:rFonts w:ascii="Calibri" w:eastAsia="Times New Roman" w:hAnsi="Calibri" w:cs="Times New Roman"/>
                <w:color w:val="000000"/>
                <w:sz w:val="24"/>
                <w:szCs w:val="24"/>
              </w:rPr>
              <w:t>2619.5</w:t>
            </w:r>
          </w:p>
        </w:tc>
        <w:tc>
          <w:tcPr>
            <w:tcW w:w="1390" w:type="dxa"/>
            <w:tcBorders>
              <w:top w:val="nil"/>
              <w:left w:val="nil"/>
              <w:bottom w:val="single" w:sz="4" w:space="0" w:color="auto"/>
              <w:right w:val="single" w:sz="4" w:space="0" w:color="auto"/>
            </w:tcBorders>
            <w:shd w:val="clear" w:color="auto" w:fill="auto"/>
            <w:noWrap/>
            <w:vAlign w:val="bottom"/>
            <w:hideMark/>
          </w:tcPr>
          <w:p w:rsidR="00FC67AD" w:rsidRPr="00202C97" w:rsidRDefault="00FC67AD" w:rsidP="00F42309">
            <w:pPr>
              <w:spacing w:after="0" w:line="240" w:lineRule="auto"/>
              <w:jc w:val="center"/>
              <w:rPr>
                <w:rFonts w:ascii="Calibri" w:eastAsia="Times New Roman" w:hAnsi="Calibri" w:cs="Times New Roman"/>
                <w:color w:val="000000"/>
                <w:sz w:val="24"/>
                <w:szCs w:val="24"/>
              </w:rPr>
            </w:pPr>
            <w:r w:rsidRPr="00202C97">
              <w:rPr>
                <w:rFonts w:ascii="Calibri" w:eastAsia="Times New Roman" w:hAnsi="Calibri" w:cs="Times New Roman"/>
                <w:color w:val="000000"/>
                <w:sz w:val="24"/>
                <w:szCs w:val="24"/>
              </w:rPr>
              <w:t>2631.5</w:t>
            </w:r>
          </w:p>
        </w:tc>
        <w:tc>
          <w:tcPr>
            <w:tcW w:w="1374" w:type="dxa"/>
            <w:tcBorders>
              <w:top w:val="single" w:sz="4" w:space="0" w:color="auto"/>
              <w:left w:val="nil"/>
              <w:bottom w:val="single" w:sz="4" w:space="0" w:color="auto"/>
              <w:right w:val="single" w:sz="4" w:space="0" w:color="auto"/>
            </w:tcBorders>
            <w:vAlign w:val="bottom"/>
          </w:tcPr>
          <w:p w:rsidR="00FC67AD" w:rsidRPr="00202C97" w:rsidRDefault="00FC67AD" w:rsidP="00F42309">
            <w:pPr>
              <w:spacing w:after="0" w:line="240" w:lineRule="auto"/>
              <w:jc w:val="center"/>
              <w:rPr>
                <w:rFonts w:ascii="Calibri" w:eastAsia="Times New Roman" w:hAnsi="Calibri" w:cs="Times New Roman"/>
                <w:color w:val="000000"/>
                <w:sz w:val="24"/>
                <w:szCs w:val="24"/>
              </w:rPr>
            </w:pPr>
            <w:r w:rsidRPr="00202C97">
              <w:rPr>
                <w:rFonts w:ascii="Calibri" w:hAnsi="Calibri"/>
                <w:sz w:val="24"/>
                <w:szCs w:val="24"/>
              </w:rPr>
              <w:t>1440.5</w:t>
            </w:r>
          </w:p>
        </w:tc>
        <w:tc>
          <w:tcPr>
            <w:tcW w:w="1350" w:type="dxa"/>
            <w:tcBorders>
              <w:top w:val="nil"/>
              <w:left w:val="single" w:sz="4" w:space="0" w:color="auto"/>
              <w:bottom w:val="single" w:sz="4" w:space="0" w:color="auto"/>
              <w:right w:val="single" w:sz="4" w:space="0" w:color="auto"/>
            </w:tcBorders>
            <w:vAlign w:val="bottom"/>
          </w:tcPr>
          <w:p w:rsidR="00FC67AD" w:rsidRPr="00202C97" w:rsidRDefault="00FC67AD" w:rsidP="00F42309">
            <w:pPr>
              <w:spacing w:after="0" w:line="240" w:lineRule="auto"/>
              <w:jc w:val="center"/>
              <w:rPr>
                <w:rFonts w:ascii="Calibri" w:eastAsia="Times New Roman" w:hAnsi="Calibri" w:cs="Times New Roman"/>
                <w:color w:val="000000"/>
                <w:sz w:val="24"/>
                <w:szCs w:val="24"/>
              </w:rPr>
            </w:pPr>
            <w:r w:rsidRPr="00202C97">
              <w:rPr>
                <w:rFonts w:ascii="Calibri" w:hAnsi="Calibri"/>
                <w:sz w:val="24"/>
                <w:szCs w:val="24"/>
              </w:rPr>
              <w:t>1450.4</w:t>
            </w:r>
          </w:p>
        </w:tc>
      </w:tr>
    </w:tbl>
    <w:p w:rsidR="00FC67AD" w:rsidRDefault="00FC67AD" w:rsidP="00FC67AD"/>
    <w:p w:rsidR="00FC67AD" w:rsidRDefault="00FC67AD" w:rsidP="00FC67AD">
      <w:r>
        <w:t xml:space="preserve">Table S2 – AIC and BIC statistics for alternate parametric distributions for modeling PFS </w:t>
      </w:r>
    </w:p>
    <w:tbl>
      <w:tblPr>
        <w:tblW w:w="9473" w:type="dxa"/>
        <w:tblInd w:w="103" w:type="dxa"/>
        <w:tblLayout w:type="fixed"/>
        <w:tblLook w:val="04A0" w:firstRow="1" w:lastRow="0" w:firstColumn="1" w:lastColumn="0" w:noHBand="0" w:noVBand="1"/>
      </w:tblPr>
      <w:tblGrid>
        <w:gridCol w:w="2241"/>
        <w:gridCol w:w="1390"/>
        <w:gridCol w:w="1390"/>
        <w:gridCol w:w="1374"/>
        <w:gridCol w:w="1350"/>
        <w:gridCol w:w="1728"/>
      </w:tblGrid>
      <w:tr w:rsidR="00FC67AD" w:rsidRPr="00202C97" w:rsidTr="00F42309">
        <w:trPr>
          <w:gridAfter w:val="1"/>
          <w:wAfter w:w="1728" w:type="dxa"/>
          <w:trHeight w:val="390"/>
        </w:trPr>
        <w:tc>
          <w:tcPr>
            <w:tcW w:w="2241"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bottom"/>
            <w:hideMark/>
          </w:tcPr>
          <w:p w:rsidR="00FC67AD" w:rsidRPr="00202C97" w:rsidRDefault="00FC67AD" w:rsidP="00F42309">
            <w:pPr>
              <w:spacing w:after="0" w:line="240" w:lineRule="auto"/>
              <w:jc w:val="center"/>
              <w:rPr>
                <w:rFonts w:ascii="Calibri" w:eastAsia="Times New Roman" w:hAnsi="Calibri" w:cs="Times New Roman"/>
                <w:b/>
                <w:bCs/>
                <w:color w:val="FFFFFF"/>
                <w:sz w:val="24"/>
                <w:szCs w:val="24"/>
              </w:rPr>
            </w:pPr>
            <w:r w:rsidRPr="00202C97">
              <w:rPr>
                <w:rFonts w:ascii="Calibri" w:eastAsia="Times New Roman" w:hAnsi="Calibri" w:cs="Times New Roman"/>
                <w:b/>
                <w:bCs/>
                <w:color w:val="FFFFFF"/>
                <w:sz w:val="24"/>
                <w:szCs w:val="24"/>
              </w:rPr>
              <w:t>Fitted Function</w:t>
            </w:r>
          </w:p>
        </w:tc>
        <w:tc>
          <w:tcPr>
            <w:tcW w:w="2780" w:type="dxa"/>
            <w:gridSpan w:val="2"/>
            <w:tcBorders>
              <w:top w:val="single" w:sz="4" w:space="0" w:color="auto"/>
              <w:left w:val="nil"/>
              <w:bottom w:val="single" w:sz="4" w:space="0" w:color="auto"/>
              <w:right w:val="single" w:sz="4" w:space="0" w:color="000000"/>
            </w:tcBorders>
            <w:shd w:val="clear" w:color="000000" w:fill="8DB4E2"/>
            <w:noWrap/>
            <w:vAlign w:val="bottom"/>
            <w:hideMark/>
          </w:tcPr>
          <w:p w:rsidR="00FC67AD" w:rsidRPr="00202C97" w:rsidRDefault="00FC67AD" w:rsidP="00F42309">
            <w:pPr>
              <w:spacing w:after="0" w:line="240" w:lineRule="auto"/>
              <w:jc w:val="center"/>
              <w:rPr>
                <w:rFonts w:ascii="Calibri" w:eastAsia="Times New Roman" w:hAnsi="Calibri" w:cs="Times New Roman"/>
                <w:b/>
                <w:bCs/>
                <w:color w:val="FFFFFF"/>
                <w:sz w:val="24"/>
                <w:szCs w:val="24"/>
              </w:rPr>
            </w:pPr>
            <w:r>
              <w:rPr>
                <w:rFonts w:ascii="Calibri" w:eastAsia="Times New Roman" w:hAnsi="Calibri" w:cs="Times New Roman"/>
                <w:b/>
                <w:bCs/>
                <w:color w:val="FFFFFF"/>
                <w:sz w:val="24"/>
                <w:szCs w:val="24"/>
              </w:rPr>
              <w:t>Pembrolizumab + Chemotherapy</w:t>
            </w:r>
          </w:p>
        </w:tc>
        <w:tc>
          <w:tcPr>
            <w:tcW w:w="2724" w:type="dxa"/>
            <w:gridSpan w:val="2"/>
            <w:tcBorders>
              <w:top w:val="single" w:sz="4" w:space="0" w:color="auto"/>
              <w:left w:val="nil"/>
              <w:bottom w:val="single" w:sz="4" w:space="0" w:color="auto"/>
              <w:right w:val="single" w:sz="4" w:space="0" w:color="000000"/>
            </w:tcBorders>
            <w:shd w:val="clear" w:color="000000" w:fill="8DB4E2"/>
          </w:tcPr>
          <w:p w:rsidR="00FC67AD" w:rsidRPr="00202C97" w:rsidRDefault="00FC67AD" w:rsidP="00F42309">
            <w:pPr>
              <w:spacing w:after="0" w:line="240" w:lineRule="auto"/>
              <w:jc w:val="center"/>
              <w:rPr>
                <w:rFonts w:ascii="Calibri" w:eastAsia="Times New Roman" w:hAnsi="Calibri" w:cs="Times New Roman"/>
                <w:b/>
                <w:bCs/>
                <w:color w:val="FFFFFF"/>
                <w:sz w:val="24"/>
                <w:szCs w:val="24"/>
              </w:rPr>
            </w:pPr>
            <w:r>
              <w:rPr>
                <w:rFonts w:ascii="Calibri" w:eastAsia="Times New Roman" w:hAnsi="Calibri" w:cs="Times New Roman"/>
                <w:b/>
                <w:bCs/>
                <w:color w:val="FFFFFF"/>
                <w:sz w:val="24"/>
                <w:szCs w:val="24"/>
              </w:rPr>
              <w:t>Chemotherapy</w:t>
            </w:r>
          </w:p>
        </w:tc>
      </w:tr>
      <w:tr w:rsidR="00FC67AD" w:rsidRPr="00202C97" w:rsidTr="00F42309">
        <w:trPr>
          <w:trHeight w:val="345"/>
        </w:trPr>
        <w:tc>
          <w:tcPr>
            <w:tcW w:w="2241" w:type="dxa"/>
            <w:vMerge/>
            <w:tcBorders>
              <w:top w:val="single" w:sz="4" w:space="0" w:color="auto"/>
              <w:left w:val="single" w:sz="4" w:space="0" w:color="auto"/>
              <w:bottom w:val="single" w:sz="4" w:space="0" w:color="000000"/>
              <w:right w:val="single" w:sz="4" w:space="0" w:color="auto"/>
            </w:tcBorders>
            <w:vAlign w:val="center"/>
            <w:hideMark/>
          </w:tcPr>
          <w:p w:rsidR="00FC67AD" w:rsidRPr="00202C97" w:rsidRDefault="00FC67AD" w:rsidP="00F42309">
            <w:pPr>
              <w:spacing w:after="0" w:line="240" w:lineRule="auto"/>
              <w:rPr>
                <w:rFonts w:ascii="Calibri" w:eastAsia="Times New Roman" w:hAnsi="Calibri" w:cs="Times New Roman"/>
                <w:b/>
                <w:bCs/>
                <w:color w:val="FFFFFF"/>
                <w:sz w:val="24"/>
                <w:szCs w:val="24"/>
              </w:rPr>
            </w:pPr>
          </w:p>
        </w:tc>
        <w:tc>
          <w:tcPr>
            <w:tcW w:w="1390" w:type="dxa"/>
            <w:tcBorders>
              <w:top w:val="nil"/>
              <w:left w:val="nil"/>
              <w:bottom w:val="single" w:sz="4" w:space="0" w:color="auto"/>
              <w:right w:val="single" w:sz="4" w:space="0" w:color="auto"/>
            </w:tcBorders>
            <w:shd w:val="clear" w:color="000000" w:fill="8DB4E2"/>
            <w:noWrap/>
            <w:vAlign w:val="bottom"/>
            <w:hideMark/>
          </w:tcPr>
          <w:p w:rsidR="00FC67AD" w:rsidRPr="00202C97" w:rsidRDefault="00FC67AD" w:rsidP="00F42309">
            <w:pPr>
              <w:spacing w:after="0" w:line="240" w:lineRule="auto"/>
              <w:jc w:val="center"/>
              <w:rPr>
                <w:rFonts w:ascii="Calibri" w:eastAsia="Times New Roman" w:hAnsi="Calibri" w:cs="Times New Roman"/>
                <w:b/>
                <w:bCs/>
                <w:color w:val="FFFFFF"/>
                <w:sz w:val="24"/>
                <w:szCs w:val="24"/>
              </w:rPr>
            </w:pPr>
            <w:r w:rsidRPr="00202C97">
              <w:rPr>
                <w:rFonts w:ascii="Calibri" w:eastAsia="Times New Roman" w:hAnsi="Calibri" w:cs="Times New Roman"/>
                <w:b/>
                <w:bCs/>
                <w:color w:val="FFFFFF"/>
                <w:sz w:val="24"/>
                <w:szCs w:val="24"/>
              </w:rPr>
              <w:t>AIC</w:t>
            </w:r>
          </w:p>
        </w:tc>
        <w:tc>
          <w:tcPr>
            <w:tcW w:w="1390" w:type="dxa"/>
            <w:tcBorders>
              <w:top w:val="nil"/>
              <w:left w:val="nil"/>
              <w:bottom w:val="single" w:sz="4" w:space="0" w:color="auto"/>
              <w:right w:val="single" w:sz="4" w:space="0" w:color="auto"/>
            </w:tcBorders>
            <w:shd w:val="clear" w:color="000000" w:fill="8DB4E2"/>
            <w:noWrap/>
            <w:vAlign w:val="bottom"/>
            <w:hideMark/>
          </w:tcPr>
          <w:p w:rsidR="00FC67AD" w:rsidRPr="00202C97" w:rsidRDefault="00FC67AD" w:rsidP="00F42309">
            <w:pPr>
              <w:spacing w:after="0" w:line="240" w:lineRule="auto"/>
              <w:jc w:val="center"/>
              <w:rPr>
                <w:rFonts w:ascii="Calibri" w:eastAsia="Times New Roman" w:hAnsi="Calibri" w:cs="Times New Roman"/>
                <w:b/>
                <w:bCs/>
                <w:color w:val="FFFFFF"/>
                <w:sz w:val="24"/>
                <w:szCs w:val="24"/>
              </w:rPr>
            </w:pPr>
            <w:r w:rsidRPr="00202C97">
              <w:rPr>
                <w:rFonts w:ascii="Calibri" w:eastAsia="Times New Roman" w:hAnsi="Calibri" w:cs="Times New Roman"/>
                <w:b/>
                <w:bCs/>
                <w:color w:val="FFFFFF"/>
                <w:sz w:val="24"/>
                <w:szCs w:val="24"/>
              </w:rPr>
              <w:t>BIC</w:t>
            </w:r>
          </w:p>
        </w:tc>
        <w:tc>
          <w:tcPr>
            <w:tcW w:w="1374" w:type="dxa"/>
            <w:tcBorders>
              <w:top w:val="nil"/>
              <w:left w:val="nil"/>
              <w:bottom w:val="single" w:sz="4" w:space="0" w:color="auto"/>
              <w:right w:val="single" w:sz="4" w:space="0" w:color="auto"/>
            </w:tcBorders>
            <w:shd w:val="clear" w:color="000000" w:fill="8DB4E2"/>
            <w:vAlign w:val="bottom"/>
          </w:tcPr>
          <w:p w:rsidR="00FC67AD" w:rsidRPr="00202C97" w:rsidRDefault="00FC67AD" w:rsidP="00F42309">
            <w:pPr>
              <w:spacing w:after="0" w:line="240" w:lineRule="auto"/>
              <w:jc w:val="center"/>
              <w:rPr>
                <w:rFonts w:ascii="Calibri" w:eastAsia="Times New Roman" w:hAnsi="Calibri" w:cs="Times New Roman"/>
                <w:b/>
                <w:bCs/>
                <w:color w:val="FFFFFF"/>
                <w:sz w:val="24"/>
                <w:szCs w:val="24"/>
              </w:rPr>
            </w:pPr>
            <w:r w:rsidRPr="00202C97">
              <w:rPr>
                <w:rFonts w:ascii="Calibri" w:eastAsia="Times New Roman" w:hAnsi="Calibri" w:cs="Times New Roman"/>
                <w:b/>
                <w:bCs/>
                <w:color w:val="FFFFFF"/>
                <w:sz w:val="24"/>
                <w:szCs w:val="24"/>
              </w:rPr>
              <w:t>AIC</w:t>
            </w:r>
          </w:p>
        </w:tc>
        <w:tc>
          <w:tcPr>
            <w:tcW w:w="1350" w:type="dxa"/>
            <w:tcBorders>
              <w:top w:val="nil"/>
              <w:left w:val="single" w:sz="4" w:space="0" w:color="auto"/>
              <w:bottom w:val="single" w:sz="4" w:space="0" w:color="auto"/>
              <w:right w:val="single" w:sz="4" w:space="0" w:color="auto"/>
            </w:tcBorders>
            <w:shd w:val="clear" w:color="000000" w:fill="8DB4E2"/>
            <w:vAlign w:val="bottom"/>
          </w:tcPr>
          <w:p w:rsidR="00FC67AD" w:rsidRPr="00202C97" w:rsidRDefault="00FC67AD" w:rsidP="00F42309">
            <w:pPr>
              <w:spacing w:after="0" w:line="240" w:lineRule="auto"/>
              <w:jc w:val="center"/>
              <w:rPr>
                <w:rFonts w:ascii="Calibri" w:eastAsia="Times New Roman" w:hAnsi="Calibri" w:cs="Times New Roman"/>
                <w:b/>
                <w:bCs/>
                <w:color w:val="FFFFFF"/>
                <w:sz w:val="24"/>
                <w:szCs w:val="24"/>
              </w:rPr>
            </w:pPr>
            <w:r w:rsidRPr="00202C97">
              <w:rPr>
                <w:rFonts w:ascii="Calibri" w:eastAsia="Times New Roman" w:hAnsi="Calibri" w:cs="Times New Roman"/>
                <w:b/>
                <w:bCs/>
                <w:color w:val="FFFFFF"/>
                <w:sz w:val="24"/>
                <w:szCs w:val="24"/>
              </w:rPr>
              <w:t>BIC</w:t>
            </w:r>
          </w:p>
        </w:tc>
        <w:tc>
          <w:tcPr>
            <w:tcW w:w="1728" w:type="dxa"/>
            <w:vAlign w:val="bottom"/>
          </w:tcPr>
          <w:p w:rsidR="00FC67AD" w:rsidRPr="00202C97" w:rsidRDefault="00FC67AD" w:rsidP="00F42309">
            <w:pPr>
              <w:rPr>
                <w:rFonts w:ascii="Times New Roman" w:eastAsia="Times New Roman" w:hAnsi="Times New Roman" w:cs="Times New Roman"/>
                <w:sz w:val="20"/>
                <w:szCs w:val="20"/>
              </w:rPr>
            </w:pPr>
            <w:r w:rsidRPr="00202C97">
              <w:rPr>
                <w:rFonts w:ascii="Calibri" w:eastAsia="Times New Roman" w:hAnsi="Calibri" w:cs="Times New Roman"/>
                <w:b/>
                <w:bCs/>
                <w:color w:val="FFFFFF"/>
                <w:sz w:val="24"/>
                <w:szCs w:val="24"/>
              </w:rPr>
              <w:t>BIC</w:t>
            </w:r>
          </w:p>
        </w:tc>
      </w:tr>
      <w:tr w:rsidR="00FC67AD" w:rsidRPr="00202C97" w:rsidTr="00F42309">
        <w:trPr>
          <w:gridAfter w:val="1"/>
          <w:wAfter w:w="1728" w:type="dxa"/>
          <w:trHeight w:val="315"/>
        </w:trPr>
        <w:tc>
          <w:tcPr>
            <w:tcW w:w="2241" w:type="dxa"/>
            <w:tcBorders>
              <w:top w:val="nil"/>
              <w:left w:val="single" w:sz="4" w:space="0" w:color="auto"/>
              <w:bottom w:val="single" w:sz="4" w:space="0" w:color="auto"/>
              <w:right w:val="single" w:sz="4" w:space="0" w:color="auto"/>
            </w:tcBorders>
            <w:shd w:val="clear" w:color="000000" w:fill="FFFFFF"/>
            <w:noWrap/>
            <w:vAlign w:val="bottom"/>
            <w:hideMark/>
          </w:tcPr>
          <w:p w:rsidR="00FC67AD" w:rsidRPr="00202C97" w:rsidRDefault="00FC67AD" w:rsidP="00F42309">
            <w:pPr>
              <w:spacing w:after="0" w:line="240" w:lineRule="auto"/>
              <w:jc w:val="center"/>
              <w:rPr>
                <w:rFonts w:ascii="Calibri" w:eastAsia="Times New Roman" w:hAnsi="Calibri" w:cs="Times New Roman"/>
                <w:color w:val="000000"/>
                <w:sz w:val="24"/>
                <w:szCs w:val="24"/>
              </w:rPr>
            </w:pPr>
            <w:r w:rsidRPr="00202C97">
              <w:rPr>
                <w:rFonts w:ascii="Calibri" w:eastAsia="Times New Roman" w:hAnsi="Calibri" w:cs="Times New Roman"/>
                <w:color w:val="000000"/>
                <w:sz w:val="24"/>
                <w:szCs w:val="24"/>
              </w:rPr>
              <w:t>Exponential</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7AD" w:rsidRPr="00DE56D8" w:rsidRDefault="00FC67AD" w:rsidP="00F42309">
            <w:pPr>
              <w:spacing w:after="0" w:line="240" w:lineRule="auto"/>
              <w:jc w:val="center"/>
              <w:rPr>
                <w:rFonts w:ascii="Calibri" w:eastAsia="Times New Roman" w:hAnsi="Calibri" w:cs="Times New Roman"/>
                <w:b/>
                <w:bCs/>
                <w:color w:val="000000"/>
                <w:sz w:val="24"/>
                <w:szCs w:val="24"/>
              </w:rPr>
            </w:pPr>
            <w:r w:rsidRPr="00DE56D8">
              <w:rPr>
                <w:rFonts w:ascii="Calibri" w:hAnsi="Calibri"/>
                <w:sz w:val="24"/>
                <w:szCs w:val="24"/>
              </w:rPr>
              <w:t>427</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FC67AD" w:rsidRPr="00DE56D8" w:rsidRDefault="00FC67AD" w:rsidP="00F42309">
            <w:pPr>
              <w:spacing w:after="0" w:line="240" w:lineRule="auto"/>
              <w:jc w:val="center"/>
              <w:rPr>
                <w:rFonts w:ascii="Calibri" w:eastAsia="Times New Roman" w:hAnsi="Calibri" w:cs="Times New Roman"/>
                <w:b/>
                <w:bCs/>
                <w:color w:val="000000"/>
                <w:sz w:val="24"/>
                <w:szCs w:val="24"/>
              </w:rPr>
            </w:pPr>
            <w:r w:rsidRPr="00DE56D8">
              <w:rPr>
                <w:rFonts w:ascii="Calibri" w:hAnsi="Calibri"/>
                <w:sz w:val="24"/>
                <w:szCs w:val="24"/>
              </w:rPr>
              <w:t>430</w:t>
            </w:r>
          </w:p>
        </w:tc>
        <w:tc>
          <w:tcPr>
            <w:tcW w:w="1374" w:type="dxa"/>
            <w:tcBorders>
              <w:top w:val="single" w:sz="4" w:space="0" w:color="auto"/>
              <w:left w:val="nil"/>
              <w:bottom w:val="single" w:sz="4" w:space="0" w:color="auto"/>
              <w:right w:val="single" w:sz="4" w:space="0" w:color="auto"/>
            </w:tcBorders>
            <w:vAlign w:val="bottom"/>
          </w:tcPr>
          <w:p w:rsidR="00FC67AD" w:rsidRPr="00DE56D8" w:rsidRDefault="00FC67AD" w:rsidP="00F42309">
            <w:pPr>
              <w:spacing w:after="0" w:line="240" w:lineRule="auto"/>
              <w:jc w:val="center"/>
              <w:rPr>
                <w:rFonts w:ascii="Calibri" w:eastAsia="Times New Roman" w:hAnsi="Calibri" w:cs="Times New Roman"/>
                <w:b/>
                <w:bCs/>
                <w:color w:val="000000"/>
                <w:sz w:val="24"/>
                <w:szCs w:val="24"/>
              </w:rPr>
            </w:pPr>
            <w:r w:rsidRPr="00DE56D8">
              <w:rPr>
                <w:rFonts w:ascii="Calibri" w:hAnsi="Calibri"/>
                <w:sz w:val="24"/>
                <w:szCs w:val="24"/>
              </w:rPr>
              <w:t>577.7</w:t>
            </w:r>
          </w:p>
        </w:tc>
        <w:tc>
          <w:tcPr>
            <w:tcW w:w="1350" w:type="dxa"/>
            <w:tcBorders>
              <w:top w:val="single" w:sz="4" w:space="0" w:color="auto"/>
              <w:left w:val="single" w:sz="4" w:space="0" w:color="auto"/>
              <w:bottom w:val="single" w:sz="4" w:space="0" w:color="auto"/>
              <w:right w:val="single" w:sz="4" w:space="0" w:color="auto"/>
            </w:tcBorders>
            <w:vAlign w:val="bottom"/>
          </w:tcPr>
          <w:p w:rsidR="00FC67AD" w:rsidRPr="00DE56D8" w:rsidRDefault="00FC67AD" w:rsidP="00F42309">
            <w:pPr>
              <w:spacing w:after="0" w:line="240" w:lineRule="auto"/>
              <w:jc w:val="center"/>
              <w:rPr>
                <w:rFonts w:ascii="Calibri" w:eastAsia="Times New Roman" w:hAnsi="Calibri" w:cs="Times New Roman"/>
                <w:b/>
                <w:bCs/>
                <w:color w:val="000000"/>
                <w:sz w:val="24"/>
                <w:szCs w:val="24"/>
              </w:rPr>
            </w:pPr>
            <w:r w:rsidRPr="00DE56D8">
              <w:rPr>
                <w:rFonts w:ascii="Calibri" w:hAnsi="Calibri"/>
                <w:sz w:val="24"/>
                <w:szCs w:val="24"/>
              </w:rPr>
              <w:t>580.3</w:t>
            </w:r>
          </w:p>
        </w:tc>
      </w:tr>
      <w:tr w:rsidR="00FC67AD" w:rsidRPr="00202C97" w:rsidTr="00F42309">
        <w:trPr>
          <w:gridAfter w:val="1"/>
          <w:wAfter w:w="1728" w:type="dxa"/>
          <w:trHeight w:val="215"/>
        </w:trPr>
        <w:tc>
          <w:tcPr>
            <w:tcW w:w="2241" w:type="dxa"/>
            <w:tcBorders>
              <w:top w:val="nil"/>
              <w:left w:val="single" w:sz="4" w:space="0" w:color="auto"/>
              <w:bottom w:val="single" w:sz="4" w:space="0" w:color="auto"/>
              <w:right w:val="single" w:sz="4" w:space="0" w:color="auto"/>
            </w:tcBorders>
            <w:shd w:val="clear" w:color="000000" w:fill="FFFFFF"/>
            <w:noWrap/>
            <w:vAlign w:val="bottom"/>
            <w:hideMark/>
          </w:tcPr>
          <w:p w:rsidR="00FC67AD" w:rsidRPr="00202C97" w:rsidRDefault="00FC67AD" w:rsidP="00F42309">
            <w:pPr>
              <w:spacing w:after="0" w:line="240" w:lineRule="auto"/>
              <w:jc w:val="center"/>
              <w:rPr>
                <w:rFonts w:ascii="Calibri" w:eastAsia="Times New Roman" w:hAnsi="Calibri" w:cs="Times New Roman"/>
                <w:color w:val="000000"/>
                <w:sz w:val="24"/>
                <w:szCs w:val="24"/>
              </w:rPr>
            </w:pPr>
            <w:r w:rsidRPr="00202C97">
              <w:rPr>
                <w:rFonts w:ascii="Calibri" w:eastAsia="Times New Roman" w:hAnsi="Calibri" w:cs="Times New Roman"/>
                <w:color w:val="000000"/>
                <w:sz w:val="24"/>
                <w:szCs w:val="24"/>
              </w:rPr>
              <w:t>Weibull</w:t>
            </w:r>
          </w:p>
        </w:tc>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FC67AD" w:rsidRPr="00DE56D8" w:rsidRDefault="00FC67AD" w:rsidP="00F42309">
            <w:pPr>
              <w:spacing w:after="0" w:line="240" w:lineRule="auto"/>
              <w:jc w:val="center"/>
              <w:rPr>
                <w:rFonts w:ascii="Calibri" w:eastAsia="Times New Roman" w:hAnsi="Calibri" w:cs="Times New Roman"/>
                <w:color w:val="000000"/>
                <w:sz w:val="24"/>
                <w:szCs w:val="24"/>
              </w:rPr>
            </w:pPr>
            <w:r w:rsidRPr="00DE56D8">
              <w:rPr>
                <w:rFonts w:ascii="Calibri" w:hAnsi="Calibri"/>
                <w:b/>
                <w:bCs/>
                <w:sz w:val="24"/>
                <w:szCs w:val="24"/>
              </w:rPr>
              <w:t>421.8</w:t>
            </w:r>
          </w:p>
        </w:tc>
        <w:tc>
          <w:tcPr>
            <w:tcW w:w="1390" w:type="dxa"/>
            <w:tcBorders>
              <w:top w:val="nil"/>
              <w:left w:val="nil"/>
              <w:bottom w:val="single" w:sz="4" w:space="0" w:color="auto"/>
              <w:right w:val="single" w:sz="4" w:space="0" w:color="auto"/>
            </w:tcBorders>
            <w:shd w:val="clear" w:color="auto" w:fill="auto"/>
            <w:noWrap/>
            <w:vAlign w:val="bottom"/>
            <w:hideMark/>
          </w:tcPr>
          <w:p w:rsidR="00FC67AD" w:rsidRPr="00DE56D8" w:rsidRDefault="00FC67AD" w:rsidP="00F42309">
            <w:pPr>
              <w:spacing w:after="0" w:line="240" w:lineRule="auto"/>
              <w:jc w:val="center"/>
              <w:rPr>
                <w:rFonts w:ascii="Calibri" w:eastAsia="Times New Roman" w:hAnsi="Calibri" w:cs="Times New Roman"/>
                <w:color w:val="000000"/>
                <w:sz w:val="24"/>
                <w:szCs w:val="24"/>
              </w:rPr>
            </w:pPr>
            <w:r w:rsidRPr="00DE56D8">
              <w:rPr>
                <w:rFonts w:ascii="Calibri" w:hAnsi="Calibri"/>
                <w:b/>
                <w:bCs/>
                <w:sz w:val="24"/>
                <w:szCs w:val="24"/>
              </w:rPr>
              <w:t>427.8</w:t>
            </w:r>
          </w:p>
        </w:tc>
        <w:tc>
          <w:tcPr>
            <w:tcW w:w="1374" w:type="dxa"/>
            <w:tcBorders>
              <w:top w:val="single" w:sz="4" w:space="0" w:color="auto"/>
              <w:left w:val="nil"/>
              <w:bottom w:val="single" w:sz="4" w:space="0" w:color="auto"/>
              <w:right w:val="single" w:sz="4" w:space="0" w:color="auto"/>
            </w:tcBorders>
            <w:vAlign w:val="bottom"/>
          </w:tcPr>
          <w:p w:rsidR="00FC67AD" w:rsidRPr="00DE56D8" w:rsidRDefault="00FC67AD" w:rsidP="00F42309">
            <w:pPr>
              <w:spacing w:after="0" w:line="240" w:lineRule="auto"/>
              <w:jc w:val="center"/>
              <w:rPr>
                <w:rFonts w:ascii="Calibri" w:eastAsia="Times New Roman" w:hAnsi="Calibri" w:cs="Times New Roman"/>
                <w:color w:val="000000"/>
                <w:sz w:val="24"/>
                <w:szCs w:val="24"/>
              </w:rPr>
            </w:pPr>
            <w:r w:rsidRPr="00DE56D8">
              <w:rPr>
                <w:rFonts w:ascii="Calibri" w:hAnsi="Calibri"/>
                <w:b/>
                <w:bCs/>
                <w:sz w:val="24"/>
                <w:szCs w:val="24"/>
              </w:rPr>
              <w:t>568.8</w:t>
            </w:r>
          </w:p>
        </w:tc>
        <w:tc>
          <w:tcPr>
            <w:tcW w:w="1350" w:type="dxa"/>
            <w:tcBorders>
              <w:top w:val="nil"/>
              <w:left w:val="single" w:sz="4" w:space="0" w:color="auto"/>
              <w:bottom w:val="single" w:sz="4" w:space="0" w:color="auto"/>
              <w:right w:val="single" w:sz="4" w:space="0" w:color="auto"/>
            </w:tcBorders>
            <w:vAlign w:val="bottom"/>
          </w:tcPr>
          <w:p w:rsidR="00FC67AD" w:rsidRPr="00DE56D8" w:rsidRDefault="00FC67AD" w:rsidP="00F42309">
            <w:pPr>
              <w:spacing w:after="0" w:line="240" w:lineRule="auto"/>
              <w:jc w:val="center"/>
              <w:rPr>
                <w:rFonts w:ascii="Calibri" w:eastAsia="Times New Roman" w:hAnsi="Calibri" w:cs="Times New Roman"/>
                <w:color w:val="000000"/>
                <w:sz w:val="24"/>
                <w:szCs w:val="24"/>
              </w:rPr>
            </w:pPr>
            <w:r w:rsidRPr="00DE56D8">
              <w:rPr>
                <w:rFonts w:ascii="Calibri" w:hAnsi="Calibri"/>
                <w:b/>
                <w:bCs/>
                <w:sz w:val="24"/>
                <w:szCs w:val="24"/>
              </w:rPr>
              <w:t>574.1</w:t>
            </w:r>
          </w:p>
        </w:tc>
      </w:tr>
      <w:tr w:rsidR="00FC67AD" w:rsidRPr="00202C97" w:rsidTr="00F42309">
        <w:trPr>
          <w:gridAfter w:val="1"/>
          <w:wAfter w:w="1728" w:type="dxa"/>
          <w:trHeight w:val="315"/>
        </w:trPr>
        <w:tc>
          <w:tcPr>
            <w:tcW w:w="2241" w:type="dxa"/>
            <w:tcBorders>
              <w:top w:val="nil"/>
              <w:left w:val="single" w:sz="4" w:space="0" w:color="auto"/>
              <w:bottom w:val="single" w:sz="4" w:space="0" w:color="auto"/>
              <w:right w:val="single" w:sz="4" w:space="0" w:color="auto"/>
            </w:tcBorders>
            <w:shd w:val="clear" w:color="000000" w:fill="FFFFFF"/>
            <w:noWrap/>
            <w:vAlign w:val="bottom"/>
            <w:hideMark/>
          </w:tcPr>
          <w:p w:rsidR="00FC67AD" w:rsidRPr="00202C97" w:rsidRDefault="00FC67AD" w:rsidP="00F42309">
            <w:pPr>
              <w:spacing w:after="0" w:line="240" w:lineRule="auto"/>
              <w:jc w:val="center"/>
              <w:rPr>
                <w:rFonts w:ascii="Calibri" w:eastAsia="Times New Roman" w:hAnsi="Calibri" w:cs="Times New Roman"/>
                <w:color w:val="000000"/>
                <w:sz w:val="24"/>
                <w:szCs w:val="24"/>
              </w:rPr>
            </w:pPr>
            <w:r w:rsidRPr="00202C97">
              <w:rPr>
                <w:rFonts w:ascii="Calibri" w:eastAsia="Times New Roman" w:hAnsi="Calibri" w:cs="Times New Roman"/>
                <w:color w:val="000000"/>
                <w:sz w:val="24"/>
                <w:szCs w:val="24"/>
              </w:rPr>
              <w:t>LogNormal</w:t>
            </w:r>
          </w:p>
        </w:tc>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FC67AD" w:rsidRPr="00DE56D8" w:rsidRDefault="00FC67AD" w:rsidP="00F42309">
            <w:pPr>
              <w:spacing w:after="0" w:line="240" w:lineRule="auto"/>
              <w:jc w:val="center"/>
              <w:rPr>
                <w:rFonts w:ascii="Calibri" w:eastAsia="Times New Roman" w:hAnsi="Calibri" w:cs="Times New Roman"/>
                <w:color w:val="000000"/>
                <w:sz w:val="24"/>
                <w:szCs w:val="24"/>
              </w:rPr>
            </w:pPr>
            <w:r w:rsidRPr="00DE56D8">
              <w:rPr>
                <w:rFonts w:ascii="Calibri" w:hAnsi="Calibri"/>
                <w:sz w:val="24"/>
                <w:szCs w:val="24"/>
              </w:rPr>
              <w:t>421.8</w:t>
            </w:r>
          </w:p>
        </w:tc>
        <w:tc>
          <w:tcPr>
            <w:tcW w:w="1390" w:type="dxa"/>
            <w:tcBorders>
              <w:top w:val="nil"/>
              <w:left w:val="nil"/>
              <w:bottom w:val="single" w:sz="4" w:space="0" w:color="auto"/>
              <w:right w:val="single" w:sz="4" w:space="0" w:color="auto"/>
            </w:tcBorders>
            <w:shd w:val="clear" w:color="auto" w:fill="auto"/>
            <w:noWrap/>
            <w:vAlign w:val="bottom"/>
            <w:hideMark/>
          </w:tcPr>
          <w:p w:rsidR="00FC67AD" w:rsidRPr="00DE56D8" w:rsidRDefault="00FC67AD" w:rsidP="00F42309">
            <w:pPr>
              <w:spacing w:after="0" w:line="240" w:lineRule="auto"/>
              <w:jc w:val="center"/>
              <w:rPr>
                <w:rFonts w:ascii="Calibri" w:eastAsia="Times New Roman" w:hAnsi="Calibri" w:cs="Times New Roman"/>
                <w:color w:val="000000"/>
                <w:sz w:val="24"/>
                <w:szCs w:val="24"/>
              </w:rPr>
            </w:pPr>
            <w:r w:rsidRPr="00DE56D8">
              <w:rPr>
                <w:rFonts w:ascii="Calibri" w:hAnsi="Calibri"/>
                <w:sz w:val="24"/>
                <w:szCs w:val="24"/>
              </w:rPr>
              <w:t>427.8</w:t>
            </w:r>
          </w:p>
        </w:tc>
        <w:tc>
          <w:tcPr>
            <w:tcW w:w="1374" w:type="dxa"/>
            <w:tcBorders>
              <w:top w:val="single" w:sz="4" w:space="0" w:color="auto"/>
              <w:left w:val="nil"/>
              <w:bottom w:val="single" w:sz="4" w:space="0" w:color="auto"/>
              <w:right w:val="single" w:sz="4" w:space="0" w:color="auto"/>
            </w:tcBorders>
            <w:vAlign w:val="bottom"/>
          </w:tcPr>
          <w:p w:rsidR="00FC67AD" w:rsidRPr="00DE56D8" w:rsidRDefault="00FC67AD" w:rsidP="00F42309">
            <w:pPr>
              <w:spacing w:after="0" w:line="240" w:lineRule="auto"/>
              <w:jc w:val="center"/>
              <w:rPr>
                <w:rFonts w:ascii="Calibri" w:eastAsia="Times New Roman" w:hAnsi="Calibri" w:cs="Times New Roman"/>
                <w:color w:val="000000"/>
                <w:sz w:val="24"/>
                <w:szCs w:val="24"/>
              </w:rPr>
            </w:pPr>
            <w:r w:rsidRPr="00DE56D8">
              <w:rPr>
                <w:rFonts w:ascii="Calibri" w:hAnsi="Calibri"/>
                <w:sz w:val="24"/>
                <w:szCs w:val="24"/>
              </w:rPr>
              <w:t>579.2</w:t>
            </w:r>
          </w:p>
        </w:tc>
        <w:tc>
          <w:tcPr>
            <w:tcW w:w="1350" w:type="dxa"/>
            <w:tcBorders>
              <w:top w:val="nil"/>
              <w:left w:val="single" w:sz="4" w:space="0" w:color="auto"/>
              <w:bottom w:val="single" w:sz="4" w:space="0" w:color="auto"/>
              <w:right w:val="single" w:sz="4" w:space="0" w:color="auto"/>
            </w:tcBorders>
            <w:vAlign w:val="bottom"/>
          </w:tcPr>
          <w:p w:rsidR="00FC67AD" w:rsidRPr="00DE56D8" w:rsidRDefault="00FC67AD" w:rsidP="00F42309">
            <w:pPr>
              <w:spacing w:after="0" w:line="240" w:lineRule="auto"/>
              <w:jc w:val="center"/>
              <w:rPr>
                <w:rFonts w:ascii="Calibri" w:eastAsia="Times New Roman" w:hAnsi="Calibri" w:cs="Times New Roman"/>
                <w:color w:val="000000"/>
                <w:sz w:val="24"/>
                <w:szCs w:val="24"/>
              </w:rPr>
            </w:pPr>
            <w:r w:rsidRPr="00DE56D8">
              <w:rPr>
                <w:rFonts w:ascii="Calibri" w:hAnsi="Calibri"/>
                <w:sz w:val="24"/>
                <w:szCs w:val="24"/>
              </w:rPr>
              <w:t>584.5</w:t>
            </w:r>
          </w:p>
        </w:tc>
      </w:tr>
      <w:tr w:rsidR="00FC67AD" w:rsidRPr="00202C97" w:rsidTr="00F42309">
        <w:trPr>
          <w:gridAfter w:val="1"/>
          <w:wAfter w:w="1728" w:type="dxa"/>
          <w:trHeight w:val="315"/>
        </w:trPr>
        <w:tc>
          <w:tcPr>
            <w:tcW w:w="2241" w:type="dxa"/>
            <w:tcBorders>
              <w:top w:val="nil"/>
              <w:left w:val="single" w:sz="4" w:space="0" w:color="auto"/>
              <w:bottom w:val="single" w:sz="4" w:space="0" w:color="auto"/>
              <w:right w:val="single" w:sz="4" w:space="0" w:color="auto"/>
            </w:tcBorders>
            <w:shd w:val="clear" w:color="000000" w:fill="FFFFFF"/>
            <w:noWrap/>
            <w:vAlign w:val="bottom"/>
            <w:hideMark/>
          </w:tcPr>
          <w:p w:rsidR="00FC67AD" w:rsidRPr="00202C97" w:rsidRDefault="00FC67AD" w:rsidP="00F42309">
            <w:pPr>
              <w:spacing w:after="0" w:line="240" w:lineRule="auto"/>
              <w:jc w:val="center"/>
              <w:rPr>
                <w:rFonts w:ascii="Calibri" w:eastAsia="Times New Roman" w:hAnsi="Calibri" w:cs="Times New Roman"/>
                <w:color w:val="000000"/>
                <w:sz w:val="24"/>
                <w:szCs w:val="24"/>
              </w:rPr>
            </w:pPr>
            <w:r w:rsidRPr="00202C97">
              <w:rPr>
                <w:rFonts w:ascii="Calibri" w:eastAsia="Times New Roman" w:hAnsi="Calibri" w:cs="Times New Roman"/>
                <w:color w:val="000000"/>
                <w:sz w:val="24"/>
                <w:szCs w:val="24"/>
              </w:rPr>
              <w:t>LogLogistic</w:t>
            </w:r>
          </w:p>
        </w:tc>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FC67AD" w:rsidRPr="00DE56D8" w:rsidRDefault="00FC67AD" w:rsidP="00F42309">
            <w:pPr>
              <w:spacing w:after="0" w:line="240" w:lineRule="auto"/>
              <w:jc w:val="center"/>
              <w:rPr>
                <w:rFonts w:ascii="Calibri" w:eastAsia="Times New Roman" w:hAnsi="Calibri" w:cs="Times New Roman"/>
                <w:color w:val="000000"/>
                <w:sz w:val="24"/>
                <w:szCs w:val="24"/>
              </w:rPr>
            </w:pPr>
            <w:r w:rsidRPr="00DE56D8">
              <w:rPr>
                <w:rFonts w:ascii="Calibri" w:hAnsi="Calibri"/>
                <w:sz w:val="24"/>
                <w:szCs w:val="24"/>
              </w:rPr>
              <w:t>422.1</w:t>
            </w:r>
          </w:p>
        </w:tc>
        <w:tc>
          <w:tcPr>
            <w:tcW w:w="1390" w:type="dxa"/>
            <w:tcBorders>
              <w:top w:val="nil"/>
              <w:left w:val="nil"/>
              <w:bottom w:val="single" w:sz="4" w:space="0" w:color="auto"/>
              <w:right w:val="single" w:sz="4" w:space="0" w:color="auto"/>
            </w:tcBorders>
            <w:shd w:val="clear" w:color="auto" w:fill="auto"/>
            <w:noWrap/>
            <w:vAlign w:val="bottom"/>
            <w:hideMark/>
          </w:tcPr>
          <w:p w:rsidR="00FC67AD" w:rsidRPr="00DE56D8" w:rsidRDefault="00FC67AD" w:rsidP="00F42309">
            <w:pPr>
              <w:spacing w:after="0" w:line="240" w:lineRule="auto"/>
              <w:jc w:val="center"/>
              <w:rPr>
                <w:rFonts w:ascii="Calibri" w:eastAsia="Times New Roman" w:hAnsi="Calibri" w:cs="Times New Roman"/>
                <w:color w:val="000000"/>
                <w:sz w:val="24"/>
                <w:szCs w:val="24"/>
              </w:rPr>
            </w:pPr>
            <w:r w:rsidRPr="00DE56D8">
              <w:rPr>
                <w:rFonts w:ascii="Calibri" w:hAnsi="Calibri"/>
                <w:sz w:val="24"/>
                <w:szCs w:val="24"/>
              </w:rPr>
              <w:t>428.1</w:t>
            </w:r>
          </w:p>
        </w:tc>
        <w:tc>
          <w:tcPr>
            <w:tcW w:w="1374" w:type="dxa"/>
            <w:tcBorders>
              <w:top w:val="single" w:sz="4" w:space="0" w:color="auto"/>
              <w:left w:val="nil"/>
              <w:bottom w:val="single" w:sz="4" w:space="0" w:color="auto"/>
              <w:right w:val="single" w:sz="4" w:space="0" w:color="auto"/>
            </w:tcBorders>
            <w:vAlign w:val="bottom"/>
          </w:tcPr>
          <w:p w:rsidR="00FC67AD" w:rsidRPr="00DE56D8" w:rsidRDefault="00FC67AD" w:rsidP="00F42309">
            <w:pPr>
              <w:spacing w:after="0" w:line="240" w:lineRule="auto"/>
              <w:jc w:val="center"/>
              <w:rPr>
                <w:rFonts w:ascii="Calibri" w:eastAsia="Times New Roman" w:hAnsi="Calibri" w:cs="Times New Roman"/>
                <w:color w:val="000000"/>
                <w:sz w:val="24"/>
                <w:szCs w:val="24"/>
              </w:rPr>
            </w:pPr>
            <w:r w:rsidRPr="00DE56D8">
              <w:rPr>
                <w:rFonts w:ascii="Calibri" w:hAnsi="Calibri"/>
                <w:sz w:val="24"/>
                <w:szCs w:val="24"/>
              </w:rPr>
              <w:t>575.6</w:t>
            </w:r>
          </w:p>
        </w:tc>
        <w:tc>
          <w:tcPr>
            <w:tcW w:w="1350" w:type="dxa"/>
            <w:tcBorders>
              <w:top w:val="nil"/>
              <w:left w:val="single" w:sz="4" w:space="0" w:color="auto"/>
              <w:bottom w:val="single" w:sz="4" w:space="0" w:color="auto"/>
              <w:right w:val="single" w:sz="4" w:space="0" w:color="auto"/>
            </w:tcBorders>
            <w:vAlign w:val="bottom"/>
          </w:tcPr>
          <w:p w:rsidR="00FC67AD" w:rsidRPr="00DE56D8" w:rsidRDefault="00FC67AD" w:rsidP="00F42309">
            <w:pPr>
              <w:spacing w:after="0" w:line="240" w:lineRule="auto"/>
              <w:jc w:val="center"/>
              <w:rPr>
                <w:rFonts w:ascii="Calibri" w:eastAsia="Times New Roman" w:hAnsi="Calibri" w:cs="Times New Roman"/>
                <w:color w:val="000000"/>
                <w:sz w:val="24"/>
                <w:szCs w:val="24"/>
              </w:rPr>
            </w:pPr>
            <w:r w:rsidRPr="00DE56D8">
              <w:rPr>
                <w:rFonts w:ascii="Calibri" w:hAnsi="Calibri"/>
                <w:sz w:val="24"/>
                <w:szCs w:val="24"/>
              </w:rPr>
              <w:t>580.9</w:t>
            </w:r>
          </w:p>
        </w:tc>
      </w:tr>
      <w:tr w:rsidR="00FC67AD" w:rsidRPr="00202C97" w:rsidTr="00F42309">
        <w:trPr>
          <w:gridAfter w:val="1"/>
          <w:wAfter w:w="1728" w:type="dxa"/>
          <w:trHeight w:val="315"/>
        </w:trPr>
        <w:tc>
          <w:tcPr>
            <w:tcW w:w="2241" w:type="dxa"/>
            <w:tcBorders>
              <w:top w:val="nil"/>
              <w:left w:val="single" w:sz="4" w:space="0" w:color="auto"/>
              <w:bottom w:val="single" w:sz="4" w:space="0" w:color="auto"/>
              <w:right w:val="single" w:sz="4" w:space="0" w:color="auto"/>
            </w:tcBorders>
            <w:shd w:val="clear" w:color="auto" w:fill="auto"/>
            <w:noWrap/>
            <w:vAlign w:val="bottom"/>
            <w:hideMark/>
          </w:tcPr>
          <w:p w:rsidR="00FC67AD" w:rsidRPr="00202C97" w:rsidRDefault="00FC67AD" w:rsidP="00F42309">
            <w:pPr>
              <w:spacing w:after="0" w:line="240" w:lineRule="auto"/>
              <w:jc w:val="center"/>
              <w:rPr>
                <w:rFonts w:ascii="Calibri" w:eastAsia="Times New Roman" w:hAnsi="Calibri" w:cs="Times New Roman"/>
                <w:color w:val="000000"/>
                <w:sz w:val="24"/>
                <w:szCs w:val="24"/>
              </w:rPr>
            </w:pPr>
            <w:r w:rsidRPr="00202C97">
              <w:rPr>
                <w:rFonts w:ascii="Calibri" w:eastAsia="Times New Roman" w:hAnsi="Calibri" w:cs="Times New Roman"/>
                <w:color w:val="000000"/>
                <w:sz w:val="24"/>
                <w:szCs w:val="24"/>
              </w:rPr>
              <w:t>Gompertz</w:t>
            </w:r>
          </w:p>
        </w:tc>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FC67AD" w:rsidRPr="00DE56D8" w:rsidRDefault="00FC67AD" w:rsidP="00F42309">
            <w:pPr>
              <w:spacing w:after="0" w:line="240" w:lineRule="auto"/>
              <w:jc w:val="center"/>
              <w:rPr>
                <w:rFonts w:ascii="Calibri" w:eastAsia="Times New Roman" w:hAnsi="Calibri" w:cs="Times New Roman"/>
                <w:color w:val="000000"/>
                <w:sz w:val="24"/>
                <w:szCs w:val="24"/>
              </w:rPr>
            </w:pPr>
            <w:r w:rsidRPr="00DE56D8">
              <w:rPr>
                <w:rFonts w:ascii="Calibri" w:hAnsi="Calibri"/>
                <w:sz w:val="24"/>
                <w:szCs w:val="24"/>
              </w:rPr>
              <w:t>425.2</w:t>
            </w:r>
          </w:p>
        </w:tc>
        <w:tc>
          <w:tcPr>
            <w:tcW w:w="1390" w:type="dxa"/>
            <w:tcBorders>
              <w:top w:val="nil"/>
              <w:left w:val="nil"/>
              <w:bottom w:val="single" w:sz="4" w:space="0" w:color="auto"/>
              <w:right w:val="single" w:sz="4" w:space="0" w:color="auto"/>
            </w:tcBorders>
            <w:shd w:val="clear" w:color="auto" w:fill="auto"/>
            <w:noWrap/>
            <w:vAlign w:val="bottom"/>
            <w:hideMark/>
          </w:tcPr>
          <w:p w:rsidR="00FC67AD" w:rsidRPr="00DE56D8" w:rsidRDefault="00FC67AD" w:rsidP="00F42309">
            <w:pPr>
              <w:spacing w:after="0" w:line="240" w:lineRule="auto"/>
              <w:jc w:val="center"/>
              <w:rPr>
                <w:rFonts w:ascii="Calibri" w:eastAsia="Times New Roman" w:hAnsi="Calibri" w:cs="Times New Roman"/>
                <w:color w:val="000000"/>
                <w:sz w:val="24"/>
                <w:szCs w:val="24"/>
              </w:rPr>
            </w:pPr>
            <w:r w:rsidRPr="00DE56D8">
              <w:rPr>
                <w:rFonts w:ascii="Calibri" w:hAnsi="Calibri"/>
                <w:sz w:val="24"/>
                <w:szCs w:val="24"/>
              </w:rPr>
              <w:t>431.2</w:t>
            </w:r>
          </w:p>
        </w:tc>
        <w:tc>
          <w:tcPr>
            <w:tcW w:w="1374" w:type="dxa"/>
            <w:tcBorders>
              <w:top w:val="single" w:sz="4" w:space="0" w:color="auto"/>
              <w:left w:val="nil"/>
              <w:bottom w:val="single" w:sz="4" w:space="0" w:color="auto"/>
              <w:right w:val="single" w:sz="4" w:space="0" w:color="auto"/>
            </w:tcBorders>
            <w:vAlign w:val="bottom"/>
          </w:tcPr>
          <w:p w:rsidR="00FC67AD" w:rsidRPr="00DE56D8" w:rsidRDefault="00FC67AD" w:rsidP="00F42309">
            <w:pPr>
              <w:spacing w:after="0" w:line="240" w:lineRule="auto"/>
              <w:jc w:val="center"/>
              <w:rPr>
                <w:rFonts w:ascii="Calibri" w:eastAsia="Times New Roman" w:hAnsi="Calibri" w:cs="Times New Roman"/>
                <w:color w:val="000000"/>
                <w:sz w:val="24"/>
                <w:szCs w:val="24"/>
              </w:rPr>
            </w:pPr>
            <w:r w:rsidRPr="00DE56D8">
              <w:rPr>
                <w:rFonts w:ascii="Calibri" w:hAnsi="Calibri"/>
                <w:sz w:val="24"/>
                <w:szCs w:val="24"/>
              </w:rPr>
              <w:t>577.5</w:t>
            </w:r>
          </w:p>
        </w:tc>
        <w:tc>
          <w:tcPr>
            <w:tcW w:w="1350" w:type="dxa"/>
            <w:tcBorders>
              <w:top w:val="nil"/>
              <w:left w:val="single" w:sz="4" w:space="0" w:color="auto"/>
              <w:bottom w:val="single" w:sz="4" w:space="0" w:color="auto"/>
              <w:right w:val="single" w:sz="4" w:space="0" w:color="auto"/>
            </w:tcBorders>
            <w:vAlign w:val="bottom"/>
          </w:tcPr>
          <w:p w:rsidR="00FC67AD" w:rsidRPr="00DE56D8" w:rsidRDefault="00FC67AD" w:rsidP="00F42309">
            <w:pPr>
              <w:spacing w:after="0" w:line="240" w:lineRule="auto"/>
              <w:jc w:val="center"/>
              <w:rPr>
                <w:rFonts w:ascii="Calibri" w:eastAsia="Times New Roman" w:hAnsi="Calibri" w:cs="Times New Roman"/>
                <w:color w:val="000000"/>
                <w:sz w:val="24"/>
                <w:szCs w:val="24"/>
              </w:rPr>
            </w:pPr>
            <w:r w:rsidRPr="00DE56D8">
              <w:rPr>
                <w:rFonts w:ascii="Calibri" w:hAnsi="Calibri"/>
                <w:sz w:val="24"/>
                <w:szCs w:val="24"/>
              </w:rPr>
              <w:t>582.8</w:t>
            </w:r>
          </w:p>
        </w:tc>
      </w:tr>
      <w:tr w:rsidR="00FC67AD" w:rsidRPr="00202C97" w:rsidTr="00F42309">
        <w:trPr>
          <w:gridAfter w:val="1"/>
          <w:wAfter w:w="1728" w:type="dxa"/>
          <w:trHeight w:val="315"/>
        </w:trPr>
        <w:tc>
          <w:tcPr>
            <w:tcW w:w="2241" w:type="dxa"/>
            <w:tcBorders>
              <w:top w:val="nil"/>
              <w:left w:val="single" w:sz="4" w:space="0" w:color="auto"/>
              <w:bottom w:val="single" w:sz="4" w:space="0" w:color="auto"/>
              <w:right w:val="single" w:sz="4" w:space="0" w:color="auto"/>
            </w:tcBorders>
            <w:shd w:val="clear" w:color="auto" w:fill="auto"/>
            <w:noWrap/>
            <w:vAlign w:val="bottom"/>
            <w:hideMark/>
          </w:tcPr>
          <w:p w:rsidR="00FC67AD" w:rsidRPr="00202C97" w:rsidRDefault="00FC67AD" w:rsidP="00F42309">
            <w:pPr>
              <w:spacing w:after="0" w:line="240" w:lineRule="auto"/>
              <w:jc w:val="center"/>
              <w:rPr>
                <w:rFonts w:ascii="Calibri" w:eastAsia="Times New Roman" w:hAnsi="Calibri" w:cs="Times New Roman"/>
                <w:color w:val="000000"/>
                <w:sz w:val="24"/>
                <w:szCs w:val="24"/>
              </w:rPr>
            </w:pPr>
            <w:r w:rsidRPr="00202C97">
              <w:rPr>
                <w:rFonts w:ascii="Calibri" w:eastAsia="Times New Roman" w:hAnsi="Calibri" w:cs="Times New Roman"/>
                <w:color w:val="000000"/>
                <w:sz w:val="24"/>
                <w:szCs w:val="24"/>
              </w:rPr>
              <w:t>GenGamma</w:t>
            </w:r>
          </w:p>
        </w:tc>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FC67AD" w:rsidRPr="00DE56D8" w:rsidRDefault="00FC67AD" w:rsidP="00F42309">
            <w:pPr>
              <w:spacing w:after="0" w:line="240" w:lineRule="auto"/>
              <w:jc w:val="center"/>
              <w:rPr>
                <w:rFonts w:ascii="Calibri" w:eastAsia="Times New Roman" w:hAnsi="Calibri" w:cs="Times New Roman"/>
                <w:color w:val="000000"/>
                <w:sz w:val="24"/>
                <w:szCs w:val="24"/>
              </w:rPr>
            </w:pPr>
            <w:r w:rsidRPr="00DE56D8">
              <w:rPr>
                <w:rFonts w:ascii="Calibri" w:hAnsi="Calibri"/>
                <w:sz w:val="24"/>
                <w:szCs w:val="24"/>
              </w:rPr>
              <w:t>423.5</w:t>
            </w:r>
          </w:p>
        </w:tc>
        <w:tc>
          <w:tcPr>
            <w:tcW w:w="1390" w:type="dxa"/>
            <w:tcBorders>
              <w:top w:val="nil"/>
              <w:left w:val="nil"/>
              <w:bottom w:val="single" w:sz="4" w:space="0" w:color="auto"/>
              <w:right w:val="single" w:sz="4" w:space="0" w:color="auto"/>
            </w:tcBorders>
            <w:shd w:val="clear" w:color="auto" w:fill="auto"/>
            <w:noWrap/>
            <w:vAlign w:val="bottom"/>
            <w:hideMark/>
          </w:tcPr>
          <w:p w:rsidR="00FC67AD" w:rsidRPr="00DE56D8" w:rsidRDefault="00FC67AD" w:rsidP="00F42309">
            <w:pPr>
              <w:spacing w:after="0" w:line="240" w:lineRule="auto"/>
              <w:jc w:val="center"/>
              <w:rPr>
                <w:rFonts w:ascii="Calibri" w:eastAsia="Times New Roman" w:hAnsi="Calibri" w:cs="Times New Roman"/>
                <w:color w:val="000000"/>
                <w:sz w:val="24"/>
                <w:szCs w:val="24"/>
              </w:rPr>
            </w:pPr>
            <w:r w:rsidRPr="00DE56D8">
              <w:rPr>
                <w:rFonts w:ascii="Calibri" w:hAnsi="Calibri"/>
                <w:sz w:val="24"/>
                <w:szCs w:val="24"/>
              </w:rPr>
              <w:t>432.5</w:t>
            </w:r>
          </w:p>
        </w:tc>
        <w:tc>
          <w:tcPr>
            <w:tcW w:w="1374" w:type="dxa"/>
            <w:tcBorders>
              <w:top w:val="single" w:sz="4" w:space="0" w:color="auto"/>
              <w:left w:val="nil"/>
              <w:bottom w:val="single" w:sz="4" w:space="0" w:color="auto"/>
              <w:right w:val="single" w:sz="4" w:space="0" w:color="auto"/>
            </w:tcBorders>
            <w:vAlign w:val="bottom"/>
          </w:tcPr>
          <w:p w:rsidR="00FC67AD" w:rsidRPr="00DE56D8" w:rsidRDefault="00FC67AD" w:rsidP="00F42309">
            <w:pPr>
              <w:spacing w:after="0" w:line="240" w:lineRule="auto"/>
              <w:jc w:val="center"/>
              <w:rPr>
                <w:rFonts w:ascii="Calibri" w:eastAsia="Times New Roman" w:hAnsi="Calibri" w:cs="Times New Roman"/>
                <w:color w:val="000000"/>
                <w:sz w:val="24"/>
                <w:szCs w:val="24"/>
              </w:rPr>
            </w:pPr>
            <w:r w:rsidRPr="00DE56D8">
              <w:rPr>
                <w:rFonts w:ascii="Calibri" w:hAnsi="Calibri"/>
                <w:sz w:val="24"/>
                <w:szCs w:val="24"/>
              </w:rPr>
              <w:t>568.3</w:t>
            </w:r>
          </w:p>
        </w:tc>
        <w:tc>
          <w:tcPr>
            <w:tcW w:w="1350" w:type="dxa"/>
            <w:tcBorders>
              <w:top w:val="nil"/>
              <w:left w:val="single" w:sz="4" w:space="0" w:color="auto"/>
              <w:bottom w:val="single" w:sz="4" w:space="0" w:color="auto"/>
              <w:right w:val="single" w:sz="4" w:space="0" w:color="auto"/>
            </w:tcBorders>
            <w:vAlign w:val="bottom"/>
          </w:tcPr>
          <w:p w:rsidR="00FC67AD" w:rsidRPr="00DE56D8" w:rsidRDefault="00FC67AD" w:rsidP="00F42309">
            <w:pPr>
              <w:spacing w:after="0" w:line="240" w:lineRule="auto"/>
              <w:jc w:val="center"/>
              <w:rPr>
                <w:rFonts w:ascii="Calibri" w:eastAsia="Times New Roman" w:hAnsi="Calibri" w:cs="Times New Roman"/>
                <w:color w:val="000000"/>
                <w:sz w:val="24"/>
                <w:szCs w:val="24"/>
              </w:rPr>
            </w:pPr>
            <w:r w:rsidRPr="00DE56D8">
              <w:rPr>
                <w:rFonts w:ascii="Calibri" w:hAnsi="Calibri"/>
                <w:sz w:val="24"/>
                <w:szCs w:val="24"/>
              </w:rPr>
              <w:t>576.3</w:t>
            </w:r>
          </w:p>
        </w:tc>
      </w:tr>
    </w:tbl>
    <w:p w:rsidR="00FC67AD" w:rsidRDefault="00FC67AD" w:rsidP="00FC67AD"/>
    <w:p w:rsidR="00FC67AD" w:rsidRDefault="00FC67AD" w:rsidP="00FC67AD">
      <w:r>
        <w:t>Table S3 – AIC and BIC statistics for alternate parametric distributions for modeling OS</w:t>
      </w:r>
    </w:p>
    <w:tbl>
      <w:tblPr>
        <w:tblW w:w="6215" w:type="dxa"/>
        <w:tblInd w:w="103" w:type="dxa"/>
        <w:tblLayout w:type="fixed"/>
        <w:tblLook w:val="04A0" w:firstRow="1" w:lastRow="0" w:firstColumn="1" w:lastColumn="0" w:noHBand="0" w:noVBand="1"/>
      </w:tblPr>
      <w:tblGrid>
        <w:gridCol w:w="1445"/>
        <w:gridCol w:w="1080"/>
        <w:gridCol w:w="1260"/>
        <w:gridCol w:w="1260"/>
        <w:gridCol w:w="1170"/>
      </w:tblGrid>
      <w:tr w:rsidR="00FC67AD" w:rsidRPr="00AD727E" w:rsidTr="00F42309">
        <w:trPr>
          <w:trHeight w:val="390"/>
        </w:trPr>
        <w:tc>
          <w:tcPr>
            <w:tcW w:w="1445"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bottom"/>
            <w:hideMark/>
          </w:tcPr>
          <w:p w:rsidR="00FC67AD" w:rsidRPr="00AD727E" w:rsidRDefault="00FC67AD" w:rsidP="00F42309">
            <w:pPr>
              <w:spacing w:after="0" w:line="240" w:lineRule="auto"/>
              <w:jc w:val="center"/>
              <w:rPr>
                <w:rFonts w:ascii="Calibri" w:eastAsia="Times New Roman" w:hAnsi="Calibri" w:cs="Times New Roman"/>
                <w:b/>
                <w:bCs/>
                <w:color w:val="FFFFFF"/>
                <w:sz w:val="24"/>
                <w:szCs w:val="24"/>
              </w:rPr>
            </w:pPr>
            <w:r w:rsidRPr="00AD727E">
              <w:rPr>
                <w:rFonts w:ascii="Calibri" w:eastAsia="Times New Roman" w:hAnsi="Calibri" w:cs="Times New Roman"/>
                <w:b/>
                <w:bCs/>
                <w:color w:val="FFFFFF"/>
                <w:sz w:val="24"/>
                <w:szCs w:val="24"/>
              </w:rPr>
              <w:t>Fitted Function</w:t>
            </w:r>
          </w:p>
        </w:tc>
        <w:tc>
          <w:tcPr>
            <w:tcW w:w="2340" w:type="dxa"/>
            <w:gridSpan w:val="2"/>
            <w:tcBorders>
              <w:top w:val="single" w:sz="4" w:space="0" w:color="auto"/>
              <w:left w:val="nil"/>
              <w:bottom w:val="single" w:sz="4" w:space="0" w:color="auto"/>
              <w:right w:val="single" w:sz="4" w:space="0" w:color="000000"/>
            </w:tcBorders>
            <w:shd w:val="clear" w:color="000000" w:fill="8DB4E2"/>
            <w:vAlign w:val="bottom"/>
          </w:tcPr>
          <w:p w:rsidR="00FC67AD" w:rsidRPr="005C18B5" w:rsidRDefault="00FC67AD" w:rsidP="00F42309">
            <w:pPr>
              <w:spacing w:after="0" w:line="240" w:lineRule="auto"/>
              <w:jc w:val="center"/>
              <w:rPr>
                <w:rFonts w:ascii="Calibri" w:eastAsia="Times New Roman" w:hAnsi="Calibri" w:cs="Times New Roman"/>
                <w:b/>
                <w:bCs/>
                <w:color w:val="FFFFFF"/>
                <w:sz w:val="24"/>
                <w:szCs w:val="24"/>
              </w:rPr>
            </w:pPr>
            <w:r w:rsidRPr="005C18B5">
              <w:rPr>
                <w:rFonts w:ascii="Calibri" w:eastAsia="Times New Roman" w:hAnsi="Calibri" w:cs="Times New Roman"/>
                <w:b/>
                <w:bCs/>
                <w:color w:val="FFFFFF"/>
                <w:sz w:val="24"/>
                <w:szCs w:val="24"/>
              </w:rPr>
              <w:t>Pembrolizumab + Chemotherapy</w:t>
            </w:r>
          </w:p>
        </w:tc>
        <w:tc>
          <w:tcPr>
            <w:tcW w:w="2430" w:type="dxa"/>
            <w:gridSpan w:val="2"/>
            <w:tcBorders>
              <w:top w:val="single" w:sz="4" w:space="0" w:color="auto"/>
              <w:left w:val="single" w:sz="4" w:space="0" w:color="000000"/>
              <w:bottom w:val="single" w:sz="4" w:space="0" w:color="auto"/>
              <w:right w:val="single" w:sz="4" w:space="0" w:color="000000"/>
            </w:tcBorders>
            <w:shd w:val="clear" w:color="000000" w:fill="8DB4E2"/>
            <w:vAlign w:val="bottom"/>
          </w:tcPr>
          <w:p w:rsidR="00FC67AD" w:rsidRPr="005C18B5" w:rsidRDefault="00FC67AD" w:rsidP="00F42309">
            <w:pPr>
              <w:spacing w:after="0" w:line="240" w:lineRule="auto"/>
              <w:jc w:val="center"/>
              <w:rPr>
                <w:rFonts w:ascii="Calibri" w:eastAsia="Times New Roman" w:hAnsi="Calibri" w:cs="Times New Roman"/>
                <w:b/>
                <w:bCs/>
                <w:color w:val="FFFFFF"/>
                <w:sz w:val="24"/>
                <w:szCs w:val="24"/>
              </w:rPr>
            </w:pPr>
            <w:r w:rsidRPr="005C18B5">
              <w:rPr>
                <w:rFonts w:ascii="Calibri" w:eastAsia="Times New Roman" w:hAnsi="Calibri" w:cs="Times New Roman"/>
                <w:b/>
                <w:bCs/>
                <w:color w:val="FFFFFF"/>
                <w:sz w:val="24"/>
                <w:szCs w:val="24"/>
              </w:rPr>
              <w:t>Pembrolizumab + Chemotherapy</w:t>
            </w:r>
          </w:p>
        </w:tc>
      </w:tr>
      <w:tr w:rsidR="00FC67AD" w:rsidRPr="00AD727E" w:rsidTr="00F42309">
        <w:trPr>
          <w:trHeight w:val="345"/>
        </w:trPr>
        <w:tc>
          <w:tcPr>
            <w:tcW w:w="1445" w:type="dxa"/>
            <w:vMerge/>
            <w:tcBorders>
              <w:top w:val="single" w:sz="4" w:space="0" w:color="auto"/>
              <w:left w:val="single" w:sz="4" w:space="0" w:color="auto"/>
              <w:bottom w:val="single" w:sz="4" w:space="0" w:color="000000"/>
              <w:right w:val="single" w:sz="4" w:space="0" w:color="auto"/>
            </w:tcBorders>
            <w:vAlign w:val="center"/>
            <w:hideMark/>
          </w:tcPr>
          <w:p w:rsidR="00FC67AD" w:rsidRPr="00AD727E" w:rsidRDefault="00FC67AD" w:rsidP="00F42309">
            <w:pPr>
              <w:spacing w:after="0" w:line="240" w:lineRule="auto"/>
              <w:rPr>
                <w:rFonts w:ascii="Calibri" w:eastAsia="Times New Roman" w:hAnsi="Calibri" w:cs="Times New Roman"/>
                <w:b/>
                <w:bCs/>
                <w:color w:val="FFFFFF"/>
                <w:sz w:val="24"/>
                <w:szCs w:val="24"/>
              </w:rPr>
            </w:pPr>
          </w:p>
        </w:tc>
        <w:tc>
          <w:tcPr>
            <w:tcW w:w="1080" w:type="dxa"/>
            <w:tcBorders>
              <w:top w:val="single" w:sz="4" w:space="0" w:color="auto"/>
              <w:left w:val="nil"/>
              <w:bottom w:val="single" w:sz="4" w:space="0" w:color="auto"/>
              <w:right w:val="single" w:sz="4" w:space="0" w:color="auto"/>
            </w:tcBorders>
            <w:shd w:val="clear" w:color="000000" w:fill="8DB4E2"/>
            <w:vAlign w:val="bottom"/>
          </w:tcPr>
          <w:p w:rsidR="00FC67AD" w:rsidRPr="00AD727E" w:rsidRDefault="00FC67AD" w:rsidP="00F42309">
            <w:pPr>
              <w:spacing w:after="0" w:line="240" w:lineRule="auto"/>
              <w:jc w:val="center"/>
              <w:rPr>
                <w:rFonts w:ascii="Calibri" w:eastAsia="Times New Roman" w:hAnsi="Calibri" w:cs="Times New Roman"/>
                <w:b/>
                <w:bCs/>
                <w:color w:val="FFFFFF"/>
                <w:sz w:val="24"/>
                <w:szCs w:val="24"/>
              </w:rPr>
            </w:pPr>
            <w:r w:rsidRPr="005C18B5">
              <w:rPr>
                <w:rFonts w:ascii="Calibri" w:eastAsia="Times New Roman" w:hAnsi="Calibri" w:cs="Times New Roman"/>
                <w:b/>
                <w:bCs/>
                <w:color w:val="FFFFFF"/>
                <w:sz w:val="24"/>
                <w:szCs w:val="24"/>
              </w:rPr>
              <w:t>AIC</w:t>
            </w:r>
          </w:p>
        </w:tc>
        <w:tc>
          <w:tcPr>
            <w:tcW w:w="1260" w:type="dxa"/>
            <w:tcBorders>
              <w:top w:val="single" w:sz="4" w:space="0" w:color="auto"/>
              <w:left w:val="single" w:sz="4" w:space="0" w:color="auto"/>
              <w:bottom w:val="single" w:sz="4" w:space="0" w:color="auto"/>
              <w:right w:val="single" w:sz="4" w:space="0" w:color="auto"/>
            </w:tcBorders>
            <w:shd w:val="clear" w:color="000000" w:fill="8DB4E2"/>
            <w:vAlign w:val="bottom"/>
          </w:tcPr>
          <w:p w:rsidR="00FC67AD" w:rsidRPr="00AD727E" w:rsidRDefault="00FC67AD" w:rsidP="00F42309">
            <w:pPr>
              <w:spacing w:after="0" w:line="240" w:lineRule="auto"/>
              <w:jc w:val="center"/>
              <w:rPr>
                <w:rFonts w:ascii="Calibri" w:eastAsia="Times New Roman" w:hAnsi="Calibri" w:cs="Times New Roman"/>
                <w:b/>
                <w:bCs/>
                <w:color w:val="FFFFFF"/>
                <w:sz w:val="24"/>
                <w:szCs w:val="24"/>
              </w:rPr>
            </w:pPr>
            <w:r w:rsidRPr="005C18B5">
              <w:rPr>
                <w:rFonts w:ascii="Calibri" w:eastAsia="Times New Roman" w:hAnsi="Calibri" w:cs="Times New Roman"/>
                <w:b/>
                <w:bCs/>
                <w:color w:val="FFFFFF"/>
                <w:sz w:val="24"/>
                <w:szCs w:val="24"/>
              </w:rPr>
              <w:t>AIC</w:t>
            </w:r>
          </w:p>
        </w:tc>
        <w:tc>
          <w:tcPr>
            <w:tcW w:w="1260" w:type="dxa"/>
            <w:tcBorders>
              <w:top w:val="nil"/>
              <w:left w:val="single" w:sz="4" w:space="0" w:color="auto"/>
              <w:bottom w:val="single" w:sz="4" w:space="0" w:color="auto"/>
              <w:right w:val="single" w:sz="4" w:space="0" w:color="auto"/>
            </w:tcBorders>
            <w:shd w:val="clear" w:color="000000" w:fill="8DB4E2"/>
            <w:vAlign w:val="bottom"/>
          </w:tcPr>
          <w:p w:rsidR="00FC67AD" w:rsidRPr="00AD727E" w:rsidRDefault="00FC67AD" w:rsidP="00F42309">
            <w:pPr>
              <w:spacing w:after="0" w:line="240" w:lineRule="auto"/>
              <w:jc w:val="center"/>
              <w:rPr>
                <w:rFonts w:ascii="Calibri" w:eastAsia="Times New Roman" w:hAnsi="Calibri" w:cs="Times New Roman"/>
                <w:b/>
                <w:bCs/>
                <w:color w:val="FFFFFF"/>
                <w:sz w:val="24"/>
                <w:szCs w:val="24"/>
              </w:rPr>
            </w:pPr>
            <w:r w:rsidRPr="00AD727E">
              <w:rPr>
                <w:rFonts w:ascii="Calibri" w:eastAsia="Times New Roman" w:hAnsi="Calibri" w:cs="Times New Roman"/>
                <w:b/>
                <w:bCs/>
                <w:color w:val="FFFFFF"/>
                <w:sz w:val="24"/>
                <w:szCs w:val="24"/>
              </w:rPr>
              <w:t>AIC</w:t>
            </w:r>
          </w:p>
        </w:tc>
        <w:tc>
          <w:tcPr>
            <w:tcW w:w="1170" w:type="dxa"/>
            <w:tcBorders>
              <w:top w:val="nil"/>
              <w:left w:val="single" w:sz="4" w:space="0" w:color="auto"/>
              <w:bottom w:val="single" w:sz="4" w:space="0" w:color="auto"/>
              <w:right w:val="single" w:sz="4" w:space="0" w:color="auto"/>
            </w:tcBorders>
            <w:shd w:val="clear" w:color="000000" w:fill="8DB4E2"/>
            <w:vAlign w:val="bottom"/>
          </w:tcPr>
          <w:p w:rsidR="00FC67AD" w:rsidRPr="00AD727E" w:rsidRDefault="00FC67AD" w:rsidP="00F42309">
            <w:pPr>
              <w:spacing w:after="0" w:line="240" w:lineRule="auto"/>
              <w:jc w:val="center"/>
              <w:rPr>
                <w:rFonts w:ascii="Calibri" w:eastAsia="Times New Roman" w:hAnsi="Calibri" w:cs="Times New Roman"/>
                <w:b/>
                <w:bCs/>
                <w:color w:val="FFFFFF"/>
                <w:sz w:val="24"/>
                <w:szCs w:val="24"/>
              </w:rPr>
            </w:pPr>
            <w:r w:rsidRPr="00AD727E">
              <w:rPr>
                <w:rFonts w:ascii="Calibri" w:eastAsia="Times New Roman" w:hAnsi="Calibri" w:cs="Times New Roman"/>
                <w:b/>
                <w:bCs/>
                <w:color w:val="FFFFFF"/>
                <w:sz w:val="24"/>
                <w:szCs w:val="24"/>
              </w:rPr>
              <w:t>BIC</w:t>
            </w:r>
          </w:p>
        </w:tc>
      </w:tr>
      <w:tr w:rsidR="00FC67AD" w:rsidRPr="00AD727E" w:rsidTr="00F42309">
        <w:trPr>
          <w:trHeight w:val="315"/>
        </w:trPr>
        <w:tc>
          <w:tcPr>
            <w:tcW w:w="1445" w:type="dxa"/>
            <w:tcBorders>
              <w:top w:val="nil"/>
              <w:left w:val="single" w:sz="4" w:space="0" w:color="auto"/>
              <w:bottom w:val="single" w:sz="4" w:space="0" w:color="auto"/>
              <w:right w:val="single" w:sz="4" w:space="0" w:color="auto"/>
            </w:tcBorders>
            <w:shd w:val="clear" w:color="000000" w:fill="FFFFFF"/>
            <w:noWrap/>
            <w:vAlign w:val="bottom"/>
            <w:hideMark/>
          </w:tcPr>
          <w:p w:rsidR="00FC67AD" w:rsidRPr="00AD727E" w:rsidRDefault="00FC67AD" w:rsidP="00F42309">
            <w:pPr>
              <w:spacing w:after="0" w:line="240" w:lineRule="auto"/>
              <w:jc w:val="center"/>
              <w:rPr>
                <w:rFonts w:ascii="Calibri" w:eastAsia="Times New Roman" w:hAnsi="Calibri" w:cs="Times New Roman"/>
                <w:color w:val="000000"/>
                <w:sz w:val="24"/>
                <w:szCs w:val="24"/>
              </w:rPr>
            </w:pPr>
            <w:r w:rsidRPr="00AD727E">
              <w:rPr>
                <w:rFonts w:ascii="Calibri" w:eastAsia="Times New Roman" w:hAnsi="Calibri" w:cs="Times New Roman"/>
                <w:color w:val="000000"/>
                <w:sz w:val="24"/>
                <w:szCs w:val="24"/>
              </w:rPr>
              <w:t>Exponential</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FC67AD" w:rsidRPr="005D2BBF" w:rsidRDefault="00FC67AD" w:rsidP="00F42309">
            <w:pPr>
              <w:spacing w:after="0" w:line="240" w:lineRule="auto"/>
              <w:jc w:val="center"/>
              <w:rPr>
                <w:sz w:val="24"/>
                <w:szCs w:val="24"/>
              </w:rPr>
            </w:pPr>
            <w:r w:rsidRPr="005D2BBF">
              <w:rPr>
                <w:rFonts w:ascii="Calibri" w:hAnsi="Calibri"/>
                <w:b/>
                <w:bCs/>
                <w:sz w:val="24"/>
                <w:szCs w:val="24"/>
              </w:rPr>
              <w:t>682.2</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FC67AD" w:rsidRPr="005D2BBF" w:rsidRDefault="00FC67AD" w:rsidP="00F42309">
            <w:pPr>
              <w:spacing w:after="0" w:line="240" w:lineRule="auto"/>
              <w:jc w:val="center"/>
              <w:rPr>
                <w:sz w:val="24"/>
                <w:szCs w:val="24"/>
              </w:rPr>
            </w:pPr>
            <w:r w:rsidRPr="005D2BBF">
              <w:rPr>
                <w:rFonts w:ascii="Calibri" w:hAnsi="Calibri"/>
                <w:b/>
                <w:bCs/>
                <w:sz w:val="24"/>
                <w:szCs w:val="24"/>
              </w:rPr>
              <w:t>686</w:t>
            </w:r>
          </w:p>
        </w:tc>
        <w:tc>
          <w:tcPr>
            <w:tcW w:w="1260" w:type="dxa"/>
            <w:tcBorders>
              <w:top w:val="nil"/>
              <w:left w:val="single" w:sz="4" w:space="0" w:color="auto"/>
              <w:bottom w:val="single" w:sz="4" w:space="0" w:color="auto"/>
              <w:right w:val="single" w:sz="4" w:space="0" w:color="auto"/>
            </w:tcBorders>
            <w:shd w:val="clear" w:color="000000" w:fill="FFFFFF"/>
          </w:tcPr>
          <w:p w:rsidR="00FC67AD" w:rsidRPr="005D2BBF" w:rsidRDefault="00FC67AD" w:rsidP="00F42309">
            <w:pPr>
              <w:spacing w:after="0" w:line="240" w:lineRule="auto"/>
              <w:jc w:val="center"/>
              <w:rPr>
                <w:rFonts w:ascii="Calibri" w:eastAsia="Times New Roman" w:hAnsi="Calibri" w:cs="Times New Roman"/>
                <w:b/>
                <w:sz w:val="24"/>
                <w:szCs w:val="24"/>
              </w:rPr>
            </w:pPr>
            <w:r w:rsidRPr="005D2BBF">
              <w:rPr>
                <w:b/>
                <w:sz w:val="24"/>
                <w:szCs w:val="24"/>
              </w:rPr>
              <w:t>377.6</w:t>
            </w:r>
          </w:p>
        </w:tc>
        <w:tc>
          <w:tcPr>
            <w:tcW w:w="1170" w:type="dxa"/>
            <w:tcBorders>
              <w:top w:val="nil"/>
              <w:left w:val="single" w:sz="4" w:space="0" w:color="auto"/>
              <w:bottom w:val="single" w:sz="4" w:space="0" w:color="auto"/>
              <w:right w:val="single" w:sz="4" w:space="0" w:color="auto"/>
            </w:tcBorders>
            <w:shd w:val="clear" w:color="000000" w:fill="FFFFFF"/>
          </w:tcPr>
          <w:p w:rsidR="00FC67AD" w:rsidRPr="005D2BBF" w:rsidRDefault="00FC67AD" w:rsidP="00F42309">
            <w:pPr>
              <w:spacing w:after="0" w:line="240" w:lineRule="auto"/>
              <w:jc w:val="center"/>
              <w:rPr>
                <w:rFonts w:ascii="Calibri" w:eastAsia="Times New Roman" w:hAnsi="Calibri" w:cs="Times New Roman"/>
                <w:b/>
                <w:sz w:val="24"/>
                <w:szCs w:val="24"/>
              </w:rPr>
            </w:pPr>
            <w:r w:rsidRPr="005D2BBF">
              <w:rPr>
                <w:b/>
                <w:sz w:val="24"/>
                <w:szCs w:val="24"/>
              </w:rPr>
              <w:t>380.5</w:t>
            </w:r>
          </w:p>
        </w:tc>
      </w:tr>
      <w:tr w:rsidR="00FC67AD" w:rsidRPr="00AD727E" w:rsidTr="00F42309">
        <w:trPr>
          <w:trHeight w:val="350"/>
        </w:trPr>
        <w:tc>
          <w:tcPr>
            <w:tcW w:w="1445" w:type="dxa"/>
            <w:tcBorders>
              <w:top w:val="nil"/>
              <w:left w:val="single" w:sz="4" w:space="0" w:color="auto"/>
              <w:bottom w:val="single" w:sz="4" w:space="0" w:color="auto"/>
              <w:right w:val="single" w:sz="4" w:space="0" w:color="auto"/>
            </w:tcBorders>
            <w:shd w:val="clear" w:color="000000" w:fill="FFFFFF"/>
            <w:noWrap/>
            <w:vAlign w:val="bottom"/>
            <w:hideMark/>
          </w:tcPr>
          <w:p w:rsidR="00FC67AD" w:rsidRPr="00AD727E" w:rsidRDefault="00FC67AD" w:rsidP="00F42309">
            <w:pPr>
              <w:spacing w:after="0" w:line="240" w:lineRule="auto"/>
              <w:jc w:val="center"/>
              <w:rPr>
                <w:rFonts w:ascii="Calibri" w:eastAsia="Times New Roman" w:hAnsi="Calibri" w:cs="Times New Roman"/>
                <w:color w:val="000000"/>
                <w:sz w:val="24"/>
                <w:szCs w:val="24"/>
              </w:rPr>
            </w:pPr>
            <w:r w:rsidRPr="00AD727E">
              <w:rPr>
                <w:rFonts w:ascii="Calibri" w:eastAsia="Times New Roman" w:hAnsi="Calibri" w:cs="Times New Roman"/>
                <w:color w:val="000000"/>
                <w:sz w:val="24"/>
                <w:szCs w:val="24"/>
              </w:rPr>
              <w:t>Weibull</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FC67AD" w:rsidRPr="005D2BBF" w:rsidRDefault="00FC67AD" w:rsidP="00F42309">
            <w:pPr>
              <w:spacing w:after="0" w:line="240" w:lineRule="auto"/>
              <w:jc w:val="center"/>
              <w:rPr>
                <w:sz w:val="24"/>
                <w:szCs w:val="24"/>
              </w:rPr>
            </w:pPr>
            <w:r w:rsidRPr="005D2BBF">
              <w:rPr>
                <w:rFonts w:ascii="Calibri" w:hAnsi="Calibri"/>
                <w:sz w:val="24"/>
                <w:szCs w:val="24"/>
              </w:rPr>
              <w:t>684.2</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FC67AD" w:rsidRPr="005D2BBF" w:rsidRDefault="00FC67AD" w:rsidP="00F42309">
            <w:pPr>
              <w:spacing w:after="0" w:line="240" w:lineRule="auto"/>
              <w:jc w:val="center"/>
              <w:rPr>
                <w:sz w:val="24"/>
                <w:szCs w:val="24"/>
              </w:rPr>
            </w:pPr>
            <w:r w:rsidRPr="005D2BBF">
              <w:rPr>
                <w:rFonts w:ascii="Calibri" w:hAnsi="Calibri"/>
                <w:sz w:val="24"/>
                <w:szCs w:val="24"/>
              </w:rPr>
              <w:t>691.8</w:t>
            </w:r>
          </w:p>
        </w:tc>
        <w:tc>
          <w:tcPr>
            <w:tcW w:w="1260" w:type="dxa"/>
            <w:tcBorders>
              <w:top w:val="nil"/>
              <w:left w:val="single" w:sz="4" w:space="0" w:color="auto"/>
              <w:bottom w:val="single" w:sz="4" w:space="0" w:color="auto"/>
              <w:right w:val="single" w:sz="4" w:space="0" w:color="auto"/>
            </w:tcBorders>
            <w:shd w:val="clear" w:color="000000" w:fill="FFFFFF"/>
          </w:tcPr>
          <w:p w:rsidR="00FC67AD" w:rsidRPr="005C18B5" w:rsidRDefault="00FC67AD" w:rsidP="00F42309">
            <w:pPr>
              <w:spacing w:after="0" w:line="240" w:lineRule="auto"/>
              <w:jc w:val="center"/>
              <w:rPr>
                <w:rFonts w:ascii="Calibri" w:eastAsia="Times New Roman" w:hAnsi="Calibri" w:cs="Times New Roman"/>
                <w:b/>
                <w:bCs/>
                <w:color w:val="4F81BD"/>
                <w:sz w:val="24"/>
                <w:szCs w:val="24"/>
              </w:rPr>
            </w:pPr>
            <w:r w:rsidRPr="005C18B5">
              <w:rPr>
                <w:sz w:val="24"/>
                <w:szCs w:val="24"/>
              </w:rPr>
              <w:t>376.9</w:t>
            </w:r>
          </w:p>
        </w:tc>
        <w:tc>
          <w:tcPr>
            <w:tcW w:w="1170" w:type="dxa"/>
            <w:tcBorders>
              <w:top w:val="nil"/>
              <w:left w:val="single" w:sz="4" w:space="0" w:color="auto"/>
              <w:bottom w:val="single" w:sz="4" w:space="0" w:color="auto"/>
              <w:right w:val="single" w:sz="4" w:space="0" w:color="auto"/>
            </w:tcBorders>
            <w:shd w:val="clear" w:color="000000" w:fill="FFFFFF"/>
          </w:tcPr>
          <w:p w:rsidR="00FC67AD" w:rsidRPr="005C18B5" w:rsidRDefault="00FC67AD" w:rsidP="00F42309">
            <w:pPr>
              <w:spacing w:after="0" w:line="240" w:lineRule="auto"/>
              <w:jc w:val="center"/>
              <w:rPr>
                <w:rFonts w:ascii="Calibri" w:eastAsia="Times New Roman" w:hAnsi="Calibri" w:cs="Times New Roman"/>
                <w:b/>
                <w:bCs/>
                <w:color w:val="4F81BD"/>
                <w:sz w:val="24"/>
                <w:szCs w:val="24"/>
              </w:rPr>
            </w:pPr>
            <w:r w:rsidRPr="005C18B5">
              <w:rPr>
                <w:sz w:val="24"/>
                <w:szCs w:val="24"/>
              </w:rPr>
              <w:t>382.7</w:t>
            </w:r>
          </w:p>
        </w:tc>
      </w:tr>
      <w:tr w:rsidR="00FC67AD" w:rsidRPr="00AD727E" w:rsidTr="00F42309">
        <w:trPr>
          <w:trHeight w:val="315"/>
        </w:trPr>
        <w:tc>
          <w:tcPr>
            <w:tcW w:w="1445" w:type="dxa"/>
            <w:tcBorders>
              <w:top w:val="nil"/>
              <w:left w:val="single" w:sz="4" w:space="0" w:color="auto"/>
              <w:bottom w:val="single" w:sz="4" w:space="0" w:color="auto"/>
              <w:right w:val="single" w:sz="4" w:space="0" w:color="auto"/>
            </w:tcBorders>
            <w:shd w:val="clear" w:color="000000" w:fill="FFFFFF"/>
            <w:noWrap/>
            <w:vAlign w:val="bottom"/>
            <w:hideMark/>
          </w:tcPr>
          <w:p w:rsidR="00FC67AD" w:rsidRPr="00AD727E" w:rsidRDefault="00FC67AD" w:rsidP="00F42309">
            <w:pPr>
              <w:spacing w:after="0" w:line="240" w:lineRule="auto"/>
              <w:jc w:val="center"/>
              <w:rPr>
                <w:rFonts w:ascii="Calibri" w:eastAsia="Times New Roman" w:hAnsi="Calibri" w:cs="Times New Roman"/>
                <w:color w:val="000000"/>
                <w:sz w:val="24"/>
                <w:szCs w:val="24"/>
              </w:rPr>
            </w:pPr>
            <w:r w:rsidRPr="00AD727E">
              <w:rPr>
                <w:rFonts w:ascii="Calibri" w:eastAsia="Times New Roman" w:hAnsi="Calibri" w:cs="Times New Roman"/>
                <w:color w:val="000000"/>
                <w:sz w:val="24"/>
                <w:szCs w:val="24"/>
              </w:rPr>
              <w:t>LogNormal</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FC67AD" w:rsidRPr="005D2BBF" w:rsidRDefault="00FC67AD" w:rsidP="00F42309">
            <w:pPr>
              <w:spacing w:after="0" w:line="240" w:lineRule="auto"/>
              <w:jc w:val="center"/>
              <w:rPr>
                <w:b/>
                <w:sz w:val="24"/>
                <w:szCs w:val="24"/>
              </w:rPr>
            </w:pPr>
            <w:r w:rsidRPr="005D2BBF">
              <w:rPr>
                <w:rFonts w:ascii="Calibri" w:hAnsi="Calibri"/>
                <w:sz w:val="24"/>
                <w:szCs w:val="24"/>
              </w:rPr>
              <w:t>681.2</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FC67AD" w:rsidRPr="005D2BBF" w:rsidRDefault="00FC67AD" w:rsidP="00F42309">
            <w:pPr>
              <w:spacing w:after="0" w:line="240" w:lineRule="auto"/>
              <w:jc w:val="center"/>
              <w:rPr>
                <w:b/>
                <w:sz w:val="24"/>
                <w:szCs w:val="24"/>
              </w:rPr>
            </w:pPr>
            <w:r w:rsidRPr="005D2BBF">
              <w:rPr>
                <w:rFonts w:ascii="Calibri" w:hAnsi="Calibri"/>
                <w:sz w:val="24"/>
                <w:szCs w:val="24"/>
              </w:rPr>
              <w:t>688.8</w:t>
            </w:r>
          </w:p>
        </w:tc>
        <w:tc>
          <w:tcPr>
            <w:tcW w:w="1260" w:type="dxa"/>
            <w:tcBorders>
              <w:top w:val="nil"/>
              <w:left w:val="single" w:sz="4" w:space="0" w:color="auto"/>
              <w:bottom w:val="single" w:sz="4" w:space="0" w:color="auto"/>
              <w:right w:val="single" w:sz="4" w:space="0" w:color="auto"/>
            </w:tcBorders>
            <w:shd w:val="clear" w:color="000000" w:fill="FFFFFF"/>
          </w:tcPr>
          <w:p w:rsidR="00FC67AD" w:rsidRPr="005D2BBF" w:rsidRDefault="00FC67AD" w:rsidP="00F42309">
            <w:pPr>
              <w:spacing w:after="0" w:line="240" w:lineRule="auto"/>
              <w:jc w:val="center"/>
              <w:rPr>
                <w:rFonts w:ascii="Calibri" w:eastAsia="Times New Roman" w:hAnsi="Calibri" w:cs="Times New Roman"/>
                <w:sz w:val="24"/>
                <w:szCs w:val="24"/>
              </w:rPr>
            </w:pPr>
            <w:r w:rsidRPr="005D2BBF">
              <w:rPr>
                <w:sz w:val="24"/>
                <w:szCs w:val="24"/>
              </w:rPr>
              <w:t>374.0</w:t>
            </w:r>
          </w:p>
        </w:tc>
        <w:tc>
          <w:tcPr>
            <w:tcW w:w="1170" w:type="dxa"/>
            <w:tcBorders>
              <w:top w:val="nil"/>
              <w:left w:val="single" w:sz="4" w:space="0" w:color="auto"/>
              <w:bottom w:val="single" w:sz="4" w:space="0" w:color="auto"/>
              <w:right w:val="single" w:sz="4" w:space="0" w:color="auto"/>
            </w:tcBorders>
            <w:shd w:val="clear" w:color="000000" w:fill="FFFFFF"/>
          </w:tcPr>
          <w:p w:rsidR="00FC67AD" w:rsidRPr="005D2BBF" w:rsidRDefault="00FC67AD" w:rsidP="00F42309">
            <w:pPr>
              <w:spacing w:after="0" w:line="240" w:lineRule="auto"/>
              <w:jc w:val="center"/>
              <w:rPr>
                <w:rFonts w:ascii="Calibri" w:eastAsia="Times New Roman" w:hAnsi="Calibri" w:cs="Times New Roman"/>
                <w:sz w:val="24"/>
                <w:szCs w:val="24"/>
              </w:rPr>
            </w:pPr>
            <w:r w:rsidRPr="005D2BBF">
              <w:rPr>
                <w:sz w:val="24"/>
                <w:szCs w:val="24"/>
              </w:rPr>
              <w:t>379.7</w:t>
            </w:r>
          </w:p>
        </w:tc>
      </w:tr>
      <w:tr w:rsidR="00FC67AD" w:rsidRPr="00AD727E" w:rsidTr="00F42309">
        <w:trPr>
          <w:trHeight w:val="315"/>
        </w:trPr>
        <w:tc>
          <w:tcPr>
            <w:tcW w:w="1445" w:type="dxa"/>
            <w:tcBorders>
              <w:top w:val="nil"/>
              <w:left w:val="single" w:sz="4" w:space="0" w:color="auto"/>
              <w:bottom w:val="single" w:sz="4" w:space="0" w:color="auto"/>
              <w:right w:val="single" w:sz="4" w:space="0" w:color="auto"/>
            </w:tcBorders>
            <w:shd w:val="clear" w:color="000000" w:fill="FFFFFF"/>
            <w:noWrap/>
            <w:vAlign w:val="bottom"/>
            <w:hideMark/>
          </w:tcPr>
          <w:p w:rsidR="00FC67AD" w:rsidRPr="00AD727E" w:rsidRDefault="00FC67AD" w:rsidP="00F42309">
            <w:pPr>
              <w:spacing w:after="0" w:line="240" w:lineRule="auto"/>
              <w:jc w:val="center"/>
              <w:rPr>
                <w:rFonts w:ascii="Calibri" w:eastAsia="Times New Roman" w:hAnsi="Calibri" w:cs="Times New Roman"/>
                <w:color w:val="000000"/>
                <w:sz w:val="24"/>
                <w:szCs w:val="24"/>
              </w:rPr>
            </w:pPr>
            <w:r w:rsidRPr="00AD727E">
              <w:rPr>
                <w:rFonts w:ascii="Calibri" w:eastAsia="Times New Roman" w:hAnsi="Calibri" w:cs="Times New Roman"/>
                <w:color w:val="000000"/>
                <w:sz w:val="24"/>
                <w:szCs w:val="24"/>
              </w:rPr>
              <w:t>LogLogistic</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FC67AD" w:rsidRPr="005D2BBF" w:rsidRDefault="00FC67AD" w:rsidP="00F42309">
            <w:pPr>
              <w:spacing w:after="0" w:line="240" w:lineRule="auto"/>
              <w:jc w:val="center"/>
              <w:rPr>
                <w:sz w:val="24"/>
                <w:szCs w:val="24"/>
              </w:rPr>
            </w:pPr>
            <w:r w:rsidRPr="005D2BBF">
              <w:rPr>
                <w:rFonts w:ascii="Calibri" w:hAnsi="Calibri"/>
                <w:sz w:val="24"/>
                <w:szCs w:val="24"/>
              </w:rPr>
              <w:t>683.1</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FC67AD" w:rsidRPr="005D2BBF" w:rsidRDefault="00FC67AD" w:rsidP="00F42309">
            <w:pPr>
              <w:spacing w:after="0" w:line="240" w:lineRule="auto"/>
              <w:jc w:val="center"/>
              <w:rPr>
                <w:sz w:val="24"/>
                <w:szCs w:val="24"/>
              </w:rPr>
            </w:pPr>
            <w:r w:rsidRPr="005D2BBF">
              <w:rPr>
                <w:rFonts w:ascii="Calibri" w:hAnsi="Calibri"/>
                <w:sz w:val="24"/>
                <w:szCs w:val="24"/>
              </w:rPr>
              <w:t>690.7</w:t>
            </w:r>
          </w:p>
        </w:tc>
        <w:tc>
          <w:tcPr>
            <w:tcW w:w="1260" w:type="dxa"/>
            <w:tcBorders>
              <w:top w:val="nil"/>
              <w:left w:val="single" w:sz="4" w:space="0" w:color="auto"/>
              <w:bottom w:val="single" w:sz="4" w:space="0" w:color="auto"/>
              <w:right w:val="single" w:sz="4" w:space="0" w:color="auto"/>
            </w:tcBorders>
            <w:shd w:val="clear" w:color="000000" w:fill="FFFFFF"/>
          </w:tcPr>
          <w:p w:rsidR="00FC67AD" w:rsidRPr="005C18B5" w:rsidRDefault="00FC67AD" w:rsidP="00F42309">
            <w:pPr>
              <w:spacing w:after="0" w:line="240" w:lineRule="auto"/>
              <w:jc w:val="center"/>
              <w:rPr>
                <w:rFonts w:ascii="Calibri" w:eastAsia="Times New Roman" w:hAnsi="Calibri" w:cs="Times New Roman"/>
                <w:sz w:val="24"/>
                <w:szCs w:val="24"/>
              </w:rPr>
            </w:pPr>
            <w:r w:rsidRPr="005C18B5">
              <w:rPr>
                <w:sz w:val="24"/>
                <w:szCs w:val="24"/>
              </w:rPr>
              <w:t>375.8</w:t>
            </w:r>
          </w:p>
        </w:tc>
        <w:tc>
          <w:tcPr>
            <w:tcW w:w="1170" w:type="dxa"/>
            <w:tcBorders>
              <w:top w:val="nil"/>
              <w:left w:val="single" w:sz="4" w:space="0" w:color="auto"/>
              <w:bottom w:val="single" w:sz="4" w:space="0" w:color="auto"/>
              <w:right w:val="single" w:sz="4" w:space="0" w:color="auto"/>
            </w:tcBorders>
            <w:shd w:val="clear" w:color="000000" w:fill="FFFFFF"/>
          </w:tcPr>
          <w:p w:rsidR="00FC67AD" w:rsidRPr="005C18B5" w:rsidRDefault="00FC67AD" w:rsidP="00F42309">
            <w:pPr>
              <w:spacing w:after="0" w:line="240" w:lineRule="auto"/>
              <w:jc w:val="center"/>
              <w:rPr>
                <w:rFonts w:ascii="Calibri" w:eastAsia="Times New Roman" w:hAnsi="Calibri" w:cs="Times New Roman"/>
                <w:sz w:val="24"/>
                <w:szCs w:val="24"/>
              </w:rPr>
            </w:pPr>
            <w:r w:rsidRPr="005C18B5">
              <w:rPr>
                <w:sz w:val="24"/>
                <w:szCs w:val="24"/>
              </w:rPr>
              <w:t>381.5</w:t>
            </w:r>
          </w:p>
        </w:tc>
      </w:tr>
      <w:tr w:rsidR="00FC67AD" w:rsidRPr="00AD727E" w:rsidTr="00F42309">
        <w:trPr>
          <w:trHeight w:val="31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rsidR="00FC67AD" w:rsidRPr="00AD727E" w:rsidRDefault="00FC67AD" w:rsidP="00F42309">
            <w:pPr>
              <w:spacing w:after="0" w:line="240" w:lineRule="auto"/>
              <w:jc w:val="center"/>
              <w:rPr>
                <w:rFonts w:ascii="Calibri" w:eastAsia="Times New Roman" w:hAnsi="Calibri" w:cs="Times New Roman"/>
                <w:color w:val="000000"/>
                <w:sz w:val="24"/>
                <w:szCs w:val="24"/>
              </w:rPr>
            </w:pPr>
            <w:r w:rsidRPr="00AD727E">
              <w:rPr>
                <w:rFonts w:ascii="Calibri" w:eastAsia="Times New Roman" w:hAnsi="Calibri" w:cs="Times New Roman"/>
                <w:color w:val="000000"/>
                <w:sz w:val="24"/>
                <w:szCs w:val="24"/>
              </w:rPr>
              <w:t>Gompertz</w:t>
            </w:r>
          </w:p>
        </w:tc>
        <w:tc>
          <w:tcPr>
            <w:tcW w:w="1080" w:type="dxa"/>
            <w:tcBorders>
              <w:top w:val="single" w:sz="4" w:space="0" w:color="auto"/>
              <w:left w:val="nil"/>
              <w:bottom w:val="single" w:sz="4" w:space="0" w:color="auto"/>
              <w:right w:val="single" w:sz="4" w:space="0" w:color="auto"/>
            </w:tcBorders>
            <w:vAlign w:val="bottom"/>
          </w:tcPr>
          <w:p w:rsidR="00FC67AD" w:rsidRPr="005D2BBF" w:rsidRDefault="00FC67AD" w:rsidP="00F42309">
            <w:pPr>
              <w:spacing w:after="0" w:line="240" w:lineRule="auto"/>
              <w:jc w:val="center"/>
              <w:rPr>
                <w:sz w:val="24"/>
                <w:szCs w:val="24"/>
              </w:rPr>
            </w:pPr>
            <w:r w:rsidRPr="005D2BBF">
              <w:rPr>
                <w:rFonts w:ascii="Calibri" w:hAnsi="Calibri"/>
                <w:sz w:val="24"/>
                <w:szCs w:val="24"/>
              </w:rPr>
              <w:t>682.8</w:t>
            </w:r>
          </w:p>
        </w:tc>
        <w:tc>
          <w:tcPr>
            <w:tcW w:w="1260" w:type="dxa"/>
            <w:tcBorders>
              <w:top w:val="single" w:sz="4" w:space="0" w:color="auto"/>
              <w:left w:val="single" w:sz="4" w:space="0" w:color="auto"/>
              <w:bottom w:val="single" w:sz="4" w:space="0" w:color="auto"/>
              <w:right w:val="single" w:sz="4" w:space="0" w:color="auto"/>
            </w:tcBorders>
            <w:vAlign w:val="bottom"/>
          </w:tcPr>
          <w:p w:rsidR="00FC67AD" w:rsidRPr="005D2BBF" w:rsidRDefault="00FC67AD" w:rsidP="00F42309">
            <w:pPr>
              <w:spacing w:after="0" w:line="240" w:lineRule="auto"/>
              <w:jc w:val="center"/>
              <w:rPr>
                <w:sz w:val="24"/>
                <w:szCs w:val="24"/>
              </w:rPr>
            </w:pPr>
            <w:r w:rsidRPr="005D2BBF">
              <w:rPr>
                <w:rFonts w:ascii="Calibri" w:hAnsi="Calibri"/>
                <w:sz w:val="24"/>
                <w:szCs w:val="24"/>
              </w:rPr>
              <w:t>690.5</w:t>
            </w:r>
          </w:p>
        </w:tc>
        <w:tc>
          <w:tcPr>
            <w:tcW w:w="1260" w:type="dxa"/>
            <w:tcBorders>
              <w:top w:val="nil"/>
              <w:left w:val="single" w:sz="4" w:space="0" w:color="auto"/>
              <w:bottom w:val="single" w:sz="4" w:space="0" w:color="auto"/>
              <w:right w:val="single" w:sz="4" w:space="0" w:color="auto"/>
            </w:tcBorders>
          </w:tcPr>
          <w:p w:rsidR="00FC67AD" w:rsidRPr="005C18B5" w:rsidRDefault="00FC67AD" w:rsidP="00F42309">
            <w:pPr>
              <w:spacing w:after="0" w:line="240" w:lineRule="auto"/>
              <w:jc w:val="center"/>
              <w:rPr>
                <w:rFonts w:ascii="Calibri" w:eastAsia="Times New Roman" w:hAnsi="Calibri" w:cs="Times New Roman"/>
                <w:sz w:val="24"/>
                <w:szCs w:val="24"/>
              </w:rPr>
            </w:pPr>
            <w:r w:rsidRPr="005C18B5">
              <w:rPr>
                <w:sz w:val="24"/>
                <w:szCs w:val="24"/>
              </w:rPr>
              <w:t>374.1</w:t>
            </w:r>
          </w:p>
        </w:tc>
        <w:tc>
          <w:tcPr>
            <w:tcW w:w="1170" w:type="dxa"/>
            <w:tcBorders>
              <w:top w:val="nil"/>
              <w:left w:val="single" w:sz="4" w:space="0" w:color="auto"/>
              <w:bottom w:val="single" w:sz="4" w:space="0" w:color="auto"/>
              <w:right w:val="single" w:sz="4" w:space="0" w:color="auto"/>
            </w:tcBorders>
          </w:tcPr>
          <w:p w:rsidR="00FC67AD" w:rsidRPr="005C18B5" w:rsidRDefault="00FC67AD" w:rsidP="00F42309">
            <w:pPr>
              <w:spacing w:after="0" w:line="240" w:lineRule="auto"/>
              <w:jc w:val="center"/>
              <w:rPr>
                <w:rFonts w:ascii="Calibri" w:eastAsia="Times New Roman" w:hAnsi="Calibri" w:cs="Times New Roman"/>
                <w:sz w:val="24"/>
                <w:szCs w:val="24"/>
              </w:rPr>
            </w:pPr>
            <w:r w:rsidRPr="005C18B5">
              <w:rPr>
                <w:sz w:val="24"/>
                <w:szCs w:val="24"/>
              </w:rPr>
              <w:t>379.8</w:t>
            </w:r>
          </w:p>
        </w:tc>
      </w:tr>
      <w:tr w:rsidR="00FC67AD" w:rsidRPr="00AD727E" w:rsidTr="00F42309">
        <w:trPr>
          <w:trHeight w:val="31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rsidR="00FC67AD" w:rsidRPr="00AD727E" w:rsidRDefault="00FC67AD" w:rsidP="00F42309">
            <w:pPr>
              <w:spacing w:after="0" w:line="240" w:lineRule="auto"/>
              <w:jc w:val="center"/>
              <w:rPr>
                <w:rFonts w:ascii="Calibri" w:eastAsia="Times New Roman" w:hAnsi="Calibri" w:cs="Times New Roman"/>
                <w:color w:val="000000"/>
                <w:sz w:val="24"/>
                <w:szCs w:val="24"/>
              </w:rPr>
            </w:pPr>
            <w:r w:rsidRPr="00AD727E">
              <w:rPr>
                <w:rFonts w:ascii="Calibri" w:eastAsia="Times New Roman" w:hAnsi="Calibri" w:cs="Times New Roman"/>
                <w:color w:val="000000"/>
                <w:sz w:val="24"/>
                <w:szCs w:val="24"/>
              </w:rPr>
              <w:t>GenGamma</w:t>
            </w:r>
          </w:p>
        </w:tc>
        <w:tc>
          <w:tcPr>
            <w:tcW w:w="1080" w:type="dxa"/>
            <w:tcBorders>
              <w:top w:val="single" w:sz="4" w:space="0" w:color="auto"/>
              <w:left w:val="nil"/>
              <w:bottom w:val="single" w:sz="4" w:space="0" w:color="auto"/>
              <w:right w:val="single" w:sz="4" w:space="0" w:color="auto"/>
            </w:tcBorders>
            <w:vAlign w:val="bottom"/>
          </w:tcPr>
          <w:p w:rsidR="00FC67AD" w:rsidRPr="005D2BBF" w:rsidRDefault="00FC67AD" w:rsidP="00F42309">
            <w:pPr>
              <w:spacing w:after="0" w:line="240" w:lineRule="auto"/>
              <w:jc w:val="center"/>
              <w:rPr>
                <w:sz w:val="24"/>
                <w:szCs w:val="24"/>
              </w:rPr>
            </w:pPr>
            <w:r w:rsidRPr="005D2BBF">
              <w:rPr>
                <w:rFonts w:ascii="Calibri" w:hAnsi="Calibri"/>
                <w:sz w:val="24"/>
                <w:szCs w:val="24"/>
              </w:rPr>
              <w:t>683.1</w:t>
            </w:r>
          </w:p>
        </w:tc>
        <w:tc>
          <w:tcPr>
            <w:tcW w:w="1260" w:type="dxa"/>
            <w:tcBorders>
              <w:top w:val="single" w:sz="4" w:space="0" w:color="auto"/>
              <w:left w:val="single" w:sz="4" w:space="0" w:color="auto"/>
              <w:bottom w:val="single" w:sz="4" w:space="0" w:color="auto"/>
              <w:right w:val="single" w:sz="4" w:space="0" w:color="auto"/>
            </w:tcBorders>
            <w:vAlign w:val="bottom"/>
          </w:tcPr>
          <w:p w:rsidR="00FC67AD" w:rsidRPr="005D2BBF" w:rsidRDefault="00FC67AD" w:rsidP="00F42309">
            <w:pPr>
              <w:spacing w:after="0" w:line="240" w:lineRule="auto"/>
              <w:jc w:val="center"/>
              <w:rPr>
                <w:sz w:val="24"/>
                <w:szCs w:val="24"/>
              </w:rPr>
            </w:pPr>
            <w:r w:rsidRPr="005D2BBF">
              <w:rPr>
                <w:rFonts w:ascii="Calibri" w:hAnsi="Calibri"/>
                <w:sz w:val="24"/>
                <w:szCs w:val="24"/>
              </w:rPr>
              <w:t>694.5</w:t>
            </w:r>
          </w:p>
        </w:tc>
        <w:tc>
          <w:tcPr>
            <w:tcW w:w="1260" w:type="dxa"/>
            <w:tcBorders>
              <w:top w:val="nil"/>
              <w:left w:val="single" w:sz="4" w:space="0" w:color="auto"/>
              <w:bottom w:val="single" w:sz="4" w:space="0" w:color="auto"/>
              <w:right w:val="single" w:sz="4" w:space="0" w:color="auto"/>
            </w:tcBorders>
          </w:tcPr>
          <w:p w:rsidR="00FC67AD" w:rsidRPr="005C18B5" w:rsidRDefault="00FC67AD" w:rsidP="00F42309">
            <w:pPr>
              <w:spacing w:after="0" w:line="240" w:lineRule="auto"/>
              <w:jc w:val="center"/>
              <w:rPr>
                <w:rFonts w:ascii="Calibri" w:eastAsia="Times New Roman" w:hAnsi="Calibri" w:cs="Times New Roman"/>
                <w:sz w:val="24"/>
                <w:szCs w:val="24"/>
              </w:rPr>
            </w:pPr>
            <w:r w:rsidRPr="005C18B5">
              <w:rPr>
                <w:sz w:val="24"/>
                <w:szCs w:val="24"/>
              </w:rPr>
              <w:t>375.3</w:t>
            </w:r>
          </w:p>
        </w:tc>
        <w:tc>
          <w:tcPr>
            <w:tcW w:w="1170" w:type="dxa"/>
            <w:tcBorders>
              <w:top w:val="nil"/>
              <w:left w:val="single" w:sz="4" w:space="0" w:color="auto"/>
              <w:bottom w:val="single" w:sz="4" w:space="0" w:color="auto"/>
              <w:right w:val="single" w:sz="4" w:space="0" w:color="auto"/>
            </w:tcBorders>
          </w:tcPr>
          <w:p w:rsidR="00FC67AD" w:rsidRPr="005C18B5" w:rsidRDefault="00FC67AD" w:rsidP="00F42309">
            <w:pPr>
              <w:spacing w:after="0" w:line="240" w:lineRule="auto"/>
              <w:jc w:val="center"/>
              <w:rPr>
                <w:rFonts w:ascii="Calibri" w:eastAsia="Times New Roman" w:hAnsi="Calibri" w:cs="Times New Roman"/>
                <w:sz w:val="24"/>
                <w:szCs w:val="24"/>
              </w:rPr>
            </w:pPr>
            <w:r w:rsidRPr="005C18B5">
              <w:rPr>
                <w:sz w:val="24"/>
                <w:szCs w:val="24"/>
              </w:rPr>
              <w:t>384</w:t>
            </w:r>
          </w:p>
        </w:tc>
      </w:tr>
    </w:tbl>
    <w:p w:rsidR="00FC67AD" w:rsidRDefault="00FC67AD" w:rsidP="00FC67AD"/>
    <w:p w:rsidR="008A784F" w:rsidRPr="008A784F" w:rsidRDefault="008A784F" w:rsidP="008A784F">
      <w:pPr>
        <w:pStyle w:val="Caption"/>
        <w:spacing w:line="276" w:lineRule="auto"/>
        <w:rPr>
          <w:rFonts w:cs="Times New Roman"/>
          <w:b w:val="0"/>
          <w:color w:val="auto"/>
          <w:sz w:val="22"/>
          <w:szCs w:val="22"/>
        </w:rPr>
      </w:pPr>
      <w:r w:rsidRPr="008A784F">
        <w:rPr>
          <w:rFonts w:cs="Times New Roman"/>
          <w:b w:val="0"/>
          <w:color w:val="auto"/>
          <w:sz w:val="22"/>
          <w:szCs w:val="22"/>
        </w:rPr>
        <w:lastRenderedPageBreak/>
        <w:t xml:space="preserve">Table S4 - Pre-medication Costs </w:t>
      </w:r>
    </w:p>
    <w:tbl>
      <w:tblPr>
        <w:tblW w:w="9473" w:type="dxa"/>
        <w:tblInd w:w="103" w:type="dxa"/>
        <w:tblLook w:val="04A0" w:firstRow="1" w:lastRow="0" w:firstColumn="1" w:lastColumn="0" w:noHBand="0" w:noVBand="1"/>
      </w:tblPr>
      <w:tblGrid>
        <w:gridCol w:w="3908"/>
        <w:gridCol w:w="1227"/>
        <w:gridCol w:w="1170"/>
        <w:gridCol w:w="1123"/>
        <w:gridCol w:w="2045"/>
      </w:tblGrid>
      <w:tr w:rsidR="008A784F" w:rsidRPr="002F108D" w:rsidTr="00F42309">
        <w:trPr>
          <w:trHeight w:val="900"/>
        </w:trPr>
        <w:tc>
          <w:tcPr>
            <w:tcW w:w="3908" w:type="dxa"/>
            <w:tcBorders>
              <w:top w:val="single" w:sz="4" w:space="0" w:color="auto"/>
              <w:left w:val="single" w:sz="4" w:space="0" w:color="auto"/>
              <w:bottom w:val="single" w:sz="4" w:space="0" w:color="auto"/>
              <w:right w:val="single" w:sz="4" w:space="0" w:color="auto"/>
            </w:tcBorders>
            <w:shd w:val="clear" w:color="000000" w:fill="DCE6F1"/>
            <w:noWrap/>
          </w:tcPr>
          <w:p w:rsidR="008A784F" w:rsidRPr="002F108D" w:rsidRDefault="008A784F" w:rsidP="00F42309">
            <w:pPr>
              <w:spacing w:after="0" w:line="240" w:lineRule="auto"/>
              <w:rPr>
                <w:rFonts w:ascii="Calibri" w:eastAsia="Times New Roman" w:hAnsi="Calibri" w:cs="Calibri"/>
                <w:b/>
                <w:bCs/>
                <w:color w:val="000000"/>
              </w:rPr>
            </w:pPr>
            <w:r>
              <w:rPr>
                <w:rFonts w:ascii="Calibri" w:eastAsia="Times New Roman" w:hAnsi="Calibri" w:cs="Calibri"/>
                <w:b/>
                <w:bCs/>
                <w:color w:val="000000"/>
              </w:rPr>
              <w:t>Pre-medications</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8A784F" w:rsidRPr="002F108D" w:rsidRDefault="008A784F" w:rsidP="00F42309">
            <w:pPr>
              <w:spacing w:after="0" w:line="240" w:lineRule="auto"/>
              <w:jc w:val="center"/>
              <w:rPr>
                <w:rFonts w:ascii="Calibri" w:eastAsia="Times New Roman" w:hAnsi="Calibri" w:cs="Calibri"/>
                <w:b/>
                <w:bCs/>
                <w:color w:val="000000"/>
              </w:rPr>
            </w:pPr>
            <w:r w:rsidRPr="002F108D">
              <w:rPr>
                <w:rFonts w:ascii="Calibri" w:eastAsia="Times New Roman" w:hAnsi="Calibri" w:cs="Calibri"/>
                <w:b/>
                <w:bCs/>
                <w:color w:val="000000"/>
              </w:rPr>
              <w:t>Form</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8A784F" w:rsidRPr="002F108D" w:rsidRDefault="008A784F" w:rsidP="00F42309">
            <w:pPr>
              <w:spacing w:after="0" w:line="240" w:lineRule="auto"/>
              <w:jc w:val="center"/>
              <w:rPr>
                <w:rFonts w:ascii="Calibri" w:eastAsia="Times New Roman" w:hAnsi="Calibri" w:cs="Calibri"/>
                <w:b/>
                <w:bCs/>
                <w:color w:val="000000"/>
              </w:rPr>
            </w:pPr>
            <w:r w:rsidRPr="002F108D">
              <w:rPr>
                <w:rFonts w:ascii="Calibri" w:eastAsia="Times New Roman" w:hAnsi="Calibri" w:cs="Calibri"/>
                <w:b/>
                <w:bCs/>
                <w:color w:val="000000"/>
              </w:rPr>
              <w:t>Strength</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8A784F" w:rsidRPr="002F108D" w:rsidRDefault="008A784F" w:rsidP="00F4230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of dose</w:t>
            </w:r>
            <w:r w:rsidRPr="002F108D">
              <w:rPr>
                <w:rFonts w:ascii="Calibri" w:eastAsia="Times New Roman" w:hAnsi="Calibri" w:cs="Calibri"/>
                <w:b/>
                <w:bCs/>
                <w:color w:val="000000"/>
              </w:rPr>
              <w:t>s</w:t>
            </w:r>
          </w:p>
        </w:tc>
        <w:tc>
          <w:tcPr>
            <w:tcW w:w="2045" w:type="dxa"/>
            <w:tcBorders>
              <w:top w:val="single" w:sz="4" w:space="0" w:color="auto"/>
              <w:left w:val="nil"/>
              <w:bottom w:val="single" w:sz="4" w:space="0" w:color="auto"/>
              <w:right w:val="single" w:sz="4" w:space="0" w:color="auto"/>
            </w:tcBorders>
            <w:shd w:val="clear" w:color="auto" w:fill="auto"/>
            <w:noWrap/>
            <w:vAlign w:val="center"/>
          </w:tcPr>
          <w:p w:rsidR="008A784F" w:rsidRPr="002F108D" w:rsidRDefault="008A784F" w:rsidP="00F42309">
            <w:pPr>
              <w:spacing w:after="0" w:line="240" w:lineRule="auto"/>
              <w:jc w:val="center"/>
              <w:rPr>
                <w:rFonts w:ascii="Calibri" w:eastAsia="Times New Roman" w:hAnsi="Calibri" w:cs="Calibri"/>
                <w:b/>
                <w:bCs/>
                <w:color w:val="000000"/>
              </w:rPr>
            </w:pPr>
            <w:r>
              <w:rPr>
                <w:rFonts w:ascii="Calibri" w:hAnsi="Calibri" w:cs="Calibri"/>
                <w:b/>
                <w:bCs/>
                <w:color w:val="000000"/>
              </w:rPr>
              <w:t>Average cost per cycle</w:t>
            </w:r>
            <w:r w:rsidRPr="002F108D">
              <w:rPr>
                <w:rFonts w:ascii="Calibri" w:eastAsia="Times New Roman" w:hAnsi="Calibri" w:cs="Calibri"/>
                <w:b/>
                <w:bCs/>
                <w:color w:val="000000"/>
              </w:rPr>
              <w:t xml:space="preserve"> </w:t>
            </w:r>
          </w:p>
        </w:tc>
      </w:tr>
      <w:tr w:rsidR="008A784F" w:rsidRPr="002F108D" w:rsidTr="00F42309">
        <w:trPr>
          <w:trHeight w:val="368"/>
        </w:trPr>
        <w:tc>
          <w:tcPr>
            <w:tcW w:w="3908" w:type="dxa"/>
            <w:tcBorders>
              <w:top w:val="single" w:sz="4" w:space="0" w:color="auto"/>
              <w:left w:val="single" w:sz="4" w:space="0" w:color="auto"/>
              <w:bottom w:val="single" w:sz="4" w:space="0" w:color="auto"/>
              <w:right w:val="single" w:sz="4" w:space="0" w:color="auto"/>
            </w:tcBorders>
            <w:shd w:val="clear" w:color="000000" w:fill="DCE6F1"/>
            <w:noWrap/>
            <w:hideMark/>
          </w:tcPr>
          <w:p w:rsidR="008A784F" w:rsidRPr="002F108D" w:rsidRDefault="008A784F" w:rsidP="00F42309">
            <w:pPr>
              <w:spacing w:after="0" w:line="240" w:lineRule="auto"/>
              <w:rPr>
                <w:rFonts w:ascii="Calibri" w:eastAsia="Times New Roman" w:hAnsi="Calibri" w:cs="Calibri"/>
                <w:b/>
                <w:bCs/>
                <w:color w:val="000000"/>
              </w:rPr>
            </w:pPr>
            <w:r>
              <w:rPr>
                <w:rFonts w:ascii="Calibri" w:eastAsia="Times New Roman" w:hAnsi="Calibri" w:cs="Calibri"/>
                <w:b/>
                <w:bCs/>
                <w:color w:val="000000"/>
              </w:rPr>
              <w:t>In</w:t>
            </w:r>
            <w:r w:rsidRPr="002F108D">
              <w:rPr>
                <w:rFonts w:ascii="Calibri" w:eastAsia="Times New Roman" w:hAnsi="Calibri" w:cs="Calibri"/>
                <w:b/>
                <w:bCs/>
                <w:color w:val="000000"/>
              </w:rPr>
              <w:t xml:space="preserve"> cycles containing </w:t>
            </w:r>
            <w:r>
              <w:rPr>
                <w:rFonts w:ascii="Calibri" w:eastAsia="Times New Roman" w:hAnsi="Calibri" w:cs="Calibri"/>
                <w:b/>
                <w:bCs/>
                <w:color w:val="000000"/>
              </w:rPr>
              <w:t>carboplatin</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8A784F" w:rsidRPr="002F108D" w:rsidRDefault="008A784F" w:rsidP="00F42309">
            <w:pPr>
              <w:spacing w:after="0" w:line="240" w:lineRule="auto"/>
              <w:jc w:val="center"/>
              <w:rPr>
                <w:rFonts w:ascii="Calibri" w:eastAsia="Times New Roman" w:hAnsi="Calibri" w:cs="Calibri"/>
                <w:b/>
                <w:bCs/>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8A784F" w:rsidRPr="002F108D" w:rsidRDefault="008A784F" w:rsidP="00F42309">
            <w:pPr>
              <w:spacing w:after="0" w:line="240" w:lineRule="auto"/>
              <w:jc w:val="center"/>
              <w:rPr>
                <w:rFonts w:ascii="Calibri" w:eastAsia="Times New Roman" w:hAnsi="Calibri" w:cs="Calibri"/>
                <w:b/>
                <w:bCs/>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8A784F" w:rsidRPr="002F108D" w:rsidRDefault="008A784F" w:rsidP="00F42309">
            <w:pPr>
              <w:spacing w:after="0" w:line="240" w:lineRule="auto"/>
              <w:jc w:val="center"/>
              <w:rPr>
                <w:rFonts w:ascii="Calibri" w:eastAsia="Times New Roman" w:hAnsi="Calibri" w:cs="Calibri"/>
                <w:b/>
                <w:bCs/>
                <w:color w:val="000000"/>
              </w:rPr>
            </w:pPr>
          </w:p>
        </w:tc>
        <w:tc>
          <w:tcPr>
            <w:tcW w:w="2045" w:type="dxa"/>
            <w:tcBorders>
              <w:top w:val="single" w:sz="4" w:space="0" w:color="auto"/>
              <w:left w:val="nil"/>
              <w:bottom w:val="single" w:sz="4" w:space="0" w:color="auto"/>
              <w:right w:val="single" w:sz="4" w:space="0" w:color="auto"/>
            </w:tcBorders>
            <w:shd w:val="clear" w:color="auto" w:fill="auto"/>
            <w:noWrap/>
            <w:vAlign w:val="center"/>
          </w:tcPr>
          <w:p w:rsidR="008A784F" w:rsidRPr="002F108D" w:rsidRDefault="008A784F" w:rsidP="00F42309">
            <w:pPr>
              <w:spacing w:after="0" w:line="240" w:lineRule="auto"/>
              <w:jc w:val="center"/>
              <w:rPr>
                <w:rFonts w:ascii="Calibri" w:eastAsia="Times New Roman" w:hAnsi="Calibri" w:cs="Calibri"/>
                <w:b/>
                <w:bCs/>
                <w:color w:val="000000"/>
              </w:rPr>
            </w:pPr>
          </w:p>
        </w:tc>
      </w:tr>
      <w:tr w:rsidR="008A784F" w:rsidRPr="002F108D" w:rsidTr="00F42309">
        <w:trPr>
          <w:trHeight w:val="300"/>
        </w:trPr>
        <w:tc>
          <w:tcPr>
            <w:tcW w:w="3908" w:type="dxa"/>
            <w:tcBorders>
              <w:top w:val="nil"/>
              <w:left w:val="single" w:sz="4" w:space="0" w:color="auto"/>
              <w:bottom w:val="single" w:sz="4" w:space="0" w:color="auto"/>
              <w:right w:val="single" w:sz="4" w:space="0" w:color="auto"/>
            </w:tcBorders>
            <w:shd w:val="clear" w:color="auto" w:fill="auto"/>
            <w:noWrap/>
            <w:hideMark/>
          </w:tcPr>
          <w:p w:rsidR="008A784F" w:rsidRPr="002F108D" w:rsidRDefault="008A784F" w:rsidP="00F42309">
            <w:pPr>
              <w:spacing w:after="0" w:line="240" w:lineRule="auto"/>
              <w:rPr>
                <w:rFonts w:ascii="Calibri" w:eastAsia="Times New Roman" w:hAnsi="Calibri" w:cs="Calibri"/>
                <w:color w:val="000000"/>
              </w:rPr>
            </w:pPr>
            <w:r w:rsidRPr="002F108D">
              <w:rPr>
                <w:rFonts w:ascii="Calibri" w:eastAsia="Times New Roman" w:hAnsi="Calibri" w:cs="Calibri"/>
                <w:color w:val="000000"/>
              </w:rPr>
              <w:t>Fosaprepitant</w:t>
            </w:r>
            <w:r>
              <w:rPr>
                <w:rFonts w:ascii="Calibri" w:eastAsia="Times New Roman" w:hAnsi="Calibri" w:cs="Calibri"/>
                <w:color w:val="000000"/>
              </w:rPr>
              <w:t xml:space="preserve"> (anti-emetic)</w:t>
            </w:r>
          </w:p>
        </w:tc>
        <w:tc>
          <w:tcPr>
            <w:tcW w:w="1227" w:type="dxa"/>
            <w:tcBorders>
              <w:top w:val="nil"/>
              <w:left w:val="nil"/>
              <w:bottom w:val="single" w:sz="4" w:space="0" w:color="auto"/>
              <w:right w:val="single" w:sz="4" w:space="0" w:color="auto"/>
            </w:tcBorders>
            <w:shd w:val="clear" w:color="auto" w:fill="auto"/>
            <w:noWrap/>
            <w:vAlign w:val="center"/>
            <w:hideMark/>
          </w:tcPr>
          <w:p w:rsidR="008A784F" w:rsidRPr="002F108D" w:rsidRDefault="008A784F" w:rsidP="00F42309">
            <w:pPr>
              <w:spacing w:after="0" w:line="240" w:lineRule="auto"/>
              <w:jc w:val="center"/>
              <w:rPr>
                <w:rFonts w:ascii="Calibri" w:eastAsia="Times New Roman" w:hAnsi="Calibri" w:cs="Calibri"/>
                <w:color w:val="000000"/>
              </w:rPr>
            </w:pPr>
            <w:r w:rsidRPr="002F108D">
              <w:rPr>
                <w:rFonts w:ascii="Calibri" w:eastAsia="Times New Roman" w:hAnsi="Calibri" w:cs="Calibri"/>
                <w:color w:val="000000"/>
              </w:rPr>
              <w:t>IV</w:t>
            </w:r>
          </w:p>
        </w:tc>
        <w:tc>
          <w:tcPr>
            <w:tcW w:w="1170" w:type="dxa"/>
            <w:tcBorders>
              <w:top w:val="nil"/>
              <w:left w:val="nil"/>
              <w:bottom w:val="single" w:sz="4" w:space="0" w:color="auto"/>
              <w:right w:val="single" w:sz="4" w:space="0" w:color="auto"/>
            </w:tcBorders>
            <w:shd w:val="clear" w:color="auto" w:fill="auto"/>
            <w:noWrap/>
            <w:vAlign w:val="center"/>
            <w:hideMark/>
          </w:tcPr>
          <w:p w:rsidR="008A784F" w:rsidRPr="002F108D" w:rsidRDefault="008A784F" w:rsidP="00F42309">
            <w:pPr>
              <w:spacing w:after="0" w:line="240" w:lineRule="auto"/>
              <w:jc w:val="center"/>
              <w:rPr>
                <w:rFonts w:ascii="Calibri" w:eastAsia="Times New Roman" w:hAnsi="Calibri" w:cs="Calibri"/>
                <w:color w:val="000000"/>
              </w:rPr>
            </w:pPr>
            <w:r w:rsidRPr="002F108D">
              <w:rPr>
                <w:rFonts w:ascii="Calibri" w:eastAsia="Times New Roman" w:hAnsi="Calibri" w:cs="Calibri"/>
                <w:color w:val="000000"/>
              </w:rPr>
              <w:t>150 mg</w:t>
            </w:r>
          </w:p>
        </w:tc>
        <w:tc>
          <w:tcPr>
            <w:tcW w:w="1123" w:type="dxa"/>
            <w:tcBorders>
              <w:top w:val="nil"/>
              <w:left w:val="nil"/>
              <w:bottom w:val="single" w:sz="4" w:space="0" w:color="auto"/>
              <w:right w:val="single" w:sz="4" w:space="0" w:color="auto"/>
            </w:tcBorders>
            <w:shd w:val="clear" w:color="auto" w:fill="auto"/>
            <w:noWrap/>
            <w:vAlign w:val="center"/>
            <w:hideMark/>
          </w:tcPr>
          <w:p w:rsidR="008A784F" w:rsidRPr="002F108D" w:rsidRDefault="008A784F" w:rsidP="00F42309">
            <w:pPr>
              <w:spacing w:after="0" w:line="240" w:lineRule="auto"/>
              <w:jc w:val="center"/>
              <w:rPr>
                <w:rFonts w:ascii="Calibri" w:eastAsia="Times New Roman" w:hAnsi="Calibri" w:cs="Calibri"/>
                <w:color w:val="000000"/>
              </w:rPr>
            </w:pPr>
            <w:r w:rsidRPr="002F108D">
              <w:rPr>
                <w:rFonts w:ascii="Calibri" w:eastAsia="Times New Roman" w:hAnsi="Calibri" w:cs="Calibri"/>
                <w:color w:val="000000"/>
              </w:rPr>
              <w:t>1</w:t>
            </w:r>
          </w:p>
        </w:tc>
        <w:tc>
          <w:tcPr>
            <w:tcW w:w="2045" w:type="dxa"/>
            <w:tcBorders>
              <w:top w:val="nil"/>
              <w:left w:val="nil"/>
              <w:bottom w:val="single" w:sz="4" w:space="0" w:color="auto"/>
              <w:right w:val="single" w:sz="4" w:space="0" w:color="auto"/>
            </w:tcBorders>
            <w:shd w:val="clear" w:color="auto" w:fill="auto"/>
            <w:noWrap/>
            <w:vAlign w:val="center"/>
            <w:hideMark/>
          </w:tcPr>
          <w:p w:rsidR="008A784F" w:rsidRPr="002F108D" w:rsidRDefault="008A784F" w:rsidP="00F42309">
            <w:pPr>
              <w:spacing w:after="0" w:line="240" w:lineRule="auto"/>
              <w:jc w:val="center"/>
              <w:rPr>
                <w:rFonts w:ascii="Calibri" w:eastAsia="Times New Roman" w:hAnsi="Calibri" w:cs="Calibri"/>
                <w:color w:val="000000"/>
              </w:rPr>
            </w:pPr>
            <w:r>
              <w:rPr>
                <w:rFonts w:ascii="Calibri" w:eastAsia="Times New Roman" w:hAnsi="Calibri" w:cs="Calibri"/>
                <w:color w:val="000000"/>
              </w:rPr>
              <w:t>$302.22</w:t>
            </w:r>
          </w:p>
        </w:tc>
      </w:tr>
      <w:tr w:rsidR="008A784F" w:rsidRPr="002F108D" w:rsidTr="00F42309">
        <w:trPr>
          <w:trHeight w:val="300"/>
        </w:trPr>
        <w:tc>
          <w:tcPr>
            <w:tcW w:w="3908" w:type="dxa"/>
            <w:tcBorders>
              <w:top w:val="nil"/>
              <w:left w:val="single" w:sz="4" w:space="0" w:color="auto"/>
              <w:bottom w:val="single" w:sz="4" w:space="0" w:color="auto"/>
              <w:right w:val="single" w:sz="4" w:space="0" w:color="auto"/>
            </w:tcBorders>
            <w:shd w:val="clear" w:color="auto" w:fill="auto"/>
            <w:noWrap/>
          </w:tcPr>
          <w:p w:rsidR="008A784F" w:rsidRPr="002F108D" w:rsidRDefault="008A784F" w:rsidP="00F42309">
            <w:pPr>
              <w:spacing w:after="0" w:line="240" w:lineRule="auto"/>
              <w:rPr>
                <w:rFonts w:ascii="Calibri" w:eastAsia="Times New Roman" w:hAnsi="Calibri" w:cs="Calibri"/>
                <w:color w:val="000000"/>
              </w:rPr>
            </w:pPr>
            <w:r>
              <w:rPr>
                <w:rFonts w:ascii="Calibri" w:eastAsia="Times New Roman" w:hAnsi="Calibri" w:cs="Calibri"/>
                <w:color w:val="000000"/>
              </w:rPr>
              <w:t>Ondansetron (anti-emetic)</w:t>
            </w:r>
          </w:p>
        </w:tc>
        <w:tc>
          <w:tcPr>
            <w:tcW w:w="1227" w:type="dxa"/>
            <w:tcBorders>
              <w:top w:val="nil"/>
              <w:left w:val="nil"/>
              <w:bottom w:val="single" w:sz="4" w:space="0" w:color="auto"/>
              <w:right w:val="single" w:sz="4" w:space="0" w:color="auto"/>
            </w:tcBorders>
            <w:shd w:val="clear" w:color="auto" w:fill="auto"/>
            <w:noWrap/>
            <w:vAlign w:val="center"/>
          </w:tcPr>
          <w:p w:rsidR="008A784F" w:rsidRPr="002F108D" w:rsidRDefault="008A784F" w:rsidP="00F42309">
            <w:pPr>
              <w:spacing w:after="0" w:line="240" w:lineRule="auto"/>
              <w:jc w:val="center"/>
              <w:rPr>
                <w:rFonts w:ascii="Calibri" w:eastAsia="Times New Roman" w:hAnsi="Calibri" w:cs="Calibri"/>
                <w:color w:val="000000"/>
              </w:rPr>
            </w:pPr>
            <w:r>
              <w:rPr>
                <w:rFonts w:ascii="Calibri" w:eastAsia="Times New Roman" w:hAnsi="Calibri" w:cs="Calibri"/>
                <w:color w:val="000000"/>
              </w:rPr>
              <w:t>IV</w:t>
            </w:r>
          </w:p>
        </w:tc>
        <w:tc>
          <w:tcPr>
            <w:tcW w:w="1170" w:type="dxa"/>
            <w:tcBorders>
              <w:top w:val="nil"/>
              <w:left w:val="nil"/>
              <w:bottom w:val="single" w:sz="4" w:space="0" w:color="auto"/>
              <w:right w:val="single" w:sz="4" w:space="0" w:color="auto"/>
            </w:tcBorders>
            <w:shd w:val="clear" w:color="auto" w:fill="auto"/>
            <w:noWrap/>
            <w:vAlign w:val="center"/>
          </w:tcPr>
          <w:p w:rsidR="008A784F" w:rsidRPr="002F108D" w:rsidRDefault="008A784F" w:rsidP="00F42309">
            <w:pPr>
              <w:spacing w:after="0" w:line="240" w:lineRule="auto"/>
              <w:jc w:val="center"/>
              <w:rPr>
                <w:rFonts w:ascii="Calibri" w:eastAsia="Times New Roman" w:hAnsi="Calibri" w:cs="Calibri"/>
                <w:color w:val="000000"/>
              </w:rPr>
            </w:pPr>
            <w:r>
              <w:rPr>
                <w:rFonts w:ascii="Calibri" w:eastAsia="Times New Roman" w:hAnsi="Calibri" w:cs="Calibri"/>
                <w:color w:val="000000"/>
              </w:rPr>
              <w:t>24 mg</w:t>
            </w:r>
          </w:p>
        </w:tc>
        <w:tc>
          <w:tcPr>
            <w:tcW w:w="1123" w:type="dxa"/>
            <w:tcBorders>
              <w:top w:val="nil"/>
              <w:left w:val="nil"/>
              <w:bottom w:val="single" w:sz="4" w:space="0" w:color="auto"/>
              <w:right w:val="single" w:sz="4" w:space="0" w:color="auto"/>
            </w:tcBorders>
            <w:shd w:val="clear" w:color="auto" w:fill="auto"/>
            <w:noWrap/>
            <w:vAlign w:val="center"/>
          </w:tcPr>
          <w:p w:rsidR="008A784F" w:rsidRPr="002F108D" w:rsidRDefault="008A784F" w:rsidP="00F42309">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2045" w:type="dxa"/>
            <w:tcBorders>
              <w:top w:val="nil"/>
              <w:left w:val="nil"/>
              <w:bottom w:val="single" w:sz="4" w:space="0" w:color="auto"/>
              <w:right w:val="single" w:sz="4" w:space="0" w:color="auto"/>
            </w:tcBorders>
            <w:shd w:val="clear" w:color="auto" w:fill="auto"/>
            <w:noWrap/>
            <w:vAlign w:val="center"/>
          </w:tcPr>
          <w:p w:rsidR="008A784F" w:rsidRDefault="008A784F" w:rsidP="00F42309">
            <w:pPr>
              <w:spacing w:after="0" w:line="240" w:lineRule="auto"/>
              <w:jc w:val="center"/>
              <w:rPr>
                <w:rFonts w:ascii="Calibri" w:eastAsia="Times New Roman" w:hAnsi="Calibri" w:cs="Calibri"/>
                <w:color w:val="000000"/>
              </w:rPr>
            </w:pPr>
            <w:r>
              <w:rPr>
                <w:rFonts w:ascii="Calibri" w:eastAsia="Times New Roman" w:hAnsi="Calibri" w:cs="Calibri"/>
                <w:color w:val="000000"/>
              </w:rPr>
              <w:t>$8.80</w:t>
            </w:r>
          </w:p>
        </w:tc>
      </w:tr>
      <w:tr w:rsidR="008A784F" w:rsidRPr="002F108D" w:rsidTr="00F42309">
        <w:trPr>
          <w:trHeight w:val="300"/>
        </w:trPr>
        <w:tc>
          <w:tcPr>
            <w:tcW w:w="3908" w:type="dxa"/>
            <w:tcBorders>
              <w:top w:val="nil"/>
              <w:left w:val="single" w:sz="4" w:space="0" w:color="auto"/>
              <w:bottom w:val="single" w:sz="4" w:space="0" w:color="auto"/>
              <w:right w:val="single" w:sz="4" w:space="0" w:color="auto"/>
            </w:tcBorders>
            <w:shd w:val="clear" w:color="auto" w:fill="auto"/>
            <w:noWrap/>
          </w:tcPr>
          <w:p w:rsidR="008A784F" w:rsidRDefault="008A784F" w:rsidP="00F42309">
            <w:pPr>
              <w:spacing w:after="0" w:line="240" w:lineRule="auto"/>
              <w:rPr>
                <w:rFonts w:ascii="Calibri" w:eastAsia="Times New Roman" w:hAnsi="Calibri" w:cs="Calibri"/>
                <w:color w:val="000000"/>
              </w:rPr>
            </w:pPr>
            <w:r w:rsidRPr="002F108D">
              <w:rPr>
                <w:rFonts w:ascii="Calibri" w:eastAsia="Times New Roman" w:hAnsi="Calibri" w:cs="Calibri"/>
                <w:color w:val="000000"/>
              </w:rPr>
              <w:t>Dexamethasone</w:t>
            </w:r>
            <w:r>
              <w:rPr>
                <w:rFonts w:ascii="Calibri" w:eastAsia="Times New Roman" w:hAnsi="Calibri" w:cs="Calibri"/>
                <w:color w:val="000000"/>
              </w:rPr>
              <w:t xml:space="preserve"> (steroid)</w:t>
            </w:r>
          </w:p>
        </w:tc>
        <w:tc>
          <w:tcPr>
            <w:tcW w:w="1227" w:type="dxa"/>
            <w:tcBorders>
              <w:top w:val="nil"/>
              <w:left w:val="nil"/>
              <w:bottom w:val="single" w:sz="4" w:space="0" w:color="auto"/>
              <w:right w:val="single" w:sz="4" w:space="0" w:color="auto"/>
            </w:tcBorders>
            <w:shd w:val="clear" w:color="auto" w:fill="auto"/>
            <w:noWrap/>
            <w:vAlign w:val="center"/>
          </w:tcPr>
          <w:p w:rsidR="008A784F" w:rsidRDefault="008A784F" w:rsidP="00F42309">
            <w:pPr>
              <w:spacing w:after="0" w:line="240" w:lineRule="auto"/>
              <w:jc w:val="center"/>
              <w:rPr>
                <w:rFonts w:ascii="Calibri" w:eastAsia="Times New Roman" w:hAnsi="Calibri" w:cs="Calibri"/>
                <w:color w:val="000000"/>
              </w:rPr>
            </w:pPr>
            <w:r w:rsidRPr="002F108D">
              <w:rPr>
                <w:rFonts w:ascii="Calibri" w:eastAsia="Times New Roman" w:hAnsi="Calibri" w:cs="Calibri"/>
                <w:color w:val="000000"/>
              </w:rPr>
              <w:t>Oral</w:t>
            </w:r>
          </w:p>
        </w:tc>
        <w:tc>
          <w:tcPr>
            <w:tcW w:w="1170" w:type="dxa"/>
            <w:tcBorders>
              <w:top w:val="nil"/>
              <w:left w:val="nil"/>
              <w:bottom w:val="single" w:sz="4" w:space="0" w:color="auto"/>
              <w:right w:val="single" w:sz="4" w:space="0" w:color="auto"/>
            </w:tcBorders>
            <w:shd w:val="clear" w:color="auto" w:fill="auto"/>
            <w:noWrap/>
            <w:vAlign w:val="center"/>
          </w:tcPr>
          <w:p w:rsidR="008A784F" w:rsidRDefault="008A784F" w:rsidP="00F42309">
            <w:pPr>
              <w:spacing w:after="0" w:line="240" w:lineRule="auto"/>
              <w:jc w:val="center"/>
              <w:rPr>
                <w:rFonts w:ascii="Calibri" w:eastAsia="Times New Roman" w:hAnsi="Calibri" w:cs="Calibri"/>
                <w:color w:val="000000"/>
              </w:rPr>
            </w:pPr>
            <w:r w:rsidRPr="002F108D">
              <w:rPr>
                <w:rFonts w:ascii="Calibri" w:eastAsia="Times New Roman" w:hAnsi="Calibri" w:cs="Calibri"/>
                <w:color w:val="000000"/>
              </w:rPr>
              <w:t>4 mg</w:t>
            </w:r>
          </w:p>
        </w:tc>
        <w:tc>
          <w:tcPr>
            <w:tcW w:w="1123" w:type="dxa"/>
            <w:tcBorders>
              <w:top w:val="nil"/>
              <w:left w:val="nil"/>
              <w:bottom w:val="single" w:sz="4" w:space="0" w:color="auto"/>
              <w:right w:val="single" w:sz="4" w:space="0" w:color="auto"/>
            </w:tcBorders>
            <w:shd w:val="clear" w:color="auto" w:fill="auto"/>
            <w:noWrap/>
            <w:vAlign w:val="center"/>
          </w:tcPr>
          <w:p w:rsidR="008A784F" w:rsidRDefault="008A784F" w:rsidP="00F42309">
            <w:pPr>
              <w:spacing w:after="0" w:line="240" w:lineRule="auto"/>
              <w:jc w:val="center"/>
              <w:rPr>
                <w:rFonts w:ascii="Calibri" w:eastAsia="Times New Roman" w:hAnsi="Calibri" w:cs="Calibri"/>
                <w:color w:val="000000"/>
              </w:rPr>
            </w:pPr>
            <w:r w:rsidRPr="002F108D">
              <w:rPr>
                <w:rFonts w:ascii="Calibri" w:eastAsia="Times New Roman" w:hAnsi="Calibri" w:cs="Calibri"/>
                <w:color w:val="000000"/>
              </w:rPr>
              <w:t>3</w:t>
            </w:r>
          </w:p>
        </w:tc>
        <w:tc>
          <w:tcPr>
            <w:tcW w:w="2045" w:type="dxa"/>
            <w:tcBorders>
              <w:top w:val="nil"/>
              <w:left w:val="nil"/>
              <w:bottom w:val="single" w:sz="4" w:space="0" w:color="auto"/>
              <w:right w:val="single" w:sz="4" w:space="0" w:color="auto"/>
            </w:tcBorders>
            <w:shd w:val="clear" w:color="auto" w:fill="auto"/>
            <w:noWrap/>
            <w:vAlign w:val="center"/>
          </w:tcPr>
          <w:p w:rsidR="008A784F" w:rsidRDefault="008A784F" w:rsidP="00F42309">
            <w:pPr>
              <w:spacing w:after="0" w:line="240" w:lineRule="auto"/>
              <w:jc w:val="center"/>
              <w:rPr>
                <w:rFonts w:ascii="Calibri" w:eastAsia="Times New Roman" w:hAnsi="Calibri" w:cs="Calibri"/>
                <w:color w:val="000000"/>
              </w:rPr>
            </w:pPr>
            <w:r>
              <w:rPr>
                <w:rFonts w:ascii="Calibri" w:hAnsi="Calibri" w:cs="Calibri"/>
                <w:color w:val="000000"/>
              </w:rPr>
              <w:t>$0.36</w:t>
            </w:r>
          </w:p>
        </w:tc>
      </w:tr>
      <w:tr w:rsidR="008A784F" w:rsidRPr="002F108D" w:rsidTr="00F42309">
        <w:trPr>
          <w:trHeight w:val="300"/>
        </w:trPr>
        <w:tc>
          <w:tcPr>
            <w:tcW w:w="3908" w:type="dxa"/>
            <w:tcBorders>
              <w:top w:val="nil"/>
              <w:left w:val="single" w:sz="4" w:space="0" w:color="auto"/>
              <w:bottom w:val="single" w:sz="4" w:space="0" w:color="auto"/>
              <w:right w:val="single" w:sz="4" w:space="0" w:color="auto"/>
            </w:tcBorders>
            <w:shd w:val="clear" w:color="000000" w:fill="DCE6F1"/>
            <w:noWrap/>
          </w:tcPr>
          <w:p w:rsidR="008A784F" w:rsidRDefault="008A784F" w:rsidP="00F42309">
            <w:pPr>
              <w:spacing w:after="0" w:line="240" w:lineRule="auto"/>
              <w:rPr>
                <w:rFonts w:ascii="Calibri" w:eastAsia="Times New Roman" w:hAnsi="Calibri" w:cs="Calibri"/>
                <w:b/>
                <w:bCs/>
                <w:color w:val="000000"/>
              </w:rPr>
            </w:pPr>
            <w:r>
              <w:rPr>
                <w:rFonts w:ascii="Calibri" w:eastAsia="Times New Roman" w:hAnsi="Calibri" w:cs="Calibri"/>
                <w:b/>
                <w:bCs/>
                <w:color w:val="000000"/>
              </w:rPr>
              <w:t>In</w:t>
            </w:r>
            <w:r w:rsidRPr="002F108D">
              <w:rPr>
                <w:rFonts w:ascii="Calibri" w:eastAsia="Times New Roman" w:hAnsi="Calibri" w:cs="Calibri"/>
                <w:b/>
                <w:bCs/>
                <w:color w:val="000000"/>
              </w:rPr>
              <w:t xml:space="preserve"> cycles containing </w:t>
            </w:r>
            <w:r>
              <w:rPr>
                <w:rFonts w:ascii="Calibri" w:eastAsia="Times New Roman" w:hAnsi="Calibri" w:cs="Calibri"/>
                <w:b/>
                <w:bCs/>
                <w:color w:val="000000"/>
              </w:rPr>
              <w:t>cisplatin</w:t>
            </w:r>
          </w:p>
        </w:tc>
        <w:tc>
          <w:tcPr>
            <w:tcW w:w="1227" w:type="dxa"/>
            <w:tcBorders>
              <w:top w:val="nil"/>
              <w:left w:val="nil"/>
              <w:bottom w:val="single" w:sz="4" w:space="0" w:color="auto"/>
              <w:right w:val="single" w:sz="4" w:space="0" w:color="auto"/>
            </w:tcBorders>
            <w:shd w:val="clear" w:color="auto" w:fill="auto"/>
            <w:noWrap/>
            <w:vAlign w:val="center"/>
          </w:tcPr>
          <w:p w:rsidR="008A784F" w:rsidRPr="002F108D" w:rsidRDefault="008A784F" w:rsidP="00F42309">
            <w:pPr>
              <w:spacing w:after="0" w:line="240" w:lineRule="auto"/>
              <w:jc w:val="center"/>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noWrap/>
            <w:vAlign w:val="center"/>
          </w:tcPr>
          <w:p w:rsidR="008A784F" w:rsidRPr="002F108D" w:rsidRDefault="008A784F" w:rsidP="00F42309">
            <w:pPr>
              <w:spacing w:after="0" w:line="240" w:lineRule="auto"/>
              <w:jc w:val="center"/>
              <w:rPr>
                <w:rFonts w:ascii="Calibri" w:eastAsia="Times New Roman" w:hAnsi="Calibri" w:cs="Calibri"/>
                <w:color w:val="000000"/>
              </w:rPr>
            </w:pPr>
          </w:p>
        </w:tc>
        <w:tc>
          <w:tcPr>
            <w:tcW w:w="1123" w:type="dxa"/>
            <w:tcBorders>
              <w:top w:val="nil"/>
              <w:left w:val="nil"/>
              <w:bottom w:val="single" w:sz="4" w:space="0" w:color="auto"/>
              <w:right w:val="single" w:sz="4" w:space="0" w:color="auto"/>
            </w:tcBorders>
            <w:shd w:val="clear" w:color="auto" w:fill="auto"/>
            <w:noWrap/>
            <w:vAlign w:val="center"/>
          </w:tcPr>
          <w:p w:rsidR="008A784F" w:rsidRPr="002F108D" w:rsidRDefault="008A784F" w:rsidP="00F42309">
            <w:pPr>
              <w:spacing w:after="0" w:line="240" w:lineRule="auto"/>
              <w:jc w:val="center"/>
              <w:rPr>
                <w:rFonts w:ascii="Calibri" w:eastAsia="Times New Roman" w:hAnsi="Calibri" w:cs="Calibri"/>
                <w:color w:val="000000"/>
              </w:rPr>
            </w:pPr>
          </w:p>
        </w:tc>
        <w:tc>
          <w:tcPr>
            <w:tcW w:w="2045" w:type="dxa"/>
            <w:tcBorders>
              <w:top w:val="nil"/>
              <w:left w:val="nil"/>
              <w:bottom w:val="single" w:sz="4" w:space="0" w:color="auto"/>
              <w:right w:val="single" w:sz="4" w:space="0" w:color="auto"/>
            </w:tcBorders>
            <w:shd w:val="clear" w:color="auto" w:fill="auto"/>
            <w:noWrap/>
            <w:vAlign w:val="center"/>
          </w:tcPr>
          <w:p w:rsidR="008A784F" w:rsidRPr="002F108D" w:rsidRDefault="008A784F" w:rsidP="00F42309">
            <w:pPr>
              <w:spacing w:after="0" w:line="240" w:lineRule="auto"/>
              <w:jc w:val="center"/>
              <w:rPr>
                <w:rFonts w:ascii="Calibri" w:hAnsi="Calibri" w:cs="Calibri"/>
                <w:color w:val="000000"/>
              </w:rPr>
            </w:pPr>
          </w:p>
        </w:tc>
      </w:tr>
      <w:tr w:rsidR="008A784F" w:rsidRPr="002F108D" w:rsidTr="00F42309">
        <w:trPr>
          <w:trHeight w:val="300"/>
        </w:trPr>
        <w:tc>
          <w:tcPr>
            <w:tcW w:w="390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784F" w:rsidRDefault="008A784F" w:rsidP="00F42309">
            <w:pPr>
              <w:spacing w:after="0" w:line="240" w:lineRule="auto"/>
              <w:rPr>
                <w:rFonts w:ascii="Calibri" w:eastAsia="Times New Roman" w:hAnsi="Calibri" w:cs="Calibri"/>
                <w:b/>
                <w:bCs/>
                <w:color w:val="000000"/>
              </w:rPr>
            </w:pPr>
            <w:r>
              <w:rPr>
                <w:rFonts w:ascii="Calibri" w:eastAsia="Times New Roman" w:hAnsi="Calibri" w:cs="Calibri"/>
                <w:color w:val="000000"/>
              </w:rPr>
              <w:t>Fosaprepitant (anti-emetic)</w:t>
            </w:r>
          </w:p>
        </w:tc>
        <w:tc>
          <w:tcPr>
            <w:tcW w:w="1227" w:type="dxa"/>
            <w:tcBorders>
              <w:top w:val="single" w:sz="4" w:space="0" w:color="auto"/>
              <w:left w:val="nil"/>
              <w:bottom w:val="single" w:sz="4" w:space="0" w:color="auto"/>
              <w:right w:val="single" w:sz="4" w:space="0" w:color="auto"/>
            </w:tcBorders>
            <w:shd w:val="clear" w:color="auto" w:fill="FFFFFF" w:themeFill="background1"/>
            <w:noWrap/>
            <w:vAlign w:val="center"/>
          </w:tcPr>
          <w:p w:rsidR="008A784F" w:rsidRPr="002F108D" w:rsidRDefault="008A784F" w:rsidP="00F42309">
            <w:pPr>
              <w:spacing w:after="0" w:line="240" w:lineRule="auto"/>
              <w:jc w:val="center"/>
              <w:rPr>
                <w:rFonts w:ascii="Calibri" w:eastAsia="Times New Roman" w:hAnsi="Calibri" w:cs="Calibri"/>
                <w:color w:val="000000"/>
              </w:rPr>
            </w:pPr>
            <w:r w:rsidRPr="002F108D">
              <w:rPr>
                <w:rFonts w:ascii="Calibri" w:eastAsia="Times New Roman" w:hAnsi="Calibri" w:cs="Calibri"/>
                <w:color w:val="000000"/>
              </w:rPr>
              <w:t>IV</w:t>
            </w:r>
          </w:p>
        </w:tc>
        <w:tc>
          <w:tcPr>
            <w:tcW w:w="1170" w:type="dxa"/>
            <w:tcBorders>
              <w:top w:val="nil"/>
              <w:left w:val="nil"/>
              <w:bottom w:val="single" w:sz="4" w:space="0" w:color="auto"/>
              <w:right w:val="single" w:sz="4" w:space="0" w:color="auto"/>
            </w:tcBorders>
            <w:shd w:val="clear" w:color="auto" w:fill="auto"/>
            <w:noWrap/>
            <w:vAlign w:val="center"/>
          </w:tcPr>
          <w:p w:rsidR="008A784F" w:rsidRPr="002F108D" w:rsidRDefault="008A784F" w:rsidP="00F42309">
            <w:pPr>
              <w:spacing w:after="0" w:line="240" w:lineRule="auto"/>
              <w:jc w:val="center"/>
              <w:rPr>
                <w:rFonts w:ascii="Calibri" w:eastAsia="Times New Roman" w:hAnsi="Calibri" w:cs="Calibri"/>
                <w:color w:val="000000"/>
              </w:rPr>
            </w:pPr>
            <w:r w:rsidRPr="002F108D">
              <w:rPr>
                <w:rFonts w:ascii="Calibri" w:eastAsia="Times New Roman" w:hAnsi="Calibri" w:cs="Calibri"/>
                <w:color w:val="000000"/>
              </w:rPr>
              <w:t>150 mg</w:t>
            </w:r>
          </w:p>
        </w:tc>
        <w:tc>
          <w:tcPr>
            <w:tcW w:w="1123" w:type="dxa"/>
            <w:tcBorders>
              <w:top w:val="nil"/>
              <w:left w:val="nil"/>
              <w:bottom w:val="single" w:sz="4" w:space="0" w:color="auto"/>
              <w:right w:val="single" w:sz="4" w:space="0" w:color="auto"/>
            </w:tcBorders>
            <w:shd w:val="clear" w:color="auto" w:fill="auto"/>
            <w:noWrap/>
            <w:vAlign w:val="center"/>
          </w:tcPr>
          <w:p w:rsidR="008A784F" w:rsidRPr="002F108D" w:rsidRDefault="008A784F" w:rsidP="00F42309">
            <w:pPr>
              <w:spacing w:after="0" w:line="240" w:lineRule="auto"/>
              <w:jc w:val="center"/>
              <w:rPr>
                <w:rFonts w:ascii="Calibri" w:eastAsia="Times New Roman" w:hAnsi="Calibri" w:cs="Calibri"/>
                <w:color w:val="000000"/>
              </w:rPr>
            </w:pPr>
            <w:r w:rsidRPr="002F108D">
              <w:rPr>
                <w:rFonts w:ascii="Calibri" w:eastAsia="Times New Roman" w:hAnsi="Calibri" w:cs="Calibri"/>
                <w:color w:val="000000"/>
              </w:rPr>
              <w:t>1</w:t>
            </w:r>
          </w:p>
        </w:tc>
        <w:tc>
          <w:tcPr>
            <w:tcW w:w="2045" w:type="dxa"/>
            <w:tcBorders>
              <w:top w:val="nil"/>
              <w:left w:val="nil"/>
              <w:bottom w:val="single" w:sz="4" w:space="0" w:color="auto"/>
              <w:right w:val="single" w:sz="4" w:space="0" w:color="auto"/>
            </w:tcBorders>
            <w:shd w:val="clear" w:color="auto" w:fill="auto"/>
            <w:noWrap/>
            <w:vAlign w:val="center"/>
          </w:tcPr>
          <w:p w:rsidR="008A784F" w:rsidRPr="002F108D" w:rsidRDefault="008A784F" w:rsidP="00F42309">
            <w:pPr>
              <w:spacing w:after="0" w:line="240" w:lineRule="auto"/>
              <w:jc w:val="center"/>
              <w:rPr>
                <w:rFonts w:ascii="Calibri" w:hAnsi="Calibri" w:cs="Calibri"/>
                <w:color w:val="000000"/>
              </w:rPr>
            </w:pPr>
            <w:r>
              <w:rPr>
                <w:rFonts w:ascii="Calibri" w:eastAsia="Times New Roman" w:hAnsi="Calibri" w:cs="Calibri"/>
                <w:color w:val="000000"/>
              </w:rPr>
              <w:t>$302.22</w:t>
            </w:r>
          </w:p>
        </w:tc>
      </w:tr>
      <w:tr w:rsidR="008A784F" w:rsidRPr="002F108D" w:rsidTr="00F42309">
        <w:trPr>
          <w:trHeight w:val="300"/>
        </w:trPr>
        <w:tc>
          <w:tcPr>
            <w:tcW w:w="390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784F" w:rsidRDefault="008A784F" w:rsidP="00F42309">
            <w:pPr>
              <w:spacing w:after="0" w:line="240" w:lineRule="auto"/>
              <w:rPr>
                <w:rFonts w:ascii="Calibri" w:eastAsia="Times New Roman" w:hAnsi="Calibri" w:cs="Calibri"/>
                <w:color w:val="000000"/>
              </w:rPr>
            </w:pPr>
            <w:r w:rsidRPr="003A46A3">
              <w:t>Dexamethasone (steroid)</w:t>
            </w:r>
          </w:p>
        </w:tc>
        <w:tc>
          <w:tcPr>
            <w:tcW w:w="1227" w:type="dxa"/>
            <w:tcBorders>
              <w:top w:val="single" w:sz="4" w:space="0" w:color="auto"/>
              <w:left w:val="nil"/>
              <w:bottom w:val="single" w:sz="4" w:space="0" w:color="auto"/>
              <w:right w:val="single" w:sz="4" w:space="0" w:color="auto"/>
            </w:tcBorders>
            <w:shd w:val="clear" w:color="auto" w:fill="FFFFFF" w:themeFill="background1"/>
            <w:noWrap/>
          </w:tcPr>
          <w:p w:rsidR="008A784F" w:rsidRPr="002F108D" w:rsidRDefault="008A784F" w:rsidP="00F42309">
            <w:pPr>
              <w:spacing w:after="0" w:line="240" w:lineRule="auto"/>
              <w:jc w:val="center"/>
              <w:rPr>
                <w:rFonts w:ascii="Calibri" w:eastAsia="Times New Roman" w:hAnsi="Calibri" w:cs="Calibri"/>
                <w:color w:val="000000"/>
              </w:rPr>
            </w:pPr>
            <w:r w:rsidRPr="003A46A3">
              <w:t>Oral</w:t>
            </w:r>
          </w:p>
        </w:tc>
        <w:tc>
          <w:tcPr>
            <w:tcW w:w="1170" w:type="dxa"/>
            <w:tcBorders>
              <w:top w:val="nil"/>
              <w:left w:val="nil"/>
              <w:bottom w:val="single" w:sz="4" w:space="0" w:color="auto"/>
              <w:right w:val="single" w:sz="4" w:space="0" w:color="auto"/>
            </w:tcBorders>
            <w:shd w:val="clear" w:color="auto" w:fill="auto"/>
            <w:noWrap/>
          </w:tcPr>
          <w:p w:rsidR="008A784F" w:rsidRPr="002F108D" w:rsidRDefault="008A784F" w:rsidP="00F42309">
            <w:pPr>
              <w:spacing w:after="0" w:line="240" w:lineRule="auto"/>
              <w:jc w:val="center"/>
              <w:rPr>
                <w:rFonts w:ascii="Calibri" w:eastAsia="Times New Roman" w:hAnsi="Calibri" w:cs="Calibri"/>
                <w:color w:val="000000"/>
              </w:rPr>
            </w:pPr>
            <w:r w:rsidRPr="003A46A3">
              <w:t>4 mg</w:t>
            </w:r>
          </w:p>
        </w:tc>
        <w:tc>
          <w:tcPr>
            <w:tcW w:w="1123" w:type="dxa"/>
            <w:tcBorders>
              <w:top w:val="nil"/>
              <w:left w:val="nil"/>
              <w:bottom w:val="single" w:sz="4" w:space="0" w:color="auto"/>
              <w:right w:val="single" w:sz="4" w:space="0" w:color="auto"/>
            </w:tcBorders>
            <w:shd w:val="clear" w:color="auto" w:fill="auto"/>
            <w:noWrap/>
          </w:tcPr>
          <w:p w:rsidR="008A784F" w:rsidRPr="002F108D" w:rsidRDefault="008A784F" w:rsidP="00F42309">
            <w:pPr>
              <w:spacing w:after="0" w:line="240" w:lineRule="auto"/>
              <w:jc w:val="center"/>
              <w:rPr>
                <w:rFonts w:ascii="Calibri" w:eastAsia="Times New Roman" w:hAnsi="Calibri" w:cs="Calibri"/>
                <w:color w:val="000000"/>
              </w:rPr>
            </w:pPr>
            <w:r>
              <w:t>1</w:t>
            </w:r>
            <w:r w:rsidRPr="003A46A3">
              <w:t>3</w:t>
            </w:r>
            <w:r>
              <w:t>*</w:t>
            </w:r>
          </w:p>
        </w:tc>
        <w:tc>
          <w:tcPr>
            <w:tcW w:w="2045" w:type="dxa"/>
            <w:tcBorders>
              <w:top w:val="nil"/>
              <w:left w:val="nil"/>
              <w:bottom w:val="single" w:sz="4" w:space="0" w:color="auto"/>
              <w:right w:val="single" w:sz="4" w:space="0" w:color="auto"/>
            </w:tcBorders>
            <w:shd w:val="clear" w:color="auto" w:fill="auto"/>
            <w:noWrap/>
          </w:tcPr>
          <w:p w:rsidR="008A784F" w:rsidRDefault="008A784F" w:rsidP="00F42309">
            <w:pPr>
              <w:spacing w:after="0" w:line="240" w:lineRule="auto"/>
              <w:jc w:val="center"/>
              <w:rPr>
                <w:rFonts w:ascii="Calibri" w:eastAsia="Times New Roman" w:hAnsi="Calibri" w:cs="Calibri"/>
                <w:color w:val="000000"/>
              </w:rPr>
            </w:pPr>
            <w:r>
              <w:t>$1.56</w:t>
            </w:r>
          </w:p>
        </w:tc>
      </w:tr>
      <w:tr w:rsidR="008A784F" w:rsidRPr="002F108D" w:rsidTr="00F42309">
        <w:trPr>
          <w:trHeight w:val="300"/>
        </w:trPr>
        <w:tc>
          <w:tcPr>
            <w:tcW w:w="390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784F" w:rsidRPr="003A46A3" w:rsidRDefault="008A784F" w:rsidP="00F42309">
            <w:pPr>
              <w:spacing w:after="0" w:line="240" w:lineRule="auto"/>
            </w:pPr>
            <w:r w:rsidRPr="00335258">
              <w:t>Ondansetron (anti-emetic)</w:t>
            </w:r>
          </w:p>
        </w:tc>
        <w:tc>
          <w:tcPr>
            <w:tcW w:w="1227" w:type="dxa"/>
            <w:tcBorders>
              <w:top w:val="single" w:sz="4" w:space="0" w:color="auto"/>
              <w:left w:val="nil"/>
              <w:bottom w:val="single" w:sz="4" w:space="0" w:color="auto"/>
              <w:right w:val="single" w:sz="4" w:space="0" w:color="auto"/>
            </w:tcBorders>
            <w:shd w:val="clear" w:color="auto" w:fill="FFFFFF" w:themeFill="background1"/>
            <w:noWrap/>
          </w:tcPr>
          <w:p w:rsidR="008A784F" w:rsidRPr="003A46A3" w:rsidRDefault="008A784F" w:rsidP="00F42309">
            <w:pPr>
              <w:spacing w:after="0" w:line="240" w:lineRule="auto"/>
              <w:jc w:val="center"/>
            </w:pPr>
            <w:r>
              <w:t>Oral</w:t>
            </w:r>
          </w:p>
        </w:tc>
        <w:tc>
          <w:tcPr>
            <w:tcW w:w="1170" w:type="dxa"/>
            <w:tcBorders>
              <w:top w:val="nil"/>
              <w:left w:val="nil"/>
              <w:bottom w:val="single" w:sz="4" w:space="0" w:color="auto"/>
              <w:right w:val="single" w:sz="4" w:space="0" w:color="auto"/>
            </w:tcBorders>
            <w:shd w:val="clear" w:color="auto" w:fill="auto"/>
            <w:noWrap/>
          </w:tcPr>
          <w:p w:rsidR="008A784F" w:rsidRPr="003A46A3" w:rsidRDefault="008A784F" w:rsidP="00F42309">
            <w:pPr>
              <w:spacing w:after="0" w:line="240" w:lineRule="auto"/>
              <w:jc w:val="center"/>
            </w:pPr>
            <w:r>
              <w:t>8</w:t>
            </w:r>
            <w:r w:rsidRPr="00335258">
              <w:t xml:space="preserve"> mg</w:t>
            </w:r>
          </w:p>
        </w:tc>
        <w:tc>
          <w:tcPr>
            <w:tcW w:w="1123" w:type="dxa"/>
            <w:tcBorders>
              <w:top w:val="nil"/>
              <w:left w:val="nil"/>
              <w:bottom w:val="single" w:sz="4" w:space="0" w:color="auto"/>
              <w:right w:val="single" w:sz="4" w:space="0" w:color="auto"/>
            </w:tcBorders>
            <w:shd w:val="clear" w:color="auto" w:fill="auto"/>
            <w:noWrap/>
          </w:tcPr>
          <w:p w:rsidR="008A784F" w:rsidRDefault="008A784F" w:rsidP="00F42309">
            <w:pPr>
              <w:spacing w:after="0" w:line="240" w:lineRule="auto"/>
              <w:jc w:val="center"/>
            </w:pPr>
            <w:r>
              <w:t>2</w:t>
            </w:r>
          </w:p>
        </w:tc>
        <w:tc>
          <w:tcPr>
            <w:tcW w:w="2045" w:type="dxa"/>
            <w:tcBorders>
              <w:top w:val="nil"/>
              <w:left w:val="nil"/>
              <w:bottom w:val="single" w:sz="4" w:space="0" w:color="auto"/>
              <w:right w:val="single" w:sz="4" w:space="0" w:color="auto"/>
            </w:tcBorders>
            <w:shd w:val="clear" w:color="auto" w:fill="auto"/>
            <w:noWrap/>
          </w:tcPr>
          <w:p w:rsidR="008A784F" w:rsidRPr="003A46A3" w:rsidRDefault="008A784F" w:rsidP="00F42309">
            <w:pPr>
              <w:spacing w:after="0" w:line="240" w:lineRule="auto"/>
              <w:jc w:val="center"/>
            </w:pPr>
            <w:r>
              <w:t>$1.06</w:t>
            </w:r>
          </w:p>
        </w:tc>
      </w:tr>
      <w:tr w:rsidR="008A784F" w:rsidRPr="002F108D" w:rsidTr="00F42309">
        <w:trPr>
          <w:trHeight w:val="300"/>
        </w:trPr>
        <w:tc>
          <w:tcPr>
            <w:tcW w:w="3908" w:type="dxa"/>
            <w:tcBorders>
              <w:top w:val="nil"/>
              <w:left w:val="single" w:sz="4" w:space="0" w:color="auto"/>
              <w:bottom w:val="single" w:sz="4" w:space="0" w:color="auto"/>
              <w:right w:val="single" w:sz="4" w:space="0" w:color="auto"/>
            </w:tcBorders>
            <w:shd w:val="clear" w:color="000000" w:fill="DCE6F1"/>
            <w:noWrap/>
            <w:hideMark/>
          </w:tcPr>
          <w:p w:rsidR="008A784F" w:rsidRPr="002F108D" w:rsidRDefault="008A784F" w:rsidP="00F42309">
            <w:pPr>
              <w:spacing w:after="0" w:line="240" w:lineRule="auto"/>
              <w:rPr>
                <w:rFonts w:ascii="Calibri" w:eastAsia="Times New Roman" w:hAnsi="Calibri" w:cs="Calibri"/>
                <w:b/>
                <w:bCs/>
                <w:color w:val="000000"/>
              </w:rPr>
            </w:pPr>
            <w:r>
              <w:rPr>
                <w:rFonts w:ascii="Calibri" w:eastAsia="Times New Roman" w:hAnsi="Calibri" w:cs="Calibri"/>
                <w:b/>
                <w:bCs/>
                <w:color w:val="000000"/>
              </w:rPr>
              <w:t>In cycles containing pemetrexed</w:t>
            </w:r>
          </w:p>
        </w:tc>
        <w:tc>
          <w:tcPr>
            <w:tcW w:w="1227" w:type="dxa"/>
            <w:tcBorders>
              <w:top w:val="nil"/>
              <w:left w:val="nil"/>
              <w:bottom w:val="single" w:sz="4" w:space="0" w:color="auto"/>
              <w:right w:val="single" w:sz="4" w:space="0" w:color="auto"/>
            </w:tcBorders>
            <w:shd w:val="clear" w:color="auto" w:fill="auto"/>
            <w:noWrap/>
            <w:vAlign w:val="center"/>
            <w:hideMark/>
          </w:tcPr>
          <w:p w:rsidR="008A784F" w:rsidRPr="002F108D" w:rsidRDefault="008A784F" w:rsidP="00F42309">
            <w:pPr>
              <w:spacing w:after="0" w:line="240" w:lineRule="auto"/>
              <w:jc w:val="center"/>
              <w:rPr>
                <w:rFonts w:ascii="Calibri" w:eastAsia="Times New Roman" w:hAnsi="Calibri" w:cs="Calibri"/>
                <w:color w:val="000000"/>
              </w:rPr>
            </w:pPr>
            <w:r w:rsidRPr="002F108D">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8A784F" w:rsidRPr="002F108D" w:rsidRDefault="008A784F" w:rsidP="00F42309">
            <w:pPr>
              <w:spacing w:after="0" w:line="240" w:lineRule="auto"/>
              <w:jc w:val="center"/>
              <w:rPr>
                <w:rFonts w:ascii="Calibri" w:eastAsia="Times New Roman" w:hAnsi="Calibri" w:cs="Calibri"/>
                <w:color w:val="000000"/>
              </w:rPr>
            </w:pPr>
            <w:r w:rsidRPr="002F108D">
              <w:rPr>
                <w:rFonts w:ascii="Calibri" w:eastAsia="Times New Roman" w:hAnsi="Calibri" w:cs="Calibri"/>
                <w:color w:val="000000"/>
              </w:rPr>
              <w:t> </w:t>
            </w:r>
          </w:p>
        </w:tc>
        <w:tc>
          <w:tcPr>
            <w:tcW w:w="1123" w:type="dxa"/>
            <w:tcBorders>
              <w:top w:val="nil"/>
              <w:left w:val="nil"/>
              <w:bottom w:val="single" w:sz="4" w:space="0" w:color="auto"/>
              <w:right w:val="single" w:sz="4" w:space="0" w:color="auto"/>
            </w:tcBorders>
            <w:shd w:val="clear" w:color="auto" w:fill="auto"/>
            <w:noWrap/>
            <w:vAlign w:val="center"/>
            <w:hideMark/>
          </w:tcPr>
          <w:p w:rsidR="008A784F" w:rsidRPr="002F108D" w:rsidRDefault="008A784F" w:rsidP="00F42309">
            <w:pPr>
              <w:spacing w:after="0" w:line="240" w:lineRule="auto"/>
              <w:jc w:val="center"/>
              <w:rPr>
                <w:rFonts w:ascii="Calibri" w:eastAsia="Times New Roman" w:hAnsi="Calibri" w:cs="Calibri"/>
                <w:color w:val="000000"/>
              </w:rPr>
            </w:pPr>
            <w:r w:rsidRPr="002F108D">
              <w:rPr>
                <w:rFonts w:ascii="Calibri" w:eastAsia="Times New Roman" w:hAnsi="Calibri" w:cs="Calibri"/>
                <w:color w:val="000000"/>
              </w:rPr>
              <w:t> </w:t>
            </w:r>
          </w:p>
        </w:tc>
        <w:tc>
          <w:tcPr>
            <w:tcW w:w="2045" w:type="dxa"/>
            <w:tcBorders>
              <w:top w:val="nil"/>
              <w:left w:val="nil"/>
              <w:bottom w:val="single" w:sz="4" w:space="0" w:color="auto"/>
              <w:right w:val="single" w:sz="4" w:space="0" w:color="auto"/>
            </w:tcBorders>
            <w:shd w:val="clear" w:color="auto" w:fill="auto"/>
            <w:noWrap/>
            <w:vAlign w:val="center"/>
            <w:hideMark/>
          </w:tcPr>
          <w:p w:rsidR="008A784F" w:rsidRPr="002F108D" w:rsidRDefault="008A784F" w:rsidP="00F42309">
            <w:pPr>
              <w:spacing w:after="0" w:line="240" w:lineRule="auto"/>
              <w:jc w:val="center"/>
              <w:rPr>
                <w:rFonts w:ascii="Calibri" w:eastAsia="Times New Roman" w:hAnsi="Calibri" w:cs="Calibri"/>
                <w:color w:val="000000"/>
              </w:rPr>
            </w:pPr>
            <w:r w:rsidRPr="002F108D">
              <w:rPr>
                <w:rFonts w:ascii="Calibri" w:hAnsi="Calibri" w:cs="Calibri"/>
                <w:color w:val="000000"/>
              </w:rPr>
              <w:t> </w:t>
            </w:r>
          </w:p>
        </w:tc>
      </w:tr>
      <w:tr w:rsidR="008A784F" w:rsidRPr="002F108D" w:rsidTr="00F42309">
        <w:trPr>
          <w:trHeight w:val="300"/>
        </w:trPr>
        <w:tc>
          <w:tcPr>
            <w:tcW w:w="3908" w:type="dxa"/>
            <w:tcBorders>
              <w:top w:val="nil"/>
              <w:left w:val="single" w:sz="4" w:space="0" w:color="auto"/>
              <w:bottom w:val="single" w:sz="4" w:space="0" w:color="auto"/>
              <w:right w:val="single" w:sz="4" w:space="0" w:color="auto"/>
            </w:tcBorders>
            <w:shd w:val="clear" w:color="auto" w:fill="auto"/>
            <w:noWrap/>
            <w:hideMark/>
          </w:tcPr>
          <w:p w:rsidR="008A784F" w:rsidRPr="002F108D" w:rsidRDefault="008A784F" w:rsidP="00F42309">
            <w:pPr>
              <w:spacing w:after="0" w:line="240" w:lineRule="auto"/>
              <w:rPr>
                <w:rFonts w:ascii="Calibri" w:eastAsia="Times New Roman" w:hAnsi="Calibri" w:cs="Calibri"/>
                <w:color w:val="000000"/>
              </w:rPr>
            </w:pPr>
            <w:r>
              <w:rPr>
                <w:rFonts w:ascii="Calibri" w:eastAsia="Times New Roman" w:hAnsi="Calibri" w:cs="Calibri"/>
                <w:color w:val="000000"/>
              </w:rPr>
              <w:t xml:space="preserve">Vitamin B12 injection† </w:t>
            </w:r>
          </w:p>
        </w:tc>
        <w:tc>
          <w:tcPr>
            <w:tcW w:w="1227" w:type="dxa"/>
            <w:tcBorders>
              <w:top w:val="nil"/>
              <w:left w:val="nil"/>
              <w:bottom w:val="single" w:sz="4" w:space="0" w:color="auto"/>
              <w:right w:val="single" w:sz="4" w:space="0" w:color="auto"/>
            </w:tcBorders>
            <w:shd w:val="clear" w:color="auto" w:fill="auto"/>
            <w:noWrap/>
            <w:vAlign w:val="center"/>
            <w:hideMark/>
          </w:tcPr>
          <w:p w:rsidR="008A784F" w:rsidRPr="002F108D" w:rsidRDefault="008A784F" w:rsidP="00F42309">
            <w:pPr>
              <w:spacing w:after="0" w:line="240" w:lineRule="auto"/>
              <w:jc w:val="center"/>
              <w:rPr>
                <w:rFonts w:ascii="Calibri" w:eastAsia="Times New Roman" w:hAnsi="Calibri" w:cs="Calibri"/>
                <w:color w:val="000000"/>
              </w:rPr>
            </w:pPr>
            <w:r w:rsidRPr="002F108D">
              <w:rPr>
                <w:rFonts w:ascii="Calibri" w:eastAsia="Times New Roman" w:hAnsi="Calibri" w:cs="Calibri"/>
                <w:color w:val="000000"/>
              </w:rPr>
              <w:t>Oral</w:t>
            </w:r>
          </w:p>
        </w:tc>
        <w:tc>
          <w:tcPr>
            <w:tcW w:w="1170" w:type="dxa"/>
            <w:tcBorders>
              <w:top w:val="nil"/>
              <w:left w:val="nil"/>
              <w:bottom w:val="single" w:sz="4" w:space="0" w:color="auto"/>
              <w:right w:val="single" w:sz="4" w:space="0" w:color="auto"/>
            </w:tcBorders>
            <w:shd w:val="clear" w:color="auto" w:fill="auto"/>
            <w:noWrap/>
            <w:vAlign w:val="center"/>
            <w:hideMark/>
          </w:tcPr>
          <w:p w:rsidR="008A784F" w:rsidRPr="002F108D" w:rsidRDefault="008A784F" w:rsidP="00F42309">
            <w:pPr>
              <w:spacing w:after="0" w:line="240" w:lineRule="auto"/>
              <w:jc w:val="center"/>
              <w:rPr>
                <w:rFonts w:ascii="Calibri" w:eastAsia="Times New Roman" w:hAnsi="Calibri" w:cs="Calibri"/>
                <w:color w:val="000000"/>
              </w:rPr>
            </w:pPr>
            <w:r>
              <w:rPr>
                <w:rFonts w:ascii="Calibri" w:eastAsia="Times New Roman" w:hAnsi="Calibri" w:cs="Calibri"/>
                <w:color w:val="000000"/>
              </w:rPr>
              <w:t>1000 mcg</w:t>
            </w:r>
          </w:p>
        </w:tc>
        <w:tc>
          <w:tcPr>
            <w:tcW w:w="1123" w:type="dxa"/>
            <w:tcBorders>
              <w:top w:val="nil"/>
              <w:left w:val="nil"/>
              <w:bottom w:val="single" w:sz="4" w:space="0" w:color="auto"/>
              <w:right w:val="single" w:sz="4" w:space="0" w:color="auto"/>
            </w:tcBorders>
            <w:shd w:val="clear" w:color="auto" w:fill="auto"/>
            <w:noWrap/>
            <w:vAlign w:val="center"/>
            <w:hideMark/>
          </w:tcPr>
          <w:p w:rsidR="008A784F" w:rsidRPr="002F108D" w:rsidRDefault="008A784F" w:rsidP="00F42309">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2045" w:type="dxa"/>
            <w:tcBorders>
              <w:top w:val="nil"/>
              <w:left w:val="nil"/>
              <w:bottom w:val="single" w:sz="4" w:space="0" w:color="auto"/>
              <w:right w:val="single" w:sz="4" w:space="0" w:color="auto"/>
            </w:tcBorders>
            <w:shd w:val="clear" w:color="auto" w:fill="auto"/>
            <w:noWrap/>
            <w:vAlign w:val="center"/>
            <w:hideMark/>
          </w:tcPr>
          <w:p w:rsidR="008A784F" w:rsidRPr="002F108D" w:rsidRDefault="008A784F" w:rsidP="00F42309">
            <w:pPr>
              <w:spacing w:after="0" w:line="240" w:lineRule="auto"/>
              <w:jc w:val="center"/>
              <w:rPr>
                <w:rFonts w:ascii="Calibri" w:eastAsia="Times New Roman" w:hAnsi="Calibri" w:cs="Calibri"/>
                <w:color w:val="000000"/>
              </w:rPr>
            </w:pPr>
            <w:r>
              <w:rPr>
                <w:rFonts w:ascii="Calibri" w:hAnsi="Calibri" w:cs="Calibri"/>
                <w:color w:val="000000"/>
              </w:rPr>
              <w:t>$10.87</w:t>
            </w:r>
          </w:p>
        </w:tc>
      </w:tr>
      <w:tr w:rsidR="008A784F" w:rsidRPr="002F108D" w:rsidTr="00F42309">
        <w:trPr>
          <w:trHeight w:val="300"/>
        </w:trPr>
        <w:tc>
          <w:tcPr>
            <w:tcW w:w="3908" w:type="dxa"/>
            <w:tcBorders>
              <w:top w:val="nil"/>
              <w:left w:val="single" w:sz="4" w:space="0" w:color="auto"/>
              <w:bottom w:val="single" w:sz="4" w:space="0" w:color="auto"/>
              <w:right w:val="single" w:sz="4" w:space="0" w:color="auto"/>
            </w:tcBorders>
            <w:shd w:val="clear" w:color="auto" w:fill="auto"/>
            <w:noWrap/>
            <w:hideMark/>
          </w:tcPr>
          <w:p w:rsidR="008A784F" w:rsidRPr="002F108D" w:rsidRDefault="008A784F" w:rsidP="00F42309">
            <w:pPr>
              <w:spacing w:after="0" w:line="240" w:lineRule="auto"/>
              <w:rPr>
                <w:rFonts w:ascii="Calibri" w:eastAsia="Times New Roman" w:hAnsi="Calibri" w:cs="Calibri"/>
                <w:color w:val="000000"/>
              </w:rPr>
            </w:pPr>
            <w:r w:rsidRPr="002F108D">
              <w:rPr>
                <w:rFonts w:ascii="Calibri" w:eastAsia="Times New Roman" w:hAnsi="Calibri" w:cs="Calibri"/>
                <w:color w:val="000000"/>
              </w:rPr>
              <w:t>Dexamethasone</w:t>
            </w:r>
            <w:r>
              <w:rPr>
                <w:rFonts w:ascii="Calibri" w:eastAsia="Times New Roman" w:hAnsi="Calibri" w:cs="Calibri"/>
                <w:color w:val="000000"/>
              </w:rPr>
              <w:t xml:space="preserve"> (steroid)</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8A784F" w:rsidRPr="002F108D" w:rsidRDefault="008A784F" w:rsidP="00F42309">
            <w:pPr>
              <w:spacing w:after="0" w:line="240" w:lineRule="auto"/>
              <w:jc w:val="center"/>
              <w:rPr>
                <w:rFonts w:ascii="Calibri" w:eastAsia="Times New Roman" w:hAnsi="Calibri" w:cs="Calibri"/>
                <w:color w:val="000000"/>
              </w:rPr>
            </w:pPr>
            <w:r w:rsidRPr="002F108D">
              <w:rPr>
                <w:rFonts w:ascii="Calibri" w:eastAsia="Times New Roman" w:hAnsi="Calibri" w:cs="Calibri"/>
                <w:color w:val="000000"/>
              </w:rPr>
              <w:t>Oral</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8A784F" w:rsidRPr="002F108D" w:rsidRDefault="008A784F" w:rsidP="00F42309">
            <w:pPr>
              <w:spacing w:after="0" w:line="240" w:lineRule="auto"/>
              <w:jc w:val="center"/>
              <w:rPr>
                <w:rFonts w:ascii="Calibri" w:eastAsia="Times New Roman" w:hAnsi="Calibri" w:cs="Calibri"/>
                <w:color w:val="000000"/>
              </w:rPr>
            </w:pPr>
            <w:r w:rsidRPr="002F108D">
              <w:rPr>
                <w:rFonts w:ascii="Calibri" w:eastAsia="Times New Roman" w:hAnsi="Calibri" w:cs="Calibri"/>
                <w:color w:val="000000"/>
              </w:rPr>
              <w:t>4 mg</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8A784F" w:rsidRPr="002F108D" w:rsidRDefault="008A784F" w:rsidP="00F4230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2045" w:type="dxa"/>
            <w:tcBorders>
              <w:top w:val="nil"/>
              <w:left w:val="nil"/>
              <w:bottom w:val="single" w:sz="4" w:space="0" w:color="auto"/>
              <w:right w:val="single" w:sz="4" w:space="0" w:color="auto"/>
            </w:tcBorders>
            <w:shd w:val="clear" w:color="auto" w:fill="auto"/>
            <w:noWrap/>
            <w:vAlign w:val="center"/>
            <w:hideMark/>
          </w:tcPr>
          <w:p w:rsidR="008A784F" w:rsidRPr="002F108D" w:rsidRDefault="008A784F" w:rsidP="00F42309">
            <w:pPr>
              <w:spacing w:after="0" w:line="240" w:lineRule="auto"/>
              <w:jc w:val="center"/>
              <w:rPr>
                <w:rFonts w:ascii="Calibri" w:eastAsia="Times New Roman" w:hAnsi="Calibri" w:cs="Calibri"/>
                <w:color w:val="000000"/>
              </w:rPr>
            </w:pPr>
            <w:r>
              <w:rPr>
                <w:rFonts w:ascii="Calibri" w:hAnsi="Calibri" w:cs="Calibri"/>
                <w:color w:val="000000"/>
              </w:rPr>
              <w:t>$0.72</w:t>
            </w:r>
          </w:p>
        </w:tc>
      </w:tr>
    </w:tbl>
    <w:p w:rsidR="008A784F" w:rsidRPr="005A4816" w:rsidRDefault="008A784F" w:rsidP="008A784F">
      <w:pPr>
        <w:rPr>
          <w:sz w:val="20"/>
          <w:szCs w:val="20"/>
        </w:rPr>
      </w:pPr>
      <w:r w:rsidRPr="005A4816">
        <w:rPr>
          <w:sz w:val="20"/>
          <w:szCs w:val="20"/>
        </w:rPr>
        <w:t>*</w:t>
      </w:r>
      <w:r>
        <w:rPr>
          <w:sz w:val="20"/>
          <w:szCs w:val="20"/>
        </w:rPr>
        <w:t>3 doses on day 1, 2 on day 2, and 4 each on days 3-4;  †</w:t>
      </w:r>
      <w:r w:rsidRPr="005A4816">
        <w:rPr>
          <w:sz w:val="20"/>
          <w:szCs w:val="20"/>
        </w:rPr>
        <w:t xml:space="preserve"> Administered every 3</w:t>
      </w:r>
      <w:r w:rsidRPr="005A4816">
        <w:rPr>
          <w:sz w:val="20"/>
          <w:szCs w:val="20"/>
          <w:vertAlign w:val="superscript"/>
        </w:rPr>
        <w:t>rd</w:t>
      </w:r>
      <w:r w:rsidRPr="005A4816">
        <w:rPr>
          <w:sz w:val="20"/>
          <w:szCs w:val="20"/>
        </w:rPr>
        <w:t xml:space="preserve"> cycle that pemetrexed is given</w:t>
      </w:r>
    </w:p>
    <w:p w:rsidR="008A784F" w:rsidRDefault="008A784F" w:rsidP="008A784F">
      <w:pPr>
        <w:rPr>
          <w:rFonts w:ascii="Times New Roman" w:hAnsi="Times New Roman" w:cs="Times New Roman"/>
        </w:rPr>
      </w:pPr>
      <w:r w:rsidRPr="002F108D">
        <w:t>The usage of pre-medication</w:t>
      </w:r>
      <w:r>
        <w:t>s</w:t>
      </w:r>
      <w:r w:rsidRPr="002F108D">
        <w:t xml:space="preserve"> for </w:t>
      </w:r>
      <w:r>
        <w:t>chemotherapy i</w:t>
      </w:r>
      <w:r w:rsidRPr="002F108D">
        <w:t xml:space="preserve">s included in the model. </w:t>
      </w:r>
      <w:r>
        <w:t>Unit costs a</w:t>
      </w:r>
      <w:r w:rsidRPr="002F108D">
        <w:t xml:space="preserve">re </w:t>
      </w:r>
      <w:r w:rsidRPr="002F108D">
        <w:rPr>
          <w:lang w:val="en-GB"/>
        </w:rPr>
        <w:t xml:space="preserve">obtained from </w:t>
      </w:r>
      <w:r>
        <w:rPr>
          <w:lang w:val="en-GB"/>
        </w:rPr>
        <w:t>the A</w:t>
      </w:r>
      <w:r w:rsidRPr="002F108D">
        <w:rPr>
          <w:lang w:val="en-GB"/>
        </w:rPr>
        <w:t>nalysource database</w:t>
      </w:r>
      <w:r>
        <w:rPr>
          <w:lang w:val="en-GB"/>
        </w:rPr>
        <w:fldChar w:fldCharType="begin"/>
      </w:r>
      <w:r w:rsidR="00951913">
        <w:rPr>
          <w:lang w:val="en-GB"/>
        </w:rPr>
        <w:instrText xml:space="preserve"> ADDIN REFMGR.CITE &lt;Refman&gt;&lt;Cite&gt;&lt;RecNum&gt;41&lt;/RecNum&gt;&lt;IDText&gt;www.analysource.com, February 2018&lt;/IDText&gt;&lt;MDL Ref_Type="Generic"&gt;&lt;Ref_Type&gt;Generic&lt;/Ref_Type&gt;&lt;Ref_ID&gt;41&lt;/Ref_ID&gt;&lt;Title_Primary&gt;www.analysource.com, February 2018&lt;/Title_Primary&gt;&lt;Reprint&gt;Not in File&lt;/Reprint&gt;&lt;ZZ_WorkformID&gt;33&lt;/ZZ_WorkformID&gt;&lt;/MDL&gt;&lt;/Cite&gt;&lt;/Refman&gt;</w:instrText>
      </w:r>
      <w:r>
        <w:rPr>
          <w:lang w:val="en-GB"/>
        </w:rPr>
        <w:fldChar w:fldCharType="separate"/>
      </w:r>
      <w:r w:rsidRPr="008A784F">
        <w:rPr>
          <w:vertAlign w:val="superscript"/>
          <w:lang w:val="en-GB"/>
        </w:rPr>
        <w:t>1</w:t>
      </w:r>
      <w:r>
        <w:rPr>
          <w:lang w:val="en-GB"/>
        </w:rPr>
        <w:fldChar w:fldCharType="end"/>
      </w:r>
      <w:r>
        <w:rPr>
          <w:lang w:val="en-GB"/>
        </w:rPr>
        <w:t xml:space="preserve"> and based on WACs for generic formulations of each drug where available.</w:t>
      </w:r>
      <w:r w:rsidRPr="00E23820">
        <w:rPr>
          <w:rFonts w:ascii="Times New Roman" w:hAnsi="Times New Roman" w:cs="Times New Roman"/>
        </w:rPr>
        <w:t xml:space="preserve"> </w:t>
      </w:r>
    </w:p>
    <w:p w:rsidR="00951913" w:rsidRDefault="00951913" w:rsidP="00E7752A">
      <w:pPr>
        <w:rPr>
          <w:bCs/>
        </w:rPr>
      </w:pPr>
      <w:bookmarkStart w:id="0" w:name="_Ref448177977"/>
      <w:bookmarkStart w:id="1" w:name="_Toc321404772"/>
    </w:p>
    <w:p w:rsidR="00E7752A" w:rsidRPr="00951913" w:rsidRDefault="00E7752A" w:rsidP="00E7752A">
      <w:pPr>
        <w:rPr>
          <w:bCs/>
        </w:rPr>
      </w:pPr>
      <w:r w:rsidRPr="00951913">
        <w:rPr>
          <w:bCs/>
        </w:rPr>
        <w:t xml:space="preserve">Table </w:t>
      </w:r>
      <w:bookmarkEnd w:id="0"/>
      <w:r w:rsidR="00951913">
        <w:rPr>
          <w:bCs/>
        </w:rPr>
        <w:t>S</w:t>
      </w:r>
      <w:r w:rsidRPr="00951913">
        <w:rPr>
          <w:bCs/>
        </w:rPr>
        <w:t xml:space="preserve">5: </w:t>
      </w:r>
      <w:bookmarkEnd w:id="1"/>
      <w:r w:rsidRPr="00951913">
        <w:rPr>
          <w:bCs/>
        </w:rPr>
        <w:t xml:space="preserve">Distribution </w:t>
      </w:r>
      <w:r w:rsidR="00951913">
        <w:rPr>
          <w:bCs/>
        </w:rPr>
        <w:t>of post-discontinuation therapies in model</w:t>
      </w:r>
    </w:p>
    <w:tbl>
      <w:tblPr>
        <w:tblStyle w:val="TableGrid"/>
        <w:tblW w:w="7198" w:type="dxa"/>
        <w:tblLook w:val="04A0" w:firstRow="1" w:lastRow="0" w:firstColumn="1" w:lastColumn="0" w:noHBand="0" w:noVBand="1"/>
      </w:tblPr>
      <w:tblGrid>
        <w:gridCol w:w="3438"/>
        <w:gridCol w:w="1800"/>
        <w:gridCol w:w="1960"/>
      </w:tblGrid>
      <w:tr w:rsidR="00E7752A" w:rsidRPr="000273C2" w:rsidTr="00F42309">
        <w:trPr>
          <w:trHeight w:val="600"/>
        </w:trPr>
        <w:tc>
          <w:tcPr>
            <w:tcW w:w="3438" w:type="dxa"/>
            <w:shd w:val="clear" w:color="auto" w:fill="649FC4"/>
            <w:noWrap/>
            <w:hideMark/>
          </w:tcPr>
          <w:p w:rsidR="00E7752A" w:rsidRPr="000273C2" w:rsidRDefault="00E7752A" w:rsidP="00F42309">
            <w:pPr>
              <w:spacing w:after="200" w:line="276" w:lineRule="auto"/>
              <w:rPr>
                <w:rFonts w:eastAsiaTheme="minorHAnsi"/>
                <w:b/>
              </w:rPr>
            </w:pPr>
            <w:r w:rsidRPr="000273C2">
              <w:rPr>
                <w:rFonts w:eastAsiaTheme="minorHAnsi"/>
                <w:b/>
              </w:rPr>
              <w:t>Post-discontinuation regimen</w:t>
            </w:r>
          </w:p>
        </w:tc>
        <w:tc>
          <w:tcPr>
            <w:tcW w:w="1800" w:type="dxa"/>
            <w:shd w:val="clear" w:color="auto" w:fill="649FC4"/>
            <w:hideMark/>
          </w:tcPr>
          <w:p w:rsidR="00E7752A" w:rsidRPr="000273C2" w:rsidRDefault="00E7752A" w:rsidP="00F42309">
            <w:pPr>
              <w:spacing w:after="200" w:line="276" w:lineRule="auto"/>
              <w:rPr>
                <w:rFonts w:eastAsiaTheme="minorHAnsi"/>
                <w:b/>
              </w:rPr>
            </w:pPr>
            <w:r w:rsidRPr="000273C2">
              <w:rPr>
                <w:rFonts w:eastAsiaTheme="minorHAnsi"/>
                <w:b/>
              </w:rPr>
              <w:t>Pembrolizumab + Chemotherapy</w:t>
            </w:r>
          </w:p>
        </w:tc>
        <w:tc>
          <w:tcPr>
            <w:tcW w:w="1960" w:type="dxa"/>
            <w:shd w:val="clear" w:color="auto" w:fill="649FC4"/>
            <w:hideMark/>
          </w:tcPr>
          <w:p w:rsidR="00E7752A" w:rsidRPr="000273C2" w:rsidRDefault="00E7752A" w:rsidP="00F42309">
            <w:pPr>
              <w:spacing w:after="200" w:line="276" w:lineRule="auto"/>
              <w:rPr>
                <w:rFonts w:eastAsiaTheme="minorHAnsi"/>
                <w:b/>
              </w:rPr>
            </w:pPr>
            <w:r w:rsidRPr="000273C2">
              <w:rPr>
                <w:rFonts w:eastAsiaTheme="minorHAnsi"/>
                <w:b/>
              </w:rPr>
              <w:t>Chemotherapy</w:t>
            </w:r>
          </w:p>
        </w:tc>
      </w:tr>
      <w:tr w:rsidR="00E7752A" w:rsidRPr="000273C2" w:rsidTr="00951913">
        <w:trPr>
          <w:trHeight w:hRule="exact" w:val="648"/>
        </w:trPr>
        <w:tc>
          <w:tcPr>
            <w:tcW w:w="3438" w:type="dxa"/>
            <w:hideMark/>
          </w:tcPr>
          <w:p w:rsidR="00E7752A" w:rsidRPr="000273C2" w:rsidRDefault="00E7752A" w:rsidP="00F42309">
            <w:pPr>
              <w:spacing w:after="200" w:line="276" w:lineRule="auto"/>
              <w:rPr>
                <w:rFonts w:eastAsiaTheme="minorHAnsi"/>
                <w:b/>
                <w:bCs/>
              </w:rPr>
            </w:pPr>
            <w:r w:rsidRPr="000273C2">
              <w:rPr>
                <w:rFonts w:eastAsiaTheme="minorHAnsi"/>
                <w:b/>
                <w:bCs/>
              </w:rPr>
              <w:t>% receiving subsequent therapy in discontinued patients</w:t>
            </w:r>
          </w:p>
        </w:tc>
        <w:tc>
          <w:tcPr>
            <w:tcW w:w="1800" w:type="dxa"/>
            <w:noWrap/>
            <w:hideMark/>
          </w:tcPr>
          <w:p w:rsidR="00E7752A" w:rsidRPr="000273C2" w:rsidRDefault="00E7752A" w:rsidP="00F42309">
            <w:pPr>
              <w:spacing w:after="200" w:line="276" w:lineRule="auto"/>
              <w:rPr>
                <w:rFonts w:eastAsiaTheme="minorHAnsi"/>
              </w:rPr>
            </w:pPr>
            <w:r w:rsidRPr="000273C2">
              <w:rPr>
                <w:rFonts w:eastAsiaTheme="minorHAnsi"/>
              </w:rPr>
              <w:t>45.8%</w:t>
            </w:r>
          </w:p>
        </w:tc>
        <w:tc>
          <w:tcPr>
            <w:tcW w:w="1960" w:type="dxa"/>
            <w:noWrap/>
            <w:hideMark/>
          </w:tcPr>
          <w:p w:rsidR="00E7752A" w:rsidRPr="000273C2" w:rsidRDefault="00E7752A" w:rsidP="00F42309">
            <w:pPr>
              <w:spacing w:after="200" w:line="276" w:lineRule="auto"/>
              <w:rPr>
                <w:rFonts w:eastAsiaTheme="minorHAnsi"/>
              </w:rPr>
            </w:pPr>
            <w:r w:rsidRPr="000273C2">
              <w:rPr>
                <w:rFonts w:eastAsiaTheme="minorHAnsi"/>
              </w:rPr>
              <w:t>56.5%</w:t>
            </w:r>
          </w:p>
        </w:tc>
      </w:tr>
      <w:tr w:rsidR="00E7752A" w:rsidRPr="000273C2" w:rsidTr="00951913">
        <w:trPr>
          <w:trHeight w:hRule="exact" w:val="288"/>
        </w:trPr>
        <w:tc>
          <w:tcPr>
            <w:tcW w:w="3438" w:type="dxa"/>
            <w:noWrap/>
          </w:tcPr>
          <w:p w:rsidR="00E7752A" w:rsidRPr="000273C2" w:rsidRDefault="00E7752A" w:rsidP="00F42309">
            <w:pPr>
              <w:spacing w:after="200" w:line="276" w:lineRule="auto"/>
              <w:rPr>
                <w:rFonts w:eastAsiaTheme="minorHAnsi"/>
                <w:b/>
                <w:bCs/>
              </w:rPr>
            </w:pPr>
          </w:p>
        </w:tc>
        <w:tc>
          <w:tcPr>
            <w:tcW w:w="1800" w:type="dxa"/>
            <w:noWrap/>
          </w:tcPr>
          <w:p w:rsidR="00E7752A" w:rsidRPr="000273C2" w:rsidRDefault="00E7752A" w:rsidP="00F42309">
            <w:pPr>
              <w:spacing w:after="200" w:line="276" w:lineRule="auto"/>
              <w:rPr>
                <w:rFonts w:eastAsiaTheme="minorHAnsi"/>
              </w:rPr>
            </w:pPr>
          </w:p>
        </w:tc>
        <w:tc>
          <w:tcPr>
            <w:tcW w:w="1960" w:type="dxa"/>
            <w:noWrap/>
          </w:tcPr>
          <w:p w:rsidR="00E7752A" w:rsidRPr="000273C2" w:rsidRDefault="00E7752A" w:rsidP="00F42309">
            <w:pPr>
              <w:spacing w:after="200" w:line="276" w:lineRule="auto"/>
              <w:rPr>
                <w:rFonts w:eastAsiaTheme="minorHAnsi"/>
              </w:rPr>
            </w:pPr>
          </w:p>
        </w:tc>
      </w:tr>
      <w:tr w:rsidR="00E7752A" w:rsidRPr="000273C2" w:rsidTr="00951913">
        <w:trPr>
          <w:gridAfter w:val="1"/>
          <w:wAfter w:w="1960" w:type="dxa"/>
          <w:trHeight w:hRule="exact" w:val="360"/>
        </w:trPr>
        <w:tc>
          <w:tcPr>
            <w:tcW w:w="3438" w:type="dxa"/>
            <w:hideMark/>
          </w:tcPr>
          <w:p w:rsidR="00E7752A" w:rsidRPr="000273C2" w:rsidRDefault="00951913" w:rsidP="00F42309">
            <w:pPr>
              <w:spacing w:after="200" w:line="276" w:lineRule="auto"/>
              <w:rPr>
                <w:rFonts w:eastAsiaTheme="minorHAnsi"/>
                <w:b/>
                <w:bCs/>
              </w:rPr>
            </w:pPr>
            <w:r>
              <w:rPr>
                <w:rFonts w:eastAsiaTheme="minorHAnsi"/>
                <w:b/>
              </w:rPr>
              <w:t>distribution of 2nd line</w:t>
            </w:r>
            <w:r w:rsidR="00E7752A" w:rsidRPr="000273C2">
              <w:rPr>
                <w:rFonts w:eastAsiaTheme="minorHAnsi"/>
                <w:b/>
              </w:rPr>
              <w:t xml:space="preserve"> therapies</w:t>
            </w:r>
          </w:p>
        </w:tc>
        <w:tc>
          <w:tcPr>
            <w:tcW w:w="1800" w:type="dxa"/>
            <w:noWrap/>
            <w:hideMark/>
          </w:tcPr>
          <w:p w:rsidR="00E7752A" w:rsidRPr="000273C2" w:rsidRDefault="00E7752A" w:rsidP="00F42309">
            <w:pPr>
              <w:spacing w:after="200" w:line="276" w:lineRule="auto"/>
              <w:rPr>
                <w:rFonts w:eastAsiaTheme="minorHAnsi"/>
              </w:rPr>
            </w:pPr>
          </w:p>
        </w:tc>
      </w:tr>
      <w:tr w:rsidR="00E7752A" w:rsidRPr="000273C2" w:rsidTr="00951913">
        <w:trPr>
          <w:trHeight w:hRule="exact" w:val="360"/>
        </w:trPr>
        <w:tc>
          <w:tcPr>
            <w:tcW w:w="3438" w:type="dxa"/>
            <w:noWrap/>
            <w:hideMark/>
          </w:tcPr>
          <w:p w:rsidR="00E7752A" w:rsidRPr="000273C2" w:rsidRDefault="00E7752A" w:rsidP="00F42309">
            <w:pPr>
              <w:spacing w:after="200" w:line="276" w:lineRule="auto"/>
              <w:rPr>
                <w:rFonts w:eastAsiaTheme="minorHAnsi"/>
              </w:rPr>
            </w:pPr>
            <w:r w:rsidRPr="000273C2">
              <w:rPr>
                <w:rFonts w:eastAsiaTheme="minorHAnsi"/>
              </w:rPr>
              <w:t>carboplatin + pemetrexed</w:t>
            </w:r>
          </w:p>
        </w:tc>
        <w:tc>
          <w:tcPr>
            <w:tcW w:w="1800" w:type="dxa"/>
            <w:noWrap/>
            <w:hideMark/>
          </w:tcPr>
          <w:p w:rsidR="00E7752A" w:rsidRPr="000273C2" w:rsidRDefault="00E7752A" w:rsidP="00F42309">
            <w:pPr>
              <w:spacing w:after="200" w:line="276" w:lineRule="auto"/>
              <w:rPr>
                <w:rFonts w:eastAsiaTheme="minorHAnsi"/>
              </w:rPr>
            </w:pPr>
            <w:r w:rsidRPr="000273C2">
              <w:rPr>
                <w:rFonts w:eastAsiaTheme="minorHAnsi"/>
              </w:rPr>
              <w:t>17.9%</w:t>
            </w:r>
          </w:p>
        </w:tc>
        <w:tc>
          <w:tcPr>
            <w:tcW w:w="1960" w:type="dxa"/>
            <w:noWrap/>
            <w:hideMark/>
          </w:tcPr>
          <w:p w:rsidR="00E7752A" w:rsidRPr="000273C2" w:rsidRDefault="00E7752A" w:rsidP="00F42309">
            <w:pPr>
              <w:spacing w:after="200" w:line="276" w:lineRule="auto"/>
              <w:rPr>
                <w:rFonts w:eastAsiaTheme="minorHAnsi"/>
              </w:rPr>
            </w:pPr>
          </w:p>
        </w:tc>
      </w:tr>
      <w:tr w:rsidR="00E7752A" w:rsidRPr="000273C2" w:rsidTr="00951913">
        <w:trPr>
          <w:trHeight w:hRule="exact" w:val="360"/>
        </w:trPr>
        <w:tc>
          <w:tcPr>
            <w:tcW w:w="3438" w:type="dxa"/>
            <w:noWrap/>
            <w:hideMark/>
          </w:tcPr>
          <w:p w:rsidR="00E7752A" w:rsidRPr="000273C2" w:rsidRDefault="00E7752A" w:rsidP="00F42309">
            <w:pPr>
              <w:spacing w:after="200" w:line="276" w:lineRule="auto"/>
              <w:rPr>
                <w:rFonts w:eastAsiaTheme="minorHAnsi"/>
              </w:rPr>
            </w:pPr>
            <w:r w:rsidRPr="000273C2">
              <w:rPr>
                <w:rFonts w:eastAsiaTheme="minorHAnsi"/>
              </w:rPr>
              <w:t>docetaxel</w:t>
            </w:r>
          </w:p>
        </w:tc>
        <w:tc>
          <w:tcPr>
            <w:tcW w:w="1800" w:type="dxa"/>
            <w:noWrap/>
            <w:hideMark/>
          </w:tcPr>
          <w:p w:rsidR="00E7752A" w:rsidRPr="000273C2" w:rsidRDefault="00E7752A" w:rsidP="00F42309">
            <w:pPr>
              <w:spacing w:after="200" w:line="276" w:lineRule="auto"/>
              <w:rPr>
                <w:rFonts w:eastAsiaTheme="minorHAnsi"/>
              </w:rPr>
            </w:pPr>
            <w:r w:rsidRPr="000273C2">
              <w:rPr>
                <w:rFonts w:eastAsiaTheme="minorHAnsi"/>
              </w:rPr>
              <w:t>66.1%</w:t>
            </w:r>
          </w:p>
        </w:tc>
        <w:tc>
          <w:tcPr>
            <w:tcW w:w="1960" w:type="dxa"/>
            <w:noWrap/>
            <w:hideMark/>
          </w:tcPr>
          <w:p w:rsidR="00E7752A" w:rsidRPr="000273C2" w:rsidRDefault="00E7752A" w:rsidP="00F42309">
            <w:pPr>
              <w:spacing w:after="200" w:line="276" w:lineRule="auto"/>
              <w:rPr>
                <w:rFonts w:eastAsiaTheme="minorHAnsi"/>
              </w:rPr>
            </w:pPr>
            <w:r w:rsidRPr="000273C2">
              <w:rPr>
                <w:rFonts w:eastAsiaTheme="minorHAnsi"/>
              </w:rPr>
              <w:t>13.5%</w:t>
            </w:r>
          </w:p>
        </w:tc>
      </w:tr>
      <w:tr w:rsidR="00E7752A" w:rsidRPr="000273C2" w:rsidTr="00951913">
        <w:trPr>
          <w:trHeight w:hRule="exact" w:val="360"/>
        </w:trPr>
        <w:tc>
          <w:tcPr>
            <w:tcW w:w="3438" w:type="dxa"/>
            <w:noWrap/>
            <w:hideMark/>
          </w:tcPr>
          <w:p w:rsidR="00E7752A" w:rsidRPr="000273C2" w:rsidRDefault="00E7752A" w:rsidP="00F42309">
            <w:pPr>
              <w:spacing w:after="200" w:line="276" w:lineRule="auto"/>
              <w:rPr>
                <w:rFonts w:eastAsiaTheme="minorHAnsi"/>
              </w:rPr>
            </w:pPr>
            <w:r w:rsidRPr="000273C2">
              <w:rPr>
                <w:rFonts w:eastAsiaTheme="minorHAnsi"/>
              </w:rPr>
              <w:t>nivolumab</w:t>
            </w:r>
          </w:p>
        </w:tc>
        <w:tc>
          <w:tcPr>
            <w:tcW w:w="1800" w:type="dxa"/>
            <w:noWrap/>
            <w:hideMark/>
          </w:tcPr>
          <w:p w:rsidR="00E7752A" w:rsidRPr="000273C2" w:rsidRDefault="00E7752A" w:rsidP="00F42309">
            <w:pPr>
              <w:spacing w:after="200" w:line="276" w:lineRule="auto"/>
              <w:rPr>
                <w:rFonts w:eastAsiaTheme="minorHAnsi"/>
              </w:rPr>
            </w:pPr>
            <w:r w:rsidRPr="000273C2">
              <w:rPr>
                <w:rFonts w:eastAsiaTheme="minorHAnsi"/>
              </w:rPr>
              <w:t>8.8%</w:t>
            </w:r>
          </w:p>
        </w:tc>
        <w:tc>
          <w:tcPr>
            <w:tcW w:w="1960" w:type="dxa"/>
            <w:noWrap/>
            <w:hideMark/>
          </w:tcPr>
          <w:p w:rsidR="00E7752A" w:rsidRPr="000273C2" w:rsidRDefault="00E7752A" w:rsidP="00F42309">
            <w:pPr>
              <w:spacing w:after="200" w:line="276" w:lineRule="auto"/>
              <w:rPr>
                <w:rFonts w:eastAsiaTheme="minorHAnsi"/>
              </w:rPr>
            </w:pPr>
            <w:r w:rsidRPr="000273C2">
              <w:rPr>
                <w:rFonts w:eastAsiaTheme="minorHAnsi"/>
              </w:rPr>
              <w:t>14.6%</w:t>
            </w:r>
          </w:p>
        </w:tc>
      </w:tr>
      <w:tr w:rsidR="00E7752A" w:rsidRPr="000273C2" w:rsidTr="00951913">
        <w:trPr>
          <w:trHeight w:hRule="exact" w:val="360"/>
        </w:trPr>
        <w:tc>
          <w:tcPr>
            <w:tcW w:w="3438" w:type="dxa"/>
            <w:noWrap/>
            <w:hideMark/>
          </w:tcPr>
          <w:p w:rsidR="00E7752A" w:rsidRPr="000273C2" w:rsidRDefault="00E7752A" w:rsidP="00F42309">
            <w:pPr>
              <w:spacing w:after="200" w:line="276" w:lineRule="auto"/>
              <w:rPr>
                <w:rFonts w:eastAsiaTheme="minorHAnsi"/>
              </w:rPr>
            </w:pPr>
            <w:r w:rsidRPr="000273C2">
              <w:rPr>
                <w:rFonts w:eastAsiaTheme="minorHAnsi"/>
              </w:rPr>
              <w:t>pembrolizumab</w:t>
            </w:r>
          </w:p>
        </w:tc>
        <w:tc>
          <w:tcPr>
            <w:tcW w:w="1800" w:type="dxa"/>
            <w:noWrap/>
            <w:hideMark/>
          </w:tcPr>
          <w:p w:rsidR="00E7752A" w:rsidRPr="000273C2" w:rsidRDefault="00E7752A" w:rsidP="00F42309">
            <w:pPr>
              <w:spacing w:after="200" w:line="276" w:lineRule="auto"/>
              <w:rPr>
                <w:rFonts w:eastAsiaTheme="minorHAnsi"/>
              </w:rPr>
            </w:pPr>
            <w:r w:rsidRPr="000273C2">
              <w:rPr>
                <w:rFonts w:eastAsiaTheme="minorHAnsi"/>
              </w:rPr>
              <w:t>7.2%</w:t>
            </w:r>
          </w:p>
        </w:tc>
        <w:tc>
          <w:tcPr>
            <w:tcW w:w="1960" w:type="dxa"/>
            <w:noWrap/>
            <w:hideMark/>
          </w:tcPr>
          <w:p w:rsidR="00E7752A" w:rsidRPr="000273C2" w:rsidRDefault="00E7752A" w:rsidP="00F42309">
            <w:pPr>
              <w:spacing w:after="200" w:line="276" w:lineRule="auto"/>
              <w:rPr>
                <w:rFonts w:eastAsiaTheme="minorHAnsi"/>
              </w:rPr>
            </w:pPr>
            <w:r w:rsidRPr="000273C2">
              <w:rPr>
                <w:rFonts w:eastAsiaTheme="minorHAnsi"/>
              </w:rPr>
              <w:t>71.9%</w:t>
            </w:r>
          </w:p>
        </w:tc>
      </w:tr>
      <w:tr w:rsidR="00E7752A" w:rsidRPr="000273C2" w:rsidTr="00951913">
        <w:trPr>
          <w:trHeight w:hRule="exact" w:val="648"/>
        </w:trPr>
        <w:tc>
          <w:tcPr>
            <w:tcW w:w="3438" w:type="dxa"/>
            <w:noWrap/>
            <w:hideMark/>
          </w:tcPr>
          <w:p w:rsidR="00E7752A" w:rsidRPr="000273C2" w:rsidRDefault="00951913" w:rsidP="00F42309">
            <w:pPr>
              <w:spacing w:after="200" w:line="276" w:lineRule="auto"/>
              <w:rPr>
                <w:rFonts w:eastAsiaTheme="minorHAnsi"/>
                <w:b/>
                <w:bCs/>
              </w:rPr>
            </w:pPr>
            <w:r>
              <w:rPr>
                <w:rFonts w:eastAsiaTheme="minorHAnsi"/>
                <w:b/>
              </w:rPr>
              <w:t>% receiving 2</w:t>
            </w:r>
            <w:r w:rsidRPr="00951913">
              <w:rPr>
                <w:rFonts w:eastAsiaTheme="minorHAnsi"/>
                <w:b/>
                <w:vertAlign w:val="superscript"/>
              </w:rPr>
              <w:t>nd</w:t>
            </w:r>
            <w:r>
              <w:rPr>
                <w:rFonts w:eastAsiaTheme="minorHAnsi"/>
                <w:b/>
              </w:rPr>
              <w:t xml:space="preserve"> line</w:t>
            </w:r>
            <w:r w:rsidR="00E7752A" w:rsidRPr="000273C2">
              <w:rPr>
                <w:rFonts w:eastAsiaTheme="minorHAnsi"/>
                <w:b/>
              </w:rPr>
              <w:t xml:space="preserve"> maintenance therapy in discontinued patients</w:t>
            </w:r>
          </w:p>
        </w:tc>
        <w:tc>
          <w:tcPr>
            <w:tcW w:w="1800" w:type="dxa"/>
            <w:noWrap/>
            <w:hideMark/>
          </w:tcPr>
          <w:p w:rsidR="00E7752A" w:rsidRPr="000273C2" w:rsidRDefault="00E7752A" w:rsidP="00F42309">
            <w:pPr>
              <w:spacing w:after="200" w:line="276" w:lineRule="auto"/>
              <w:rPr>
                <w:rFonts w:eastAsiaTheme="minorHAnsi"/>
              </w:rPr>
            </w:pPr>
            <w:r w:rsidRPr="000273C2">
              <w:rPr>
                <w:rFonts w:eastAsiaTheme="minorHAnsi"/>
              </w:rPr>
              <w:t>2.2%</w:t>
            </w:r>
          </w:p>
        </w:tc>
        <w:tc>
          <w:tcPr>
            <w:tcW w:w="1960" w:type="dxa"/>
            <w:noWrap/>
            <w:hideMark/>
          </w:tcPr>
          <w:p w:rsidR="00E7752A" w:rsidRPr="000273C2" w:rsidRDefault="00E7752A" w:rsidP="00F42309">
            <w:pPr>
              <w:spacing w:after="200" w:line="276" w:lineRule="auto"/>
              <w:rPr>
                <w:rFonts w:eastAsiaTheme="minorHAnsi"/>
              </w:rPr>
            </w:pPr>
            <w:r w:rsidRPr="000273C2">
              <w:rPr>
                <w:rFonts w:eastAsiaTheme="minorHAnsi"/>
              </w:rPr>
              <w:t>0.0%</w:t>
            </w:r>
          </w:p>
        </w:tc>
      </w:tr>
      <w:tr w:rsidR="00E7752A" w:rsidRPr="000273C2" w:rsidTr="00951913">
        <w:trPr>
          <w:gridAfter w:val="1"/>
          <w:wAfter w:w="1960" w:type="dxa"/>
          <w:trHeight w:hRule="exact" w:val="648"/>
        </w:trPr>
        <w:tc>
          <w:tcPr>
            <w:tcW w:w="3438" w:type="dxa"/>
            <w:hideMark/>
          </w:tcPr>
          <w:p w:rsidR="00E7752A" w:rsidRPr="000273C2" w:rsidRDefault="00951913" w:rsidP="00F42309">
            <w:pPr>
              <w:spacing w:after="200" w:line="276" w:lineRule="auto"/>
              <w:rPr>
                <w:rFonts w:eastAsiaTheme="minorHAnsi"/>
                <w:b/>
                <w:bCs/>
              </w:rPr>
            </w:pPr>
            <w:r>
              <w:rPr>
                <w:rFonts w:eastAsiaTheme="minorHAnsi"/>
              </w:rPr>
              <w:t>distribution of 2</w:t>
            </w:r>
            <w:r w:rsidRPr="00951913">
              <w:rPr>
                <w:rFonts w:eastAsiaTheme="minorHAnsi"/>
                <w:vertAlign w:val="superscript"/>
              </w:rPr>
              <w:t>nd</w:t>
            </w:r>
            <w:r>
              <w:rPr>
                <w:rFonts w:eastAsiaTheme="minorHAnsi"/>
              </w:rPr>
              <w:t xml:space="preserve"> line</w:t>
            </w:r>
            <w:r w:rsidR="00E7752A" w:rsidRPr="000273C2">
              <w:rPr>
                <w:rFonts w:eastAsiaTheme="minorHAnsi"/>
              </w:rPr>
              <w:t xml:space="preserve"> maintenance therapy</w:t>
            </w:r>
          </w:p>
        </w:tc>
        <w:tc>
          <w:tcPr>
            <w:tcW w:w="1800" w:type="dxa"/>
            <w:noWrap/>
            <w:hideMark/>
          </w:tcPr>
          <w:p w:rsidR="00E7752A" w:rsidRPr="000273C2" w:rsidRDefault="00E7752A" w:rsidP="00F42309">
            <w:pPr>
              <w:spacing w:after="200" w:line="276" w:lineRule="auto"/>
              <w:rPr>
                <w:rFonts w:eastAsiaTheme="minorHAnsi"/>
              </w:rPr>
            </w:pPr>
          </w:p>
        </w:tc>
      </w:tr>
      <w:tr w:rsidR="00E7752A" w:rsidRPr="000273C2" w:rsidTr="00951913">
        <w:trPr>
          <w:trHeight w:hRule="exact" w:val="360"/>
        </w:trPr>
        <w:tc>
          <w:tcPr>
            <w:tcW w:w="3438" w:type="dxa"/>
            <w:noWrap/>
            <w:hideMark/>
          </w:tcPr>
          <w:p w:rsidR="00E7752A" w:rsidRPr="000273C2" w:rsidRDefault="00E7752A" w:rsidP="00F42309">
            <w:pPr>
              <w:spacing w:after="200" w:line="276" w:lineRule="auto"/>
              <w:rPr>
                <w:rFonts w:eastAsiaTheme="minorHAnsi"/>
              </w:rPr>
            </w:pPr>
            <w:r w:rsidRPr="000273C2">
              <w:rPr>
                <w:rFonts w:eastAsiaTheme="minorHAnsi"/>
              </w:rPr>
              <w:t>pemetrexed</w:t>
            </w:r>
          </w:p>
        </w:tc>
        <w:tc>
          <w:tcPr>
            <w:tcW w:w="1800" w:type="dxa"/>
            <w:noWrap/>
            <w:hideMark/>
          </w:tcPr>
          <w:p w:rsidR="00E7752A" w:rsidRPr="000273C2" w:rsidRDefault="00E7752A" w:rsidP="00F42309">
            <w:pPr>
              <w:spacing w:after="200" w:line="276" w:lineRule="auto"/>
              <w:rPr>
                <w:rFonts w:eastAsiaTheme="minorHAnsi"/>
              </w:rPr>
            </w:pPr>
            <w:r w:rsidRPr="000273C2">
              <w:rPr>
                <w:rFonts w:eastAsiaTheme="minorHAnsi"/>
              </w:rPr>
              <w:t>100.0%</w:t>
            </w:r>
          </w:p>
        </w:tc>
        <w:tc>
          <w:tcPr>
            <w:tcW w:w="1960" w:type="dxa"/>
            <w:noWrap/>
            <w:hideMark/>
          </w:tcPr>
          <w:p w:rsidR="00E7752A" w:rsidRPr="000273C2" w:rsidRDefault="00E7752A" w:rsidP="00F42309">
            <w:pPr>
              <w:spacing w:after="200" w:line="276" w:lineRule="auto"/>
              <w:rPr>
                <w:rFonts w:eastAsiaTheme="minorHAnsi"/>
              </w:rPr>
            </w:pPr>
            <w:r w:rsidRPr="000273C2">
              <w:rPr>
                <w:rFonts w:eastAsiaTheme="minorHAnsi"/>
              </w:rPr>
              <w:t>100.0%</w:t>
            </w:r>
          </w:p>
        </w:tc>
      </w:tr>
    </w:tbl>
    <w:p w:rsidR="00E7752A" w:rsidRPr="000273C2" w:rsidRDefault="00E7752A" w:rsidP="00E7752A">
      <w:pPr>
        <w:rPr>
          <w:b/>
        </w:rPr>
      </w:pPr>
    </w:p>
    <w:p w:rsidR="00951913" w:rsidRPr="000273C2" w:rsidRDefault="00951913" w:rsidP="00951913">
      <w:r w:rsidRPr="000273C2">
        <w:lastRenderedPageBreak/>
        <w:t xml:space="preserve">The percentage of patients who receive subsequent lines of therapy after treatment discontinuation (45.8% for pembrolizumab + chemotherapy and 56.5% for chemotherapy) was estimated from the KN189 trial.  </w:t>
      </w:r>
    </w:p>
    <w:p w:rsidR="00E7752A" w:rsidRPr="00951913" w:rsidRDefault="00951913" w:rsidP="00E7752A">
      <w:r w:rsidRPr="000273C2">
        <w:t xml:space="preserve">The estimated distribution of specific treatments post-discontinuation from the trial data is shown in Table </w:t>
      </w:r>
      <w:r>
        <w:t>S</w:t>
      </w:r>
      <w:r w:rsidRPr="000273C2">
        <w:t>5.   For simplicity, only 2</w:t>
      </w:r>
      <w:r w:rsidRPr="000273C2">
        <w:rPr>
          <w:vertAlign w:val="superscript"/>
        </w:rPr>
        <w:t>nd</w:t>
      </w:r>
      <w:r w:rsidRPr="000273C2">
        <w:t xml:space="preserve"> line treatments used by at least 5% of patients in each trial arm are explicitly modeled. For post-discontinuation use of pembrolizumab and nivolumab, given the relatively higher cost of these therapies, the exact proportion of patients with any use of each these treatments as subsequent therapy is modeled.  The percentages of patients receiving any other specific treatment are redistributed among the remaining most frequently used treatments to ensure that the total proportion receiving subsequent therapy in each arm is aligned with the trial data.  A small percentage of patients utilized treatments post-discontinuation which represented a component of the combined therapy to which they were randomized within the trial (e.g,, carboplatin + pemetrexed, or pembrolizumab for the pembrolizumab + chemotherapy arm).  As this treatment use occurred outside of the receipt of trial study drug, and the time on treatment for the randomized therapy specified within the model, the duration and costs were thus captured within these </w:t>
      </w:r>
      <w:r>
        <w:t xml:space="preserve">post-discontinuation analyses.  </w:t>
      </w:r>
      <w:r w:rsidRPr="000273C2">
        <w:t xml:space="preserve">While the costs of subsequent therapies are separately included in the model, OS and PFS impacts are assumed to be already reflected within the OS and PFS Kaplan-Meier data from the KN189 trial. </w:t>
      </w:r>
    </w:p>
    <w:p w:rsidR="00E7752A" w:rsidRDefault="00E7752A" w:rsidP="00E7752A">
      <w:r w:rsidRPr="002F108D">
        <w:rPr>
          <w:lang w:val="en-GB"/>
        </w:rPr>
        <w:t xml:space="preserve">The </w:t>
      </w:r>
      <w:r>
        <w:rPr>
          <w:lang w:val="en-GB"/>
        </w:rPr>
        <w:t>modelled number</w:t>
      </w:r>
      <w:r w:rsidRPr="002F108D">
        <w:rPr>
          <w:lang w:val="en-GB"/>
        </w:rPr>
        <w:t xml:space="preserve"> of</w:t>
      </w:r>
      <w:r>
        <w:rPr>
          <w:lang w:val="en-GB"/>
        </w:rPr>
        <w:t xml:space="preserve"> days of use of additional</w:t>
      </w:r>
      <w:r w:rsidRPr="002F108D">
        <w:rPr>
          <w:lang w:val="en-GB"/>
        </w:rPr>
        <w:t xml:space="preserve"> </w:t>
      </w:r>
      <w:r>
        <w:rPr>
          <w:lang w:val="en-GB"/>
        </w:rPr>
        <w:t>therapies following discontinuation of initial treatment (either pembrolizumab + chemotherapy, or chemotherapy)</w:t>
      </w:r>
      <w:r w:rsidRPr="002F108D">
        <w:rPr>
          <w:lang w:val="en-GB"/>
        </w:rPr>
        <w:t xml:space="preserve"> is shown in</w:t>
      </w:r>
      <w:r>
        <w:rPr>
          <w:lang w:val="en-GB"/>
        </w:rPr>
        <w:t xml:space="preserve"> Table </w:t>
      </w:r>
      <w:r w:rsidR="00951913">
        <w:rPr>
          <w:lang w:val="en-GB"/>
        </w:rPr>
        <w:t>S</w:t>
      </w:r>
      <w:r>
        <w:rPr>
          <w:lang w:val="en-GB"/>
        </w:rPr>
        <w:t>6</w:t>
      </w:r>
      <w:r w:rsidRPr="002F108D">
        <w:rPr>
          <w:lang w:val="en-GB"/>
        </w:rPr>
        <w:t xml:space="preserve">. </w:t>
      </w:r>
      <w:r>
        <w:rPr>
          <w:lang w:val="en-GB"/>
        </w:rPr>
        <w:t xml:space="preserve"> With a median duration of follow-up in KN189 of 13.0 months, the duration of post-discontinuation treatment would be under-estimated due to right-censoring.  For example, an average of just 66 days and 88 days of post-discontinuation anti-PD1 therapy use were observed for the pembrolizumab + chemotherapy and chemotherapy arms, respectively.  Therefore, t</w:t>
      </w:r>
      <w:r w:rsidRPr="002F108D">
        <w:rPr>
          <w:lang w:val="en-GB"/>
        </w:rPr>
        <w:t>he average treatment duration</w:t>
      </w:r>
      <w:r>
        <w:rPr>
          <w:lang w:val="en-GB"/>
        </w:rPr>
        <w:t xml:space="preserve"> for each second line plus regimen</w:t>
      </w:r>
      <w:r w:rsidRPr="002F108D">
        <w:rPr>
          <w:lang w:val="en-GB"/>
        </w:rPr>
        <w:t xml:space="preserve"> </w:t>
      </w:r>
      <w:r>
        <w:rPr>
          <w:lang w:val="en-GB"/>
        </w:rPr>
        <w:t>is instead estimated from the phase 2 KN021G trial of pembrolizumab + carboplatin + pemetrexed vs. carboplatin + pemetrexed (May 31, 2017 data cut-off), reflecting the initial trial from which pembrolizumab in combination with chemotherapy was approved for metastatic non-squamous NSCLC patients in the U.S</w:t>
      </w:r>
      <w:r>
        <w:t>.</w:t>
      </w:r>
      <w:r>
        <w:fldChar w:fldCharType="begin"/>
      </w:r>
      <w:r w:rsidR="00951913">
        <w:instrText xml:space="preserve"> ADDIN REFMGR.CITE &lt;Refman&gt;&lt;Cite&gt;&lt;Author&gt;Langer&lt;/Author&gt;&lt;Year&gt;2016&lt;/Year&gt;&lt;RecNum&gt;87&lt;/RecNum&gt;&lt;IDText&gt;Carboplatin and pemetrexed with or without pembrolizumab for advanced, non-squamous non-small-cell lung cancer: a randomised, phase 2 cohort of the open-label KEYNOTE-021 study&lt;/IDText&gt;&lt;MDL Ref_Type="Journal"&gt;&lt;Ref_Type&gt;Journal&lt;/Ref_Type&gt;&lt;Ref_ID&gt;87&lt;/Ref_ID&gt;&lt;Title_Primary&gt;Carboplatin and pemetrexed with or without pembrolizumab for advanced, non-squamous non-small-cell lung cancer: a randomised, phase 2 cohort of the open-label KEYNOTE-021 study&lt;/Title_Primary&gt;&lt;Authors_Primary&gt;Langer,C.J.&lt;/Authors_Primary&gt;&lt;Authors_Primary&gt;Gadgeel,S.M.&lt;/Authors_Primary&gt;&lt;Authors_Primary&gt;Borghaei,H.&lt;/Authors_Primary&gt;&lt;Authors_Primary&gt;Papadimitrakopoulou,V.A.&lt;/Authors_Primary&gt;&lt;Authors_Primary&gt;Patnaik,A.&lt;/Authors_Primary&gt;&lt;Authors_Primary&gt;Powell,S.F.&lt;/Authors_Primary&gt;&lt;Authors_Primary&gt;Gentzler,R.D.&lt;/Authors_Primary&gt;&lt;Authors_Primary&gt;Martins,R.G.&lt;/Authors_Primary&gt;&lt;Authors_Primary&gt;Stevenson,J.P.&lt;/Authors_Primary&gt;&lt;Authors_Primary&gt;Jalal,S.I.&lt;/Authors_Primary&gt;&lt;Authors_Primary&gt;Panwalkar,A.&lt;/Authors_Primary&gt;&lt;Authors_Primary&gt;Yang,J.C.&lt;/Authors_Primary&gt;&lt;Authors_Primary&gt;Gubens,M.&lt;/Authors_Primary&gt;&lt;Authors_Primary&gt;Sequist,L.V.&lt;/Authors_Primary&gt;&lt;Authors_Primary&gt;Awad,M.M.&lt;/Authors_Primary&gt;&lt;Authors_Primary&gt;Fiore,J.&lt;/Authors_Primary&gt;&lt;Authors_Primary&gt;Ge,Y.&lt;/Authors_Primary&gt;&lt;Authors_Primary&gt;Raftopoulos,H.&lt;/Authors_Primary&gt;&lt;Authors_Primary&gt;Gandhi,L.&lt;/Authors_Primary&gt;&lt;Date_Primary&gt;2016/11&lt;/Date_Primary&gt;&lt;Keywords&gt;administration &amp;amp; dosage&lt;/Keywords&gt;&lt;Keywords&gt;adverse effects&lt;/Keywords&gt;&lt;Keywords&gt;Aged&lt;/Keywords&gt;&lt;Keywords&gt;Antibodies&lt;/Keywords&gt;&lt;Keywords&gt;Antibodies,Monoclonal,Humanized&lt;/Keywords&gt;&lt;Keywords&gt;Antineoplastic Combined Chemotherapy Protocols&lt;/Keywords&gt;&lt;Keywords&gt;Area Under Curve&lt;/Keywords&gt;&lt;Keywords&gt;Carboplatin&lt;/Keywords&gt;&lt;Keywords&gt;Carcinoma,Non-Small-Cell Lung&lt;/Keywords&gt;&lt;Keywords&gt;drug therapy&lt;/Keywords&gt;&lt;Keywords&gt;Female&lt;/Keywords&gt;&lt;Keywords&gt;Humans&lt;/Keywords&gt;&lt;Keywords&gt;Lung Neoplasms&lt;/Keywords&gt;&lt;Keywords&gt;Male&lt;/Keywords&gt;&lt;Keywords&gt;methods&lt;/Keywords&gt;&lt;Keywords&gt;Middle Aged&lt;/Keywords&gt;&lt;Keywords&gt;Pemetrexed&lt;/Keywords&gt;&lt;Keywords&gt;therapeutic use&lt;/Keywords&gt;&lt;Keywords&gt;therapy&lt;/Keywords&gt;&lt;Reprint&gt;Not in File&lt;/Reprint&gt;&lt;Start_Page&gt;1497&lt;/Start_Page&gt;&lt;End_Page&gt;1508&lt;/End_Page&gt;&lt;Periodical&gt;Lancet Oncol.&lt;/Periodical&gt;&lt;Volume&gt;17&lt;/Volume&gt;&lt;Issue&gt;11&lt;/Issue&gt;&lt;Address&gt;Abramson Cancer Center of the University of Pennsylvania, Philadelphia, PA, USA. Electronic address: corey.langer@uphs.upenn.edu&amp;#xA;Karmanos Cancer Institute and Wayne State University, Detroit, MI, USA&amp;#xA;Fox Chase Cancer Center, Philadelphia, PA, USA&amp;#xA;The University of Texas MD Anderson Cancer Center, Houston, TX, USA&amp;#xA;South Texas Accelerated Research Therapeutics, San Antonio, TX, USA&amp;#xA;Sanford Cancer Center, Sioux Falls, SD, USA&amp;#xA;University of Virginia, Charlottesville, VA, USA&amp;#xA;University of Washington and Seattle Cancer Care Alliance, Seattle, WA, USA&amp;#xA;Cleveland Clinic, Cleveland, OH, USA&amp;#xA;Indiana University School of Medicine, Indianapolis, IN, USA&amp;#xA;Sanford Roger Maris Cancer Center, Fargo, ND, USA&amp;#xA;National Taiwan University Hospital and National Taiwan University Cancer Center, Taipei, Taiwan&amp;#xA;University of California, San Francisco, San Francisco, CA, USA&amp;#xA;Massachusetts General Hospital Cancer Center and Harvard Medical School, Boston, MA, USA&amp;#xA;Dana-Farber Cancer Institute, Boston, MA, USA&amp;#xA;Merck &amp;amp; Co Inc, Kenilworth, NJ, USA&amp;#xA;Merck &amp;amp; Co Inc, Kenilworth, NJ, USA&amp;#xA;Merck &amp;amp; Co Inc, Kenilworth, NJ, USA&amp;#xA;Dana-Farber Cancer Institute, Boston, MA, USA; Laura and Isaac Perlmutter Cancer Center, NYU Langone Medical Center, New York, NY, USA&lt;/Address&gt;&lt;Web_URL&gt;PM:27745820&lt;/Web_URL&gt;&lt;ZZ_JournalStdAbbrev&gt;&lt;f name="System"&gt;Lancet Oncol.&lt;/f&gt;&lt;/ZZ_JournalStdAbbrev&gt;&lt;ZZ_WorkformID&gt;1&lt;/ZZ_WorkformID&gt;&lt;/MDL&gt;&lt;/Cite&gt;&lt;/Refman&gt;</w:instrText>
      </w:r>
      <w:r>
        <w:fldChar w:fldCharType="separate"/>
      </w:r>
      <w:r w:rsidR="00951913" w:rsidRPr="00951913">
        <w:rPr>
          <w:vertAlign w:val="superscript"/>
        </w:rPr>
        <w:t>2</w:t>
      </w:r>
      <w:r>
        <w:fldChar w:fldCharType="end"/>
      </w:r>
      <w:r>
        <w:t xml:space="preserve">  With a median follow-up of 18.7 months, as seen in the table, a more extensive duration of second-line use of anti-PD1 therapies could be observed.  In the case of maintenance therapy, due to insufficient numbers of patients within this post-discontinuation category in the KN021G trial, treatment duration was estimated from KN189, though values are likely conservative.   </w:t>
      </w:r>
    </w:p>
    <w:p w:rsidR="00E7752A" w:rsidRPr="00951913" w:rsidRDefault="00951913" w:rsidP="00E7752A">
      <w:pPr>
        <w:pStyle w:val="Caption"/>
        <w:keepNext/>
        <w:spacing w:line="276" w:lineRule="auto"/>
        <w:rPr>
          <w:b w:val="0"/>
          <w:color w:val="auto"/>
          <w:sz w:val="22"/>
          <w:szCs w:val="22"/>
        </w:rPr>
      </w:pPr>
      <w:bookmarkStart w:id="2" w:name="_Toc467052766"/>
      <w:r w:rsidRPr="00951913">
        <w:rPr>
          <w:b w:val="0"/>
          <w:color w:val="auto"/>
          <w:sz w:val="22"/>
          <w:szCs w:val="22"/>
        </w:rPr>
        <w:t xml:space="preserve">Table S6: </w:t>
      </w:r>
      <w:r w:rsidR="00E7752A" w:rsidRPr="00951913">
        <w:rPr>
          <w:b w:val="0"/>
          <w:color w:val="auto"/>
          <w:sz w:val="22"/>
          <w:szCs w:val="22"/>
        </w:rPr>
        <w:t>Duration (in days) of 2</w:t>
      </w:r>
      <w:r w:rsidR="00E7752A" w:rsidRPr="00951913">
        <w:rPr>
          <w:b w:val="0"/>
          <w:color w:val="auto"/>
          <w:sz w:val="22"/>
          <w:szCs w:val="22"/>
          <w:vertAlign w:val="superscript"/>
        </w:rPr>
        <w:t>nd</w:t>
      </w:r>
      <w:r w:rsidR="00E7752A" w:rsidRPr="00951913">
        <w:rPr>
          <w:b w:val="0"/>
          <w:color w:val="auto"/>
          <w:sz w:val="22"/>
          <w:szCs w:val="22"/>
        </w:rPr>
        <w:t xml:space="preserve"> line-plus treatment regimens </w:t>
      </w:r>
      <w:bookmarkEnd w:id="2"/>
      <w:r w:rsidR="00E7752A" w:rsidRPr="00951913">
        <w:rPr>
          <w:b w:val="0"/>
          <w:color w:val="auto"/>
          <w:sz w:val="22"/>
          <w:szCs w:val="22"/>
        </w:rPr>
        <w:t xml:space="preserve"> </w:t>
      </w:r>
    </w:p>
    <w:tbl>
      <w:tblPr>
        <w:tblStyle w:val="TableGrid"/>
        <w:tblW w:w="0" w:type="auto"/>
        <w:tblLayout w:type="fixed"/>
        <w:tblLook w:val="04A0" w:firstRow="1" w:lastRow="0" w:firstColumn="1" w:lastColumn="0" w:noHBand="0" w:noVBand="1"/>
      </w:tblPr>
      <w:tblGrid>
        <w:gridCol w:w="3798"/>
        <w:gridCol w:w="2430"/>
        <w:gridCol w:w="1620"/>
      </w:tblGrid>
      <w:tr w:rsidR="00E7752A" w:rsidRPr="00CB0C50" w:rsidTr="00F42309">
        <w:trPr>
          <w:trHeight w:val="353"/>
        </w:trPr>
        <w:tc>
          <w:tcPr>
            <w:tcW w:w="3798" w:type="dxa"/>
            <w:tcBorders>
              <w:top w:val="double" w:sz="4" w:space="0" w:color="auto"/>
              <w:left w:val="nil"/>
              <w:bottom w:val="double" w:sz="4" w:space="0" w:color="auto"/>
            </w:tcBorders>
            <w:shd w:val="clear" w:color="auto" w:fill="31849B" w:themeFill="accent5" w:themeFillShade="BF"/>
            <w:vAlign w:val="center"/>
          </w:tcPr>
          <w:p w:rsidR="00E7752A" w:rsidRPr="00CB0C50" w:rsidRDefault="00E7752A" w:rsidP="00F42309">
            <w:pPr>
              <w:rPr>
                <w:rFonts w:cstheme="minorHAnsi"/>
                <w:b/>
                <w:color w:val="FFFFFF" w:themeColor="background1"/>
                <w:lang w:eastAsia="ja-JP"/>
              </w:rPr>
            </w:pPr>
            <w:r w:rsidRPr="00CB0C50">
              <w:rPr>
                <w:rFonts w:cstheme="minorHAnsi"/>
                <w:b/>
                <w:color w:val="FFFFFF" w:themeColor="background1"/>
                <w:lang w:eastAsia="ja-JP"/>
              </w:rPr>
              <w:t>Post-discontinuation regimen</w:t>
            </w:r>
          </w:p>
        </w:tc>
        <w:tc>
          <w:tcPr>
            <w:tcW w:w="2430" w:type="dxa"/>
            <w:tcBorders>
              <w:top w:val="double" w:sz="4" w:space="0" w:color="auto"/>
              <w:bottom w:val="double" w:sz="4" w:space="0" w:color="auto"/>
            </w:tcBorders>
            <w:shd w:val="clear" w:color="auto" w:fill="31849B" w:themeFill="accent5" w:themeFillShade="BF"/>
            <w:vAlign w:val="center"/>
          </w:tcPr>
          <w:p w:rsidR="00E7752A" w:rsidRPr="00F16F11" w:rsidRDefault="00E7752A" w:rsidP="00F42309">
            <w:pPr>
              <w:jc w:val="center"/>
              <w:rPr>
                <w:rFonts w:eastAsia="Times New Roman" w:cstheme="minorHAnsi"/>
                <w:b/>
                <w:color w:val="FFFFFF" w:themeColor="background1"/>
                <w:lang w:eastAsia="fr-FR"/>
              </w:rPr>
            </w:pPr>
            <w:r w:rsidRPr="00CB0C50">
              <w:rPr>
                <w:rFonts w:eastAsia="Times New Roman" w:cstheme="minorHAnsi"/>
                <w:b/>
                <w:color w:val="FFFFFF" w:themeColor="background1"/>
                <w:lang w:eastAsia="fr-FR"/>
              </w:rPr>
              <w:t>Pembrolizumab</w:t>
            </w:r>
            <w:r>
              <w:rPr>
                <w:rFonts w:eastAsia="Times New Roman" w:cstheme="minorHAnsi"/>
                <w:b/>
                <w:color w:val="FFFFFF" w:themeColor="background1"/>
                <w:lang w:eastAsia="fr-FR"/>
              </w:rPr>
              <w:t xml:space="preserve"> + chemotherapy arm (days)</w:t>
            </w:r>
          </w:p>
        </w:tc>
        <w:tc>
          <w:tcPr>
            <w:tcW w:w="1620" w:type="dxa"/>
            <w:tcBorders>
              <w:top w:val="double" w:sz="4" w:space="0" w:color="auto"/>
              <w:bottom w:val="double" w:sz="4" w:space="0" w:color="auto"/>
              <w:right w:val="nil"/>
            </w:tcBorders>
            <w:shd w:val="clear" w:color="auto" w:fill="31849B" w:themeFill="accent5" w:themeFillShade="BF"/>
            <w:vAlign w:val="center"/>
          </w:tcPr>
          <w:p w:rsidR="00E7752A" w:rsidRPr="00CB0C50" w:rsidRDefault="00E7752A" w:rsidP="00F42309">
            <w:pPr>
              <w:jc w:val="center"/>
              <w:rPr>
                <w:rFonts w:cstheme="minorHAnsi"/>
                <w:b/>
                <w:color w:val="FFFFFF" w:themeColor="background1"/>
                <w:lang w:eastAsia="ja-JP"/>
              </w:rPr>
            </w:pPr>
            <w:r>
              <w:rPr>
                <w:rFonts w:eastAsia="Times New Roman" w:cstheme="minorHAnsi"/>
                <w:b/>
                <w:color w:val="FFFFFF" w:themeColor="background1"/>
                <w:lang w:eastAsia="fr-FR"/>
              </w:rPr>
              <w:t>Chemotherapy arm</w:t>
            </w:r>
            <w:r w:rsidRPr="00CB0C50">
              <w:rPr>
                <w:rFonts w:eastAsia="Times New Roman" w:cstheme="minorHAnsi"/>
                <w:b/>
                <w:color w:val="FFFFFF" w:themeColor="background1"/>
                <w:lang w:eastAsia="fr-FR"/>
              </w:rPr>
              <w:t xml:space="preserve"> </w:t>
            </w:r>
            <w:r>
              <w:rPr>
                <w:rFonts w:eastAsia="Times New Roman" w:cstheme="minorHAnsi"/>
                <w:b/>
                <w:color w:val="FFFFFF" w:themeColor="background1"/>
                <w:lang w:eastAsia="fr-FR"/>
              </w:rPr>
              <w:t xml:space="preserve"> (days)</w:t>
            </w:r>
          </w:p>
        </w:tc>
      </w:tr>
      <w:tr w:rsidR="00E7752A" w:rsidRPr="00CB0C50" w:rsidTr="00F42309">
        <w:tc>
          <w:tcPr>
            <w:tcW w:w="3798" w:type="dxa"/>
            <w:tcBorders>
              <w:left w:val="nil"/>
            </w:tcBorders>
            <w:vAlign w:val="center"/>
          </w:tcPr>
          <w:p w:rsidR="00E7752A" w:rsidRPr="00CB0C50" w:rsidRDefault="00E7752A" w:rsidP="00F42309">
            <w:pPr>
              <w:rPr>
                <w:rFonts w:cstheme="minorHAnsi"/>
                <w:lang w:eastAsia="ja-JP"/>
              </w:rPr>
            </w:pPr>
            <w:r w:rsidRPr="00CB0C50">
              <w:rPr>
                <w:rFonts w:cstheme="minorHAnsi"/>
                <w:lang w:eastAsia="ja-JP"/>
              </w:rPr>
              <w:t>Second line</w:t>
            </w:r>
            <w:r w:rsidR="00951913">
              <w:rPr>
                <w:rFonts w:cstheme="minorHAnsi"/>
                <w:lang w:eastAsia="ja-JP"/>
              </w:rPr>
              <w:t xml:space="preserve"> </w:t>
            </w:r>
          </w:p>
        </w:tc>
        <w:tc>
          <w:tcPr>
            <w:tcW w:w="2430" w:type="dxa"/>
            <w:vAlign w:val="bottom"/>
          </w:tcPr>
          <w:p w:rsidR="00E7752A" w:rsidRPr="00392189" w:rsidRDefault="00E7752A" w:rsidP="00F42309">
            <w:pPr>
              <w:jc w:val="center"/>
              <w:rPr>
                <w:rFonts w:cstheme="minorHAnsi"/>
                <w:color w:val="FF0000"/>
                <w:lang w:eastAsia="ja-JP"/>
              </w:rPr>
            </w:pPr>
          </w:p>
        </w:tc>
        <w:tc>
          <w:tcPr>
            <w:tcW w:w="1620" w:type="dxa"/>
            <w:tcBorders>
              <w:right w:val="nil"/>
            </w:tcBorders>
            <w:vAlign w:val="bottom"/>
          </w:tcPr>
          <w:p w:rsidR="00E7752A" w:rsidRPr="00392189" w:rsidRDefault="00E7752A" w:rsidP="00F42309">
            <w:pPr>
              <w:jc w:val="center"/>
              <w:rPr>
                <w:rFonts w:cstheme="minorHAnsi"/>
                <w:color w:val="FF0000"/>
                <w:lang w:eastAsia="ja-JP"/>
              </w:rPr>
            </w:pPr>
          </w:p>
        </w:tc>
      </w:tr>
      <w:tr w:rsidR="00E7752A" w:rsidRPr="00CB0C50" w:rsidTr="00F42309">
        <w:tc>
          <w:tcPr>
            <w:tcW w:w="3798" w:type="dxa"/>
            <w:tcBorders>
              <w:left w:val="nil"/>
            </w:tcBorders>
            <w:vAlign w:val="center"/>
          </w:tcPr>
          <w:p w:rsidR="00E7752A" w:rsidRPr="00CB0C50" w:rsidRDefault="00E7752A" w:rsidP="00F42309">
            <w:pPr>
              <w:rPr>
                <w:rFonts w:cstheme="minorHAnsi"/>
                <w:lang w:eastAsia="ja-JP"/>
              </w:rPr>
            </w:pPr>
            <w:r>
              <w:rPr>
                <w:rFonts w:cstheme="minorHAnsi"/>
                <w:lang w:eastAsia="ja-JP"/>
              </w:rPr>
              <w:t xml:space="preserve">      A</w:t>
            </w:r>
            <w:r w:rsidRPr="00CB0C50">
              <w:rPr>
                <w:rFonts w:cstheme="minorHAnsi"/>
                <w:lang w:eastAsia="ja-JP"/>
              </w:rPr>
              <w:t>nti-PD-1</w:t>
            </w:r>
          </w:p>
        </w:tc>
        <w:tc>
          <w:tcPr>
            <w:tcW w:w="2430" w:type="dxa"/>
          </w:tcPr>
          <w:p w:rsidR="00E7752A" w:rsidRPr="00C82A18" w:rsidRDefault="00E7752A" w:rsidP="00F42309">
            <w:pPr>
              <w:jc w:val="center"/>
              <w:rPr>
                <w:rFonts w:cstheme="minorHAnsi"/>
                <w:lang w:eastAsia="ja-JP"/>
              </w:rPr>
            </w:pPr>
            <w:r w:rsidRPr="00C82A18">
              <w:t>196</w:t>
            </w:r>
          </w:p>
        </w:tc>
        <w:tc>
          <w:tcPr>
            <w:tcW w:w="1620" w:type="dxa"/>
            <w:tcBorders>
              <w:right w:val="nil"/>
            </w:tcBorders>
          </w:tcPr>
          <w:p w:rsidR="00E7752A" w:rsidRPr="00C82A18" w:rsidRDefault="00E7752A" w:rsidP="00F42309">
            <w:pPr>
              <w:jc w:val="center"/>
              <w:rPr>
                <w:rFonts w:cstheme="minorHAnsi"/>
                <w:lang w:eastAsia="ja-JP"/>
              </w:rPr>
            </w:pPr>
            <w:r w:rsidRPr="00C82A18">
              <w:t>185</w:t>
            </w:r>
          </w:p>
        </w:tc>
      </w:tr>
      <w:tr w:rsidR="00E7752A" w:rsidRPr="00CB0C50" w:rsidTr="00F42309">
        <w:tc>
          <w:tcPr>
            <w:tcW w:w="3798" w:type="dxa"/>
            <w:tcBorders>
              <w:left w:val="nil"/>
            </w:tcBorders>
            <w:vAlign w:val="center"/>
          </w:tcPr>
          <w:p w:rsidR="00E7752A" w:rsidRPr="00CB0C50" w:rsidRDefault="00E7752A" w:rsidP="00F42309">
            <w:pPr>
              <w:rPr>
                <w:rFonts w:cstheme="minorHAnsi"/>
                <w:lang w:eastAsia="ja-JP"/>
              </w:rPr>
            </w:pPr>
            <w:r>
              <w:rPr>
                <w:rFonts w:cstheme="minorHAnsi"/>
                <w:lang w:eastAsia="ja-JP"/>
              </w:rPr>
              <w:t xml:space="preserve">      Other treatments</w:t>
            </w:r>
          </w:p>
        </w:tc>
        <w:tc>
          <w:tcPr>
            <w:tcW w:w="2430" w:type="dxa"/>
          </w:tcPr>
          <w:p w:rsidR="00E7752A" w:rsidRPr="00C82A18" w:rsidRDefault="00E7752A" w:rsidP="00F42309">
            <w:pPr>
              <w:jc w:val="center"/>
              <w:rPr>
                <w:rFonts w:cstheme="minorHAnsi"/>
                <w:lang w:eastAsia="ja-JP"/>
              </w:rPr>
            </w:pPr>
            <w:r w:rsidRPr="00C82A18">
              <w:t>146</w:t>
            </w:r>
          </w:p>
        </w:tc>
        <w:tc>
          <w:tcPr>
            <w:tcW w:w="1620" w:type="dxa"/>
            <w:tcBorders>
              <w:right w:val="nil"/>
            </w:tcBorders>
          </w:tcPr>
          <w:p w:rsidR="00E7752A" w:rsidRPr="00C82A18" w:rsidRDefault="00E7752A" w:rsidP="00F42309">
            <w:pPr>
              <w:jc w:val="center"/>
              <w:rPr>
                <w:rFonts w:cstheme="minorHAnsi"/>
                <w:lang w:eastAsia="ja-JP"/>
              </w:rPr>
            </w:pPr>
            <w:r w:rsidRPr="00C82A18">
              <w:t>72</w:t>
            </w:r>
          </w:p>
        </w:tc>
      </w:tr>
      <w:tr w:rsidR="00E7752A" w:rsidRPr="00CB0C50" w:rsidTr="00F42309">
        <w:tc>
          <w:tcPr>
            <w:tcW w:w="3798" w:type="dxa"/>
            <w:tcBorders>
              <w:left w:val="nil"/>
              <w:bottom w:val="double" w:sz="4" w:space="0" w:color="auto"/>
            </w:tcBorders>
          </w:tcPr>
          <w:p w:rsidR="00E7752A" w:rsidRPr="00CB0C50" w:rsidRDefault="00E7752A" w:rsidP="00F42309">
            <w:pPr>
              <w:rPr>
                <w:rFonts w:cstheme="minorHAnsi"/>
                <w:lang w:eastAsia="ja-JP"/>
              </w:rPr>
            </w:pPr>
            <w:r>
              <w:rPr>
                <w:rFonts w:cstheme="minorHAnsi"/>
                <w:lang w:eastAsia="ja-JP"/>
              </w:rPr>
              <w:t>Maintenance therapy</w:t>
            </w:r>
          </w:p>
        </w:tc>
        <w:tc>
          <w:tcPr>
            <w:tcW w:w="2430" w:type="dxa"/>
            <w:tcBorders>
              <w:bottom w:val="double" w:sz="4" w:space="0" w:color="auto"/>
            </w:tcBorders>
          </w:tcPr>
          <w:p w:rsidR="00E7752A" w:rsidRPr="00C82A18" w:rsidRDefault="00E7752A" w:rsidP="00F42309">
            <w:pPr>
              <w:jc w:val="center"/>
            </w:pPr>
            <w:r w:rsidRPr="00C82A18">
              <w:t>88</w:t>
            </w:r>
          </w:p>
        </w:tc>
        <w:tc>
          <w:tcPr>
            <w:tcW w:w="1620" w:type="dxa"/>
            <w:tcBorders>
              <w:bottom w:val="double" w:sz="4" w:space="0" w:color="auto"/>
              <w:right w:val="nil"/>
            </w:tcBorders>
          </w:tcPr>
          <w:p w:rsidR="00E7752A" w:rsidRPr="00C82A18" w:rsidRDefault="00E7752A" w:rsidP="00F42309">
            <w:pPr>
              <w:jc w:val="center"/>
            </w:pPr>
            <w:r w:rsidRPr="00C82A18">
              <w:t>52</w:t>
            </w:r>
          </w:p>
        </w:tc>
      </w:tr>
    </w:tbl>
    <w:p w:rsidR="00E7752A" w:rsidRPr="00392158" w:rsidRDefault="00E7752A" w:rsidP="00E7752A">
      <w:pPr>
        <w:pStyle w:val="CommentText"/>
        <w:rPr>
          <w:rFonts w:asciiTheme="minorHAnsi" w:eastAsiaTheme="minorHAnsi" w:hAnsiTheme="minorHAnsi" w:cstheme="minorBidi"/>
          <w:lang w:eastAsia="en-US"/>
        </w:rPr>
      </w:pPr>
      <w:r w:rsidRPr="00392158">
        <w:rPr>
          <w:rFonts w:asciiTheme="minorHAnsi" w:eastAsiaTheme="minorHAnsi" w:hAnsiTheme="minorHAnsi" w:cstheme="minorBidi"/>
          <w:lang w:eastAsia="en-US"/>
        </w:rPr>
        <w:t>NA = Not applicable</w:t>
      </w:r>
    </w:p>
    <w:p w:rsidR="00E7752A" w:rsidRDefault="00E7752A" w:rsidP="00E7752A">
      <w:pPr>
        <w:pStyle w:val="CommentText"/>
        <w:rPr>
          <w:rFonts w:asciiTheme="minorHAnsi" w:eastAsiaTheme="minorHAnsi" w:hAnsiTheme="minorHAnsi" w:cstheme="minorBidi"/>
          <w:sz w:val="22"/>
          <w:szCs w:val="22"/>
          <w:lang w:eastAsia="en-US"/>
        </w:rPr>
      </w:pPr>
    </w:p>
    <w:p w:rsidR="0044200F" w:rsidRDefault="00E7752A" w:rsidP="0044200F">
      <w:r w:rsidRPr="00117B8A">
        <w:t xml:space="preserve">Considering the duration of subsequent lines of therapy from </w:t>
      </w:r>
      <w:r>
        <w:t xml:space="preserve">Table </w:t>
      </w:r>
      <w:r w:rsidR="00951913">
        <w:t>S</w:t>
      </w:r>
      <w:r>
        <w:t xml:space="preserve">6 </w:t>
      </w:r>
      <w:r w:rsidRPr="00117B8A">
        <w:t xml:space="preserve">and distribution of patients </w:t>
      </w:r>
      <w:r>
        <w:t xml:space="preserve">receiving each therapy </w:t>
      </w:r>
      <w:r w:rsidRPr="00117B8A">
        <w:t xml:space="preserve">from </w:t>
      </w:r>
      <w:r>
        <w:fldChar w:fldCharType="begin"/>
      </w:r>
      <w:r>
        <w:instrText xml:space="preserve"> REF _Ref464137648 \h  \* MERGEFORMAT </w:instrText>
      </w:r>
      <w:r>
        <w:fldChar w:fldCharType="separate"/>
      </w:r>
      <w:r>
        <w:t xml:space="preserve">Table </w:t>
      </w:r>
      <w:r>
        <w:fldChar w:fldCharType="end"/>
      </w:r>
      <w:r w:rsidR="00951913">
        <w:t>S</w:t>
      </w:r>
      <w:r>
        <w:t xml:space="preserve">5, </w:t>
      </w:r>
      <w:r w:rsidRPr="00117B8A">
        <w:fldChar w:fldCharType="begin"/>
      </w:r>
      <w:r w:rsidRPr="00117B8A">
        <w:instrText xml:space="preserve"> REF _Ref464140494 \h  \* MERGEFORMAT </w:instrText>
      </w:r>
      <w:r w:rsidRPr="00117B8A">
        <w:fldChar w:fldCharType="separate"/>
      </w:r>
      <w:r>
        <w:t xml:space="preserve">Table </w:t>
      </w:r>
      <w:r w:rsidRPr="00117B8A">
        <w:fldChar w:fldCharType="end"/>
      </w:r>
      <w:r w:rsidR="00951913">
        <w:t>S</w:t>
      </w:r>
      <w:r>
        <w:t>7</w:t>
      </w:r>
      <w:r w:rsidRPr="00117B8A">
        <w:t xml:space="preserve"> shows the post-discontinuation treatment cost per comparator. </w:t>
      </w:r>
      <w:r>
        <w:t>The main factor affecting post-discontinuation treatment costs is the use of 2</w:t>
      </w:r>
      <w:r w:rsidRPr="008A1EF1">
        <w:rPr>
          <w:vertAlign w:val="superscript"/>
        </w:rPr>
        <w:t>nd</w:t>
      </w:r>
      <w:r>
        <w:t xml:space="preserve"> line anti-PD1 therapies. Since not every patient completed all subsequent treatments as of the data cut-off date, the difference in associated costs between the pembrolizumab + chemotherapy and chemotherapy groups may still be conservatively estimated. The cost was i</w:t>
      </w:r>
      <w:r w:rsidRPr="00117B8A">
        <w:t xml:space="preserve">ncorporated </w:t>
      </w:r>
      <w:r>
        <w:t>in the model as a one-off cost</w:t>
      </w:r>
      <w:r w:rsidRPr="00117B8A">
        <w:t xml:space="preserve"> upon </w:t>
      </w:r>
      <w:r>
        <w:t xml:space="preserve">treatment </w:t>
      </w:r>
      <w:r w:rsidRPr="00117B8A">
        <w:t>discontinuation</w:t>
      </w:r>
      <w:r>
        <w:t xml:space="preserve">.  </w:t>
      </w:r>
    </w:p>
    <w:p w:rsidR="00E7752A" w:rsidRPr="00117B8A" w:rsidRDefault="00E7752A" w:rsidP="0044200F">
      <w:r>
        <w:t xml:space="preserve">For pembrolizumab monotherapy, the ratio of post-discontinuation costs between pembrolizumab monotherapy and the chemotherapy arm in KN024 was applied to chemotherapy arm post-discontinuation treatment costs in KN189 to estimate a post-discontinuation cost for pembrolizumab monotherapy.  </w:t>
      </w:r>
      <w:r w:rsidRPr="005C4DC9">
        <w:t xml:space="preserve">Because patient characteristics may differ between patients in KN024 and KN189, rather than incorporating KN024 </w:t>
      </w:r>
      <w:r>
        <w:t xml:space="preserve">post-discontinuation costs </w:t>
      </w:r>
      <w:r w:rsidRPr="005C4DC9">
        <w:t>directly</w:t>
      </w:r>
      <w:r>
        <w:t xml:space="preserve">, this approach preserves the relationship observed between chemotherapy and pembrolizumab post-discontinuation costs in KN024, while normalizing to values observed for the KN189 trial chemotherapy arm.  Based on this method, a one-time post-discontinuation therapy cost of </w:t>
      </w:r>
      <w:r w:rsidRPr="00BF1216">
        <w:t>$</w:t>
      </w:r>
      <w:r w:rsidR="0044200F">
        <w:t>12,283</w:t>
      </w:r>
      <w:r w:rsidRPr="00BF1216">
        <w:t xml:space="preserve"> </w:t>
      </w:r>
      <w:r>
        <w:t>was estimated for pembrolizumab monotherapy.</w:t>
      </w:r>
    </w:p>
    <w:p w:rsidR="00E7752A" w:rsidRPr="00D00C4D" w:rsidRDefault="00E7752A" w:rsidP="00E7752A">
      <w:pPr>
        <w:rPr>
          <w:sz w:val="4"/>
        </w:rPr>
      </w:pPr>
    </w:p>
    <w:p w:rsidR="00E7752A" w:rsidRPr="0044200F" w:rsidRDefault="00E7752A" w:rsidP="00E7752A">
      <w:pPr>
        <w:pStyle w:val="Caption"/>
        <w:keepNext/>
        <w:spacing w:line="276" w:lineRule="auto"/>
        <w:rPr>
          <w:b w:val="0"/>
          <w:color w:val="auto"/>
          <w:sz w:val="22"/>
          <w:szCs w:val="22"/>
        </w:rPr>
      </w:pPr>
      <w:bookmarkStart w:id="3" w:name="_Ref464140494"/>
      <w:bookmarkStart w:id="4" w:name="_Toc467052768"/>
      <w:r w:rsidRPr="0044200F">
        <w:rPr>
          <w:b w:val="0"/>
          <w:color w:val="auto"/>
          <w:sz w:val="22"/>
          <w:szCs w:val="22"/>
        </w:rPr>
        <w:t xml:space="preserve">Table </w:t>
      </w:r>
      <w:bookmarkEnd w:id="3"/>
      <w:r w:rsidR="0044200F" w:rsidRPr="0044200F">
        <w:rPr>
          <w:b w:val="0"/>
          <w:color w:val="auto"/>
          <w:sz w:val="22"/>
          <w:szCs w:val="22"/>
        </w:rPr>
        <w:t>S</w:t>
      </w:r>
      <w:r w:rsidRPr="0044200F">
        <w:rPr>
          <w:b w:val="0"/>
          <w:color w:val="auto"/>
          <w:sz w:val="22"/>
          <w:szCs w:val="22"/>
        </w:rPr>
        <w:t>7: Total post-discontinuation treatment costs</w:t>
      </w:r>
      <w:bookmarkEnd w:id="4"/>
      <w:r w:rsidRPr="0044200F">
        <w:rPr>
          <w:b w:val="0"/>
          <w:color w:val="auto"/>
          <w:sz w:val="22"/>
          <w:szCs w:val="22"/>
        </w:rPr>
        <w:t xml:space="preserve"> </w:t>
      </w:r>
    </w:p>
    <w:tbl>
      <w:tblPr>
        <w:tblStyle w:val="TableGrid"/>
        <w:tblW w:w="7488" w:type="dxa"/>
        <w:tblLayout w:type="fixed"/>
        <w:tblLook w:val="04A0" w:firstRow="1" w:lastRow="0" w:firstColumn="1" w:lastColumn="0" w:noHBand="0" w:noVBand="1"/>
      </w:tblPr>
      <w:tblGrid>
        <w:gridCol w:w="4158"/>
        <w:gridCol w:w="1710"/>
        <w:gridCol w:w="1620"/>
      </w:tblGrid>
      <w:tr w:rsidR="00E7752A" w:rsidRPr="00CB0C50" w:rsidTr="00F42309">
        <w:trPr>
          <w:trHeight w:val="353"/>
        </w:trPr>
        <w:tc>
          <w:tcPr>
            <w:tcW w:w="4158" w:type="dxa"/>
            <w:tcBorders>
              <w:top w:val="double" w:sz="4" w:space="0" w:color="auto"/>
              <w:left w:val="nil"/>
              <w:bottom w:val="double" w:sz="4" w:space="0" w:color="auto"/>
            </w:tcBorders>
            <w:vAlign w:val="center"/>
          </w:tcPr>
          <w:p w:rsidR="00E7752A" w:rsidRPr="00CB0C50" w:rsidRDefault="00E7752A" w:rsidP="00F42309">
            <w:pPr>
              <w:rPr>
                <w:rFonts w:cstheme="minorHAnsi"/>
                <w:b/>
                <w:lang w:eastAsia="ja-JP"/>
              </w:rPr>
            </w:pPr>
          </w:p>
        </w:tc>
        <w:tc>
          <w:tcPr>
            <w:tcW w:w="1710" w:type="dxa"/>
            <w:tcBorders>
              <w:top w:val="double" w:sz="4" w:space="0" w:color="auto"/>
              <w:bottom w:val="double" w:sz="4" w:space="0" w:color="auto"/>
            </w:tcBorders>
            <w:shd w:val="clear" w:color="auto" w:fill="31849B" w:themeFill="accent5" w:themeFillShade="BF"/>
            <w:vAlign w:val="center"/>
          </w:tcPr>
          <w:p w:rsidR="00E7752A" w:rsidRPr="00CB0C50" w:rsidRDefault="00E7752A" w:rsidP="00F42309">
            <w:pPr>
              <w:jc w:val="center"/>
              <w:rPr>
                <w:rFonts w:cstheme="minorHAnsi"/>
                <w:b/>
                <w:lang w:eastAsia="ja-JP"/>
              </w:rPr>
            </w:pPr>
            <w:r w:rsidRPr="00CB0C50">
              <w:rPr>
                <w:rFonts w:eastAsia="Times New Roman" w:cstheme="minorHAnsi"/>
                <w:b/>
                <w:color w:val="FFFFFF" w:themeColor="background1"/>
                <w:lang w:eastAsia="fr-FR"/>
              </w:rPr>
              <w:t>Pembrolizumab</w:t>
            </w:r>
            <w:r>
              <w:rPr>
                <w:rFonts w:eastAsia="Times New Roman" w:cstheme="minorHAnsi"/>
                <w:b/>
                <w:color w:val="FFFFFF" w:themeColor="background1"/>
                <w:lang w:eastAsia="fr-FR"/>
              </w:rPr>
              <w:t xml:space="preserve"> + Chemotherapy </w:t>
            </w:r>
          </w:p>
        </w:tc>
        <w:tc>
          <w:tcPr>
            <w:tcW w:w="1620" w:type="dxa"/>
            <w:tcBorders>
              <w:top w:val="double" w:sz="4" w:space="0" w:color="auto"/>
              <w:bottom w:val="double" w:sz="4" w:space="0" w:color="auto"/>
              <w:right w:val="nil"/>
            </w:tcBorders>
            <w:shd w:val="clear" w:color="auto" w:fill="31849B" w:themeFill="accent5" w:themeFillShade="BF"/>
            <w:vAlign w:val="center"/>
          </w:tcPr>
          <w:p w:rsidR="00E7752A" w:rsidRPr="00CB0C50" w:rsidRDefault="00E7752A" w:rsidP="00F42309">
            <w:pPr>
              <w:jc w:val="center"/>
              <w:rPr>
                <w:rFonts w:cstheme="minorHAnsi"/>
                <w:b/>
                <w:lang w:eastAsia="ja-JP"/>
              </w:rPr>
            </w:pPr>
            <w:r>
              <w:rPr>
                <w:rFonts w:eastAsia="Times New Roman" w:cstheme="minorHAnsi"/>
                <w:b/>
                <w:color w:val="FFFFFF" w:themeColor="background1"/>
                <w:lang w:eastAsia="fr-FR"/>
              </w:rPr>
              <w:t>Chemotherapy</w:t>
            </w:r>
            <w:r w:rsidRPr="00CB0C50">
              <w:rPr>
                <w:rFonts w:eastAsia="Times New Roman" w:cstheme="minorHAnsi"/>
                <w:b/>
                <w:color w:val="FFFFFF" w:themeColor="background1"/>
                <w:lang w:eastAsia="fr-FR"/>
              </w:rPr>
              <w:t xml:space="preserve"> </w:t>
            </w:r>
          </w:p>
        </w:tc>
      </w:tr>
      <w:tr w:rsidR="00E7752A" w:rsidRPr="00CB0C50" w:rsidTr="00F42309">
        <w:tc>
          <w:tcPr>
            <w:tcW w:w="4158" w:type="dxa"/>
            <w:tcBorders>
              <w:left w:val="nil"/>
            </w:tcBorders>
            <w:vAlign w:val="center"/>
          </w:tcPr>
          <w:p w:rsidR="00E7752A" w:rsidRPr="00CB0C50" w:rsidRDefault="00E7752A" w:rsidP="00F42309">
            <w:pPr>
              <w:rPr>
                <w:rFonts w:cstheme="minorHAnsi"/>
                <w:lang w:eastAsia="ja-JP"/>
              </w:rPr>
            </w:pPr>
            <w:r w:rsidRPr="00CB0C50">
              <w:rPr>
                <w:rFonts w:cstheme="minorHAnsi"/>
                <w:b/>
                <w:lang w:eastAsia="ja-JP"/>
              </w:rPr>
              <w:t>Total post-discontinuation treatment costs</w:t>
            </w:r>
          </w:p>
        </w:tc>
        <w:tc>
          <w:tcPr>
            <w:tcW w:w="1710" w:type="dxa"/>
            <w:vAlign w:val="bottom"/>
          </w:tcPr>
          <w:p w:rsidR="00E7752A" w:rsidRPr="00BF1216" w:rsidRDefault="0044200F" w:rsidP="00F42309">
            <w:pPr>
              <w:jc w:val="center"/>
              <w:rPr>
                <w:rFonts w:cstheme="minorHAnsi"/>
                <w:b/>
                <w:color w:val="FF0000"/>
                <w:lang w:eastAsia="ja-JP"/>
              </w:rPr>
            </w:pPr>
            <w:r>
              <w:rPr>
                <w:rFonts w:ascii="Calibri" w:hAnsi="Calibri"/>
                <w:b/>
                <w:bCs/>
              </w:rPr>
              <w:t>12,831</w:t>
            </w:r>
            <w:r w:rsidR="00E7752A">
              <w:rPr>
                <w:rFonts w:ascii="Calibri" w:hAnsi="Calibri"/>
                <w:b/>
                <w:bCs/>
              </w:rPr>
              <w:t xml:space="preserve"> </w:t>
            </w:r>
          </w:p>
        </w:tc>
        <w:tc>
          <w:tcPr>
            <w:tcW w:w="1620" w:type="dxa"/>
            <w:tcBorders>
              <w:right w:val="nil"/>
            </w:tcBorders>
            <w:vAlign w:val="bottom"/>
          </w:tcPr>
          <w:p w:rsidR="00E7752A" w:rsidRPr="00BF1216" w:rsidRDefault="0044200F" w:rsidP="00F42309">
            <w:pPr>
              <w:jc w:val="center"/>
              <w:rPr>
                <w:rFonts w:cstheme="minorHAnsi"/>
                <w:b/>
                <w:color w:val="FF0000"/>
                <w:lang w:eastAsia="ja-JP"/>
              </w:rPr>
            </w:pPr>
            <w:bookmarkStart w:id="5" w:name="RANGE!E62"/>
            <w:r>
              <w:rPr>
                <w:rFonts w:ascii="Calibri" w:hAnsi="Calibri"/>
                <w:b/>
                <w:bCs/>
              </w:rPr>
              <w:t>40,325</w:t>
            </w:r>
            <w:r w:rsidR="00E7752A">
              <w:rPr>
                <w:rFonts w:ascii="Calibri" w:hAnsi="Calibri"/>
                <w:b/>
                <w:bCs/>
              </w:rPr>
              <w:t xml:space="preserve"> </w:t>
            </w:r>
            <w:bookmarkEnd w:id="5"/>
          </w:p>
        </w:tc>
      </w:tr>
      <w:tr w:rsidR="00E7752A" w:rsidRPr="00CB0C50" w:rsidTr="00F42309">
        <w:tc>
          <w:tcPr>
            <w:tcW w:w="4158" w:type="dxa"/>
            <w:tcBorders>
              <w:left w:val="nil"/>
            </w:tcBorders>
            <w:vAlign w:val="center"/>
          </w:tcPr>
          <w:p w:rsidR="00E7752A" w:rsidRPr="00CB0C50" w:rsidRDefault="00E7752A" w:rsidP="00F42309">
            <w:pPr>
              <w:rPr>
                <w:rFonts w:cstheme="minorHAnsi"/>
                <w:lang w:eastAsia="ja-JP"/>
              </w:rPr>
            </w:pPr>
            <w:r>
              <w:rPr>
                <w:rFonts w:cstheme="minorHAnsi"/>
                <w:lang w:eastAsia="ja-JP"/>
              </w:rPr>
              <w:t xml:space="preserve">Drug </w:t>
            </w:r>
            <w:r w:rsidRPr="00CB0C50">
              <w:rPr>
                <w:rFonts w:cstheme="minorHAnsi"/>
                <w:lang w:eastAsia="ja-JP"/>
              </w:rPr>
              <w:t>costs</w:t>
            </w:r>
          </w:p>
        </w:tc>
        <w:tc>
          <w:tcPr>
            <w:tcW w:w="1710" w:type="dxa"/>
            <w:vAlign w:val="bottom"/>
          </w:tcPr>
          <w:p w:rsidR="00E7752A" w:rsidRPr="00392189" w:rsidRDefault="0044200F" w:rsidP="00F42309">
            <w:pPr>
              <w:jc w:val="center"/>
              <w:rPr>
                <w:rFonts w:cstheme="minorHAnsi"/>
                <w:color w:val="FF0000"/>
                <w:lang w:eastAsia="ja-JP"/>
              </w:rPr>
            </w:pPr>
            <w:r>
              <w:rPr>
                <w:rFonts w:ascii="Calibri" w:hAnsi="Calibri"/>
              </w:rPr>
              <w:t>12,314</w:t>
            </w:r>
            <w:r w:rsidR="00E7752A">
              <w:rPr>
                <w:rFonts w:ascii="Calibri" w:hAnsi="Calibri"/>
              </w:rPr>
              <w:t xml:space="preserve"> </w:t>
            </w:r>
          </w:p>
        </w:tc>
        <w:tc>
          <w:tcPr>
            <w:tcW w:w="1620" w:type="dxa"/>
            <w:tcBorders>
              <w:right w:val="nil"/>
            </w:tcBorders>
            <w:vAlign w:val="bottom"/>
          </w:tcPr>
          <w:p w:rsidR="00E7752A" w:rsidRPr="00392189" w:rsidRDefault="0044200F" w:rsidP="00F42309">
            <w:pPr>
              <w:jc w:val="center"/>
              <w:rPr>
                <w:rFonts w:cstheme="minorHAnsi"/>
                <w:color w:val="FF0000"/>
                <w:lang w:eastAsia="ja-JP"/>
              </w:rPr>
            </w:pPr>
            <w:r>
              <w:rPr>
                <w:rFonts w:ascii="Calibri" w:hAnsi="Calibri"/>
              </w:rPr>
              <w:t>39,691</w:t>
            </w:r>
            <w:r w:rsidR="00E7752A">
              <w:rPr>
                <w:rFonts w:ascii="Calibri" w:hAnsi="Calibri"/>
              </w:rPr>
              <w:t xml:space="preserve"> </w:t>
            </w:r>
          </w:p>
        </w:tc>
      </w:tr>
      <w:tr w:rsidR="00E7752A" w:rsidRPr="00CB0C50" w:rsidTr="00F42309">
        <w:tc>
          <w:tcPr>
            <w:tcW w:w="4158" w:type="dxa"/>
            <w:tcBorders>
              <w:left w:val="nil"/>
              <w:bottom w:val="double" w:sz="4" w:space="0" w:color="auto"/>
            </w:tcBorders>
          </w:tcPr>
          <w:p w:rsidR="00E7752A" w:rsidRPr="00CB0C50" w:rsidRDefault="00E7752A" w:rsidP="00F42309">
            <w:pPr>
              <w:rPr>
                <w:rFonts w:cstheme="minorHAnsi"/>
                <w:b/>
                <w:lang w:eastAsia="ja-JP"/>
              </w:rPr>
            </w:pPr>
            <w:r w:rsidRPr="00CB0C50">
              <w:rPr>
                <w:rFonts w:cstheme="minorHAnsi"/>
                <w:lang w:eastAsia="ja-JP"/>
              </w:rPr>
              <w:t>Administration costs</w:t>
            </w:r>
          </w:p>
        </w:tc>
        <w:tc>
          <w:tcPr>
            <w:tcW w:w="1710" w:type="dxa"/>
            <w:tcBorders>
              <w:bottom w:val="double" w:sz="4" w:space="0" w:color="auto"/>
            </w:tcBorders>
            <w:vAlign w:val="bottom"/>
          </w:tcPr>
          <w:p w:rsidR="00E7752A" w:rsidRPr="00392189" w:rsidRDefault="0044200F" w:rsidP="00F42309">
            <w:pPr>
              <w:jc w:val="center"/>
              <w:rPr>
                <w:rFonts w:cstheme="minorHAnsi"/>
                <w:b/>
                <w:color w:val="FF0000"/>
                <w:lang w:eastAsia="ja-JP"/>
              </w:rPr>
            </w:pPr>
            <w:r>
              <w:rPr>
                <w:rFonts w:ascii="Calibri" w:hAnsi="Calibri"/>
              </w:rPr>
              <w:t>518</w:t>
            </w:r>
            <w:r w:rsidR="00E7752A">
              <w:rPr>
                <w:rFonts w:ascii="Calibri" w:hAnsi="Calibri"/>
              </w:rPr>
              <w:t xml:space="preserve"> </w:t>
            </w:r>
          </w:p>
        </w:tc>
        <w:tc>
          <w:tcPr>
            <w:tcW w:w="1620" w:type="dxa"/>
            <w:tcBorders>
              <w:bottom w:val="double" w:sz="4" w:space="0" w:color="auto"/>
              <w:right w:val="nil"/>
            </w:tcBorders>
            <w:vAlign w:val="bottom"/>
          </w:tcPr>
          <w:p w:rsidR="00E7752A" w:rsidRPr="00392189" w:rsidRDefault="0044200F" w:rsidP="00F42309">
            <w:pPr>
              <w:jc w:val="center"/>
              <w:rPr>
                <w:rFonts w:cstheme="minorHAnsi"/>
                <w:b/>
                <w:color w:val="FF0000"/>
                <w:lang w:eastAsia="ja-JP"/>
              </w:rPr>
            </w:pPr>
            <w:r>
              <w:rPr>
                <w:rFonts w:ascii="Calibri" w:hAnsi="Calibri"/>
              </w:rPr>
              <w:t>634</w:t>
            </w:r>
          </w:p>
        </w:tc>
      </w:tr>
    </w:tbl>
    <w:p w:rsidR="00E7752A" w:rsidRDefault="00E7752A" w:rsidP="00E7752A"/>
    <w:p w:rsidR="00B14C5B" w:rsidRPr="00B14C5B" w:rsidRDefault="00B14C5B" w:rsidP="00B14C5B">
      <w:pPr>
        <w:pStyle w:val="Caption"/>
        <w:keepNext/>
        <w:keepLines/>
        <w:rPr>
          <w:b w:val="0"/>
          <w:color w:val="auto"/>
          <w:sz w:val="22"/>
          <w:szCs w:val="22"/>
        </w:rPr>
      </w:pPr>
      <w:r w:rsidRPr="00B14C5B">
        <w:rPr>
          <w:b w:val="0"/>
          <w:color w:val="auto"/>
          <w:sz w:val="22"/>
          <w:szCs w:val="22"/>
        </w:rPr>
        <w:t xml:space="preserve">Table S8: Risk of Hospitalization for Grade 3+ Adverse Events </w:t>
      </w:r>
    </w:p>
    <w:tbl>
      <w:tblPr>
        <w:tblStyle w:val="LightList-Accent5"/>
        <w:tblW w:w="6408" w:type="dxa"/>
        <w:tblLook w:val="04A0" w:firstRow="1" w:lastRow="0" w:firstColumn="1" w:lastColumn="0" w:noHBand="0" w:noVBand="1"/>
      </w:tblPr>
      <w:tblGrid>
        <w:gridCol w:w="2808"/>
        <w:gridCol w:w="3600"/>
      </w:tblGrid>
      <w:tr w:rsidR="00B14C5B" w:rsidRPr="002F108D" w:rsidTr="00F42309">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808" w:type="dxa"/>
          </w:tcPr>
          <w:p w:rsidR="00B14C5B" w:rsidRPr="002F108D" w:rsidRDefault="00B14C5B" w:rsidP="00F42309">
            <w:pPr>
              <w:keepNext/>
              <w:keepLines/>
              <w:rPr>
                <w:sz w:val="20"/>
              </w:rPr>
            </w:pPr>
            <w:r>
              <w:rPr>
                <w:sz w:val="20"/>
                <w:lang w:val="en-GB"/>
              </w:rPr>
              <w:t>Adverse event</w:t>
            </w:r>
          </w:p>
        </w:tc>
        <w:tc>
          <w:tcPr>
            <w:tcW w:w="3600" w:type="dxa"/>
          </w:tcPr>
          <w:p w:rsidR="00B14C5B" w:rsidRPr="002F108D" w:rsidRDefault="00B14C5B" w:rsidP="00F42309">
            <w:pPr>
              <w:keepNext/>
              <w:keepLines/>
              <w:jc w:val="center"/>
              <w:cnfStyle w:val="100000000000" w:firstRow="1" w:lastRow="0" w:firstColumn="0" w:lastColumn="0" w:oddVBand="0" w:evenVBand="0" w:oddHBand="0" w:evenHBand="0" w:firstRowFirstColumn="0" w:firstRowLastColumn="0" w:lastRowFirstColumn="0" w:lastRowLastColumn="0"/>
              <w:rPr>
                <w:sz w:val="20"/>
              </w:rPr>
            </w:pPr>
            <w:r>
              <w:rPr>
                <w:sz w:val="20"/>
              </w:rPr>
              <w:t>Risk of Hospitalization in KN 189</w:t>
            </w:r>
          </w:p>
        </w:tc>
      </w:tr>
      <w:tr w:rsidR="00B14C5B" w:rsidRPr="002F108D" w:rsidTr="00F42309">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808" w:type="dxa"/>
          </w:tcPr>
          <w:p w:rsidR="00B14C5B" w:rsidRPr="00A45C90" w:rsidRDefault="00B14C5B" w:rsidP="00F42309">
            <w:pPr>
              <w:keepNext/>
              <w:keepLines/>
              <w:rPr>
                <w:rFonts w:ascii="Calibri" w:hAnsi="Calibri" w:cs="Calibri"/>
                <w:sz w:val="20"/>
                <w:szCs w:val="20"/>
              </w:rPr>
            </w:pPr>
            <w:r w:rsidRPr="00A45C90">
              <w:rPr>
                <w:sz w:val="20"/>
                <w:szCs w:val="20"/>
              </w:rPr>
              <w:t>Anaemia</w:t>
            </w:r>
          </w:p>
        </w:tc>
        <w:tc>
          <w:tcPr>
            <w:tcW w:w="3600" w:type="dxa"/>
          </w:tcPr>
          <w:p w:rsidR="00B14C5B" w:rsidRPr="00DE3932" w:rsidRDefault="00B14C5B" w:rsidP="00F42309">
            <w:pPr>
              <w:keepNext/>
              <w:keepLines/>
              <w:jc w:val="center"/>
              <w:cnfStyle w:val="000000100000" w:firstRow="0" w:lastRow="0" w:firstColumn="0" w:lastColumn="0" w:oddVBand="0" w:evenVBand="0" w:oddHBand="1" w:evenHBand="0" w:firstRowFirstColumn="0" w:firstRowLastColumn="0" w:lastRowFirstColumn="0" w:lastRowLastColumn="0"/>
              <w:rPr>
                <w:rFonts w:cs="Arial"/>
                <w:color w:val="FF0000"/>
                <w:sz w:val="20"/>
                <w:szCs w:val="20"/>
              </w:rPr>
            </w:pPr>
            <w:r w:rsidRPr="00DE3932">
              <w:rPr>
                <w:sz w:val="20"/>
                <w:szCs w:val="20"/>
              </w:rPr>
              <w:t>18.6%</w:t>
            </w:r>
          </w:p>
        </w:tc>
      </w:tr>
      <w:tr w:rsidR="00B14C5B" w:rsidRPr="002F108D" w:rsidTr="00F42309">
        <w:trPr>
          <w:trHeight w:val="241"/>
        </w:trPr>
        <w:tc>
          <w:tcPr>
            <w:cnfStyle w:val="001000000000" w:firstRow="0" w:lastRow="0" w:firstColumn="1" w:lastColumn="0" w:oddVBand="0" w:evenVBand="0" w:oddHBand="0" w:evenHBand="0" w:firstRowFirstColumn="0" w:firstRowLastColumn="0" w:lastRowFirstColumn="0" w:lastRowLastColumn="0"/>
            <w:tcW w:w="2808" w:type="dxa"/>
          </w:tcPr>
          <w:p w:rsidR="00B14C5B" w:rsidRPr="00A45C90" w:rsidRDefault="00B14C5B" w:rsidP="00F42309">
            <w:pPr>
              <w:keepNext/>
              <w:keepLines/>
              <w:rPr>
                <w:rFonts w:ascii="Calibri" w:hAnsi="Calibri" w:cs="Calibri"/>
                <w:sz w:val="20"/>
                <w:szCs w:val="20"/>
              </w:rPr>
            </w:pPr>
            <w:r w:rsidRPr="00A45C90">
              <w:rPr>
                <w:sz w:val="20"/>
                <w:szCs w:val="20"/>
              </w:rPr>
              <w:t>Asthenia</w:t>
            </w:r>
          </w:p>
        </w:tc>
        <w:tc>
          <w:tcPr>
            <w:tcW w:w="3600" w:type="dxa"/>
          </w:tcPr>
          <w:p w:rsidR="00B14C5B" w:rsidRPr="00DE3932" w:rsidRDefault="00B14C5B" w:rsidP="00F42309">
            <w:pPr>
              <w:keepNext/>
              <w:keepLines/>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DE3932">
              <w:rPr>
                <w:sz w:val="20"/>
                <w:szCs w:val="20"/>
              </w:rPr>
              <w:t>15.6%</w:t>
            </w:r>
          </w:p>
        </w:tc>
      </w:tr>
      <w:tr w:rsidR="00B14C5B" w:rsidRPr="002F108D" w:rsidTr="00F42309">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2808" w:type="dxa"/>
          </w:tcPr>
          <w:p w:rsidR="00B14C5B" w:rsidRPr="00A45C90" w:rsidRDefault="00B14C5B" w:rsidP="00F42309">
            <w:pPr>
              <w:keepNext/>
              <w:keepLines/>
              <w:rPr>
                <w:sz w:val="20"/>
                <w:szCs w:val="20"/>
              </w:rPr>
            </w:pPr>
            <w:r w:rsidRPr="00A45C90">
              <w:rPr>
                <w:sz w:val="20"/>
                <w:szCs w:val="20"/>
              </w:rPr>
              <w:t>Diarrhea</w:t>
            </w:r>
          </w:p>
        </w:tc>
        <w:tc>
          <w:tcPr>
            <w:tcW w:w="3600" w:type="dxa"/>
          </w:tcPr>
          <w:p w:rsidR="00B14C5B" w:rsidRPr="00DE3932" w:rsidRDefault="00B14C5B" w:rsidP="00F42309">
            <w:pPr>
              <w:keepNext/>
              <w:keepLines/>
              <w:jc w:val="center"/>
              <w:cnfStyle w:val="000000100000" w:firstRow="0" w:lastRow="0" w:firstColumn="0" w:lastColumn="0" w:oddVBand="0" w:evenVBand="0" w:oddHBand="1" w:evenHBand="0" w:firstRowFirstColumn="0" w:firstRowLastColumn="0" w:lastRowFirstColumn="0" w:lastRowLastColumn="0"/>
              <w:rPr>
                <w:rFonts w:cs="Arial"/>
                <w:color w:val="FF0000"/>
                <w:sz w:val="20"/>
                <w:szCs w:val="20"/>
              </w:rPr>
            </w:pPr>
            <w:r w:rsidRPr="00DE3932">
              <w:rPr>
                <w:sz w:val="20"/>
                <w:szCs w:val="20"/>
              </w:rPr>
              <w:t>63.0%</w:t>
            </w:r>
          </w:p>
        </w:tc>
      </w:tr>
      <w:tr w:rsidR="00B14C5B" w:rsidRPr="002F108D" w:rsidTr="00F42309">
        <w:trPr>
          <w:trHeight w:val="178"/>
        </w:trPr>
        <w:tc>
          <w:tcPr>
            <w:cnfStyle w:val="001000000000" w:firstRow="0" w:lastRow="0" w:firstColumn="1" w:lastColumn="0" w:oddVBand="0" w:evenVBand="0" w:oddHBand="0" w:evenHBand="0" w:firstRowFirstColumn="0" w:firstRowLastColumn="0" w:lastRowFirstColumn="0" w:lastRowLastColumn="0"/>
            <w:tcW w:w="2808" w:type="dxa"/>
          </w:tcPr>
          <w:p w:rsidR="00B14C5B" w:rsidRPr="00A45C90" w:rsidRDefault="00B14C5B" w:rsidP="00F42309">
            <w:pPr>
              <w:keepNext/>
              <w:keepLines/>
              <w:rPr>
                <w:rFonts w:ascii="Calibri" w:hAnsi="Calibri" w:cs="Calibri"/>
                <w:sz w:val="20"/>
                <w:szCs w:val="20"/>
              </w:rPr>
            </w:pPr>
            <w:r w:rsidRPr="00A45C90">
              <w:rPr>
                <w:sz w:val="20"/>
                <w:szCs w:val="20"/>
              </w:rPr>
              <w:t>Dyspnea</w:t>
            </w:r>
          </w:p>
        </w:tc>
        <w:tc>
          <w:tcPr>
            <w:tcW w:w="3600" w:type="dxa"/>
          </w:tcPr>
          <w:p w:rsidR="00B14C5B" w:rsidRPr="00DE3932" w:rsidRDefault="00B14C5B" w:rsidP="00F42309">
            <w:pPr>
              <w:keepNext/>
              <w:keepLines/>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DE3932">
              <w:rPr>
                <w:sz w:val="20"/>
                <w:szCs w:val="20"/>
              </w:rPr>
              <w:t>34.6%</w:t>
            </w:r>
          </w:p>
        </w:tc>
      </w:tr>
      <w:tr w:rsidR="00B14C5B" w:rsidRPr="002F108D" w:rsidTr="00F42309">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808" w:type="dxa"/>
          </w:tcPr>
          <w:p w:rsidR="00B14C5B" w:rsidRPr="00A45C90" w:rsidRDefault="00B14C5B" w:rsidP="00F42309">
            <w:pPr>
              <w:keepNext/>
              <w:keepLines/>
              <w:rPr>
                <w:rFonts w:ascii="Calibri" w:hAnsi="Calibri" w:cs="Calibri"/>
                <w:sz w:val="20"/>
                <w:szCs w:val="20"/>
              </w:rPr>
            </w:pPr>
            <w:r w:rsidRPr="00A45C90">
              <w:rPr>
                <w:sz w:val="20"/>
                <w:szCs w:val="20"/>
              </w:rPr>
              <w:t>Fatigue</w:t>
            </w:r>
          </w:p>
        </w:tc>
        <w:tc>
          <w:tcPr>
            <w:tcW w:w="3600" w:type="dxa"/>
          </w:tcPr>
          <w:p w:rsidR="00B14C5B" w:rsidRPr="00DE3932" w:rsidRDefault="00B14C5B" w:rsidP="00F42309">
            <w:pPr>
              <w:keepNext/>
              <w:keepLines/>
              <w:jc w:val="center"/>
              <w:cnfStyle w:val="000000100000" w:firstRow="0" w:lastRow="0" w:firstColumn="0" w:lastColumn="0" w:oddVBand="0" w:evenVBand="0" w:oddHBand="1" w:evenHBand="0" w:firstRowFirstColumn="0" w:firstRowLastColumn="0" w:lastRowFirstColumn="0" w:lastRowLastColumn="0"/>
              <w:rPr>
                <w:rFonts w:cs="Arial"/>
                <w:color w:val="FF0000"/>
                <w:sz w:val="20"/>
                <w:szCs w:val="20"/>
              </w:rPr>
            </w:pPr>
            <w:r w:rsidRPr="00DE3932">
              <w:rPr>
                <w:sz w:val="20"/>
                <w:szCs w:val="20"/>
              </w:rPr>
              <w:t>10.7%</w:t>
            </w:r>
          </w:p>
        </w:tc>
      </w:tr>
      <w:tr w:rsidR="00B14C5B" w:rsidRPr="002F108D" w:rsidTr="00F42309">
        <w:trPr>
          <w:trHeight w:val="151"/>
        </w:trPr>
        <w:tc>
          <w:tcPr>
            <w:cnfStyle w:val="001000000000" w:firstRow="0" w:lastRow="0" w:firstColumn="1" w:lastColumn="0" w:oddVBand="0" w:evenVBand="0" w:oddHBand="0" w:evenHBand="0" w:firstRowFirstColumn="0" w:firstRowLastColumn="0" w:lastRowFirstColumn="0" w:lastRowLastColumn="0"/>
            <w:tcW w:w="2808" w:type="dxa"/>
          </w:tcPr>
          <w:p w:rsidR="00B14C5B" w:rsidRPr="00A45C90" w:rsidRDefault="00B14C5B" w:rsidP="00F42309">
            <w:pPr>
              <w:keepNext/>
              <w:keepLines/>
              <w:rPr>
                <w:rFonts w:ascii="Calibri" w:hAnsi="Calibri" w:cs="Calibri"/>
                <w:sz w:val="20"/>
                <w:szCs w:val="20"/>
              </w:rPr>
            </w:pPr>
            <w:r w:rsidRPr="00A45C90">
              <w:rPr>
                <w:sz w:val="20"/>
                <w:szCs w:val="20"/>
              </w:rPr>
              <w:t>Febrile neutropenia</w:t>
            </w:r>
          </w:p>
        </w:tc>
        <w:tc>
          <w:tcPr>
            <w:tcW w:w="3600" w:type="dxa"/>
          </w:tcPr>
          <w:p w:rsidR="00B14C5B" w:rsidRPr="00DE3932" w:rsidRDefault="00B14C5B" w:rsidP="00F42309">
            <w:pPr>
              <w:keepNext/>
              <w:keepLines/>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DE3932">
              <w:rPr>
                <w:sz w:val="20"/>
                <w:szCs w:val="20"/>
              </w:rPr>
              <w:t>87.1%</w:t>
            </w:r>
          </w:p>
        </w:tc>
      </w:tr>
      <w:tr w:rsidR="00B14C5B" w:rsidRPr="002F108D" w:rsidTr="00F42309">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2808" w:type="dxa"/>
          </w:tcPr>
          <w:p w:rsidR="00B14C5B" w:rsidRPr="00A45C90" w:rsidRDefault="00B14C5B" w:rsidP="00F42309">
            <w:pPr>
              <w:keepNext/>
              <w:keepLines/>
              <w:rPr>
                <w:rFonts w:ascii="Calibri" w:hAnsi="Calibri" w:cs="Calibri"/>
                <w:sz w:val="20"/>
                <w:szCs w:val="20"/>
              </w:rPr>
            </w:pPr>
            <w:r w:rsidRPr="00A45C90">
              <w:rPr>
                <w:sz w:val="20"/>
                <w:szCs w:val="20"/>
              </w:rPr>
              <w:t>Hyponatremia</w:t>
            </w:r>
          </w:p>
        </w:tc>
        <w:tc>
          <w:tcPr>
            <w:tcW w:w="3600" w:type="dxa"/>
          </w:tcPr>
          <w:p w:rsidR="00B14C5B" w:rsidRPr="00DE3932" w:rsidRDefault="00B14C5B" w:rsidP="00F42309">
            <w:pPr>
              <w:keepNext/>
              <w:keepLines/>
              <w:jc w:val="center"/>
              <w:cnfStyle w:val="000000100000" w:firstRow="0" w:lastRow="0" w:firstColumn="0" w:lastColumn="0" w:oddVBand="0" w:evenVBand="0" w:oddHBand="1" w:evenHBand="0" w:firstRowFirstColumn="0" w:firstRowLastColumn="0" w:lastRowFirstColumn="0" w:lastRowLastColumn="0"/>
              <w:rPr>
                <w:rFonts w:cs="Arial"/>
                <w:color w:val="FF0000"/>
                <w:sz w:val="20"/>
                <w:szCs w:val="20"/>
              </w:rPr>
            </w:pPr>
            <w:r w:rsidRPr="00DE3932">
              <w:rPr>
                <w:sz w:val="20"/>
                <w:szCs w:val="20"/>
              </w:rPr>
              <w:t>25.0%</w:t>
            </w:r>
          </w:p>
        </w:tc>
      </w:tr>
      <w:tr w:rsidR="00B14C5B" w:rsidRPr="002F108D" w:rsidTr="00F42309">
        <w:trPr>
          <w:trHeight w:val="169"/>
        </w:trPr>
        <w:tc>
          <w:tcPr>
            <w:cnfStyle w:val="001000000000" w:firstRow="0" w:lastRow="0" w:firstColumn="1" w:lastColumn="0" w:oddVBand="0" w:evenVBand="0" w:oddHBand="0" w:evenHBand="0" w:firstRowFirstColumn="0" w:firstRowLastColumn="0" w:lastRowFirstColumn="0" w:lastRowLastColumn="0"/>
            <w:tcW w:w="2808" w:type="dxa"/>
          </w:tcPr>
          <w:p w:rsidR="00B14C5B" w:rsidRPr="00A45C90" w:rsidRDefault="00B14C5B" w:rsidP="00F42309">
            <w:pPr>
              <w:keepNext/>
              <w:keepLines/>
              <w:rPr>
                <w:rFonts w:ascii="Calibri" w:hAnsi="Calibri" w:cs="Calibri"/>
                <w:sz w:val="20"/>
                <w:szCs w:val="20"/>
              </w:rPr>
            </w:pPr>
            <w:r w:rsidRPr="00A45C90">
              <w:rPr>
                <w:sz w:val="20"/>
                <w:szCs w:val="20"/>
              </w:rPr>
              <w:t>Neutropenia</w:t>
            </w:r>
          </w:p>
        </w:tc>
        <w:tc>
          <w:tcPr>
            <w:tcW w:w="3600" w:type="dxa"/>
          </w:tcPr>
          <w:p w:rsidR="00B14C5B" w:rsidRPr="00DE3932" w:rsidRDefault="00B14C5B" w:rsidP="00F42309">
            <w:pPr>
              <w:keepNext/>
              <w:keepLines/>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DE3932">
              <w:rPr>
                <w:sz w:val="20"/>
                <w:szCs w:val="20"/>
              </w:rPr>
              <w:t>11.4%</w:t>
            </w:r>
          </w:p>
        </w:tc>
      </w:tr>
      <w:tr w:rsidR="00B14C5B" w:rsidRPr="002F108D" w:rsidTr="00F42309">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808" w:type="dxa"/>
          </w:tcPr>
          <w:p w:rsidR="00B14C5B" w:rsidRPr="00A45C90" w:rsidRDefault="00B14C5B" w:rsidP="00F42309">
            <w:pPr>
              <w:keepNext/>
              <w:keepLines/>
              <w:rPr>
                <w:rFonts w:ascii="Calibri" w:hAnsi="Calibri" w:cs="Calibri"/>
                <w:sz w:val="20"/>
                <w:szCs w:val="20"/>
              </w:rPr>
            </w:pPr>
            <w:r w:rsidRPr="00A45C90">
              <w:rPr>
                <w:sz w:val="20"/>
                <w:szCs w:val="20"/>
              </w:rPr>
              <w:t>Pneumonia</w:t>
            </w:r>
          </w:p>
        </w:tc>
        <w:tc>
          <w:tcPr>
            <w:tcW w:w="3600" w:type="dxa"/>
          </w:tcPr>
          <w:p w:rsidR="00B14C5B" w:rsidRPr="00DE3932" w:rsidRDefault="00B14C5B" w:rsidP="00F42309">
            <w:pPr>
              <w:keepNext/>
              <w:keepLines/>
              <w:jc w:val="center"/>
              <w:cnfStyle w:val="000000100000" w:firstRow="0" w:lastRow="0" w:firstColumn="0" w:lastColumn="0" w:oddVBand="0" w:evenVBand="0" w:oddHBand="1" w:evenHBand="0" w:firstRowFirstColumn="0" w:firstRowLastColumn="0" w:lastRowFirstColumn="0" w:lastRowLastColumn="0"/>
              <w:rPr>
                <w:rFonts w:cs="Arial"/>
                <w:color w:val="FF0000"/>
                <w:sz w:val="20"/>
                <w:szCs w:val="20"/>
              </w:rPr>
            </w:pPr>
            <w:r w:rsidRPr="00DE3932">
              <w:rPr>
                <w:sz w:val="20"/>
                <w:szCs w:val="20"/>
              </w:rPr>
              <w:t>94.9%</w:t>
            </w:r>
          </w:p>
        </w:tc>
      </w:tr>
      <w:tr w:rsidR="00B14C5B" w:rsidRPr="002F108D" w:rsidTr="00F42309">
        <w:trPr>
          <w:trHeight w:val="151"/>
        </w:trPr>
        <w:tc>
          <w:tcPr>
            <w:cnfStyle w:val="001000000000" w:firstRow="0" w:lastRow="0" w:firstColumn="1" w:lastColumn="0" w:oddVBand="0" w:evenVBand="0" w:oddHBand="0" w:evenHBand="0" w:firstRowFirstColumn="0" w:firstRowLastColumn="0" w:lastRowFirstColumn="0" w:lastRowLastColumn="0"/>
            <w:tcW w:w="2808" w:type="dxa"/>
          </w:tcPr>
          <w:p w:rsidR="00B14C5B" w:rsidRPr="00A45C90" w:rsidRDefault="00B14C5B" w:rsidP="00F42309">
            <w:pPr>
              <w:keepNext/>
              <w:keepLines/>
              <w:rPr>
                <w:rFonts w:ascii="Calibri" w:hAnsi="Calibri" w:cs="Calibri"/>
                <w:sz w:val="20"/>
                <w:szCs w:val="20"/>
              </w:rPr>
            </w:pPr>
            <w:r w:rsidRPr="00A45C90">
              <w:rPr>
                <w:sz w:val="20"/>
                <w:szCs w:val="20"/>
              </w:rPr>
              <w:t>Pneumonitis</w:t>
            </w:r>
          </w:p>
        </w:tc>
        <w:tc>
          <w:tcPr>
            <w:tcW w:w="3600" w:type="dxa"/>
          </w:tcPr>
          <w:p w:rsidR="00B14C5B" w:rsidRPr="00DE3932" w:rsidRDefault="00B14C5B" w:rsidP="00F42309">
            <w:pPr>
              <w:keepNext/>
              <w:keepLines/>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DE3932">
              <w:rPr>
                <w:sz w:val="20"/>
                <w:szCs w:val="20"/>
              </w:rPr>
              <w:t>100.0%</w:t>
            </w:r>
          </w:p>
        </w:tc>
      </w:tr>
      <w:tr w:rsidR="00B14C5B" w:rsidRPr="002F108D" w:rsidTr="00F42309">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2808" w:type="dxa"/>
          </w:tcPr>
          <w:p w:rsidR="00B14C5B" w:rsidRPr="00A45C90" w:rsidRDefault="00B14C5B" w:rsidP="00F42309">
            <w:pPr>
              <w:keepNext/>
              <w:keepLines/>
              <w:rPr>
                <w:rFonts w:cs="Arial"/>
                <w:b w:val="0"/>
                <w:sz w:val="20"/>
                <w:szCs w:val="20"/>
                <w:lang w:val="en-GB"/>
              </w:rPr>
            </w:pPr>
            <w:r w:rsidRPr="00A45C90">
              <w:rPr>
                <w:sz w:val="20"/>
                <w:szCs w:val="20"/>
              </w:rPr>
              <w:t>Thrombocytopenia</w:t>
            </w:r>
          </w:p>
        </w:tc>
        <w:tc>
          <w:tcPr>
            <w:tcW w:w="3600" w:type="dxa"/>
          </w:tcPr>
          <w:p w:rsidR="00B14C5B" w:rsidRPr="00DE3932" w:rsidRDefault="00B14C5B" w:rsidP="00F42309">
            <w:pPr>
              <w:keepNext/>
              <w:keepLines/>
              <w:jc w:val="center"/>
              <w:cnfStyle w:val="000000100000" w:firstRow="0" w:lastRow="0" w:firstColumn="0" w:lastColumn="0" w:oddVBand="0" w:evenVBand="0" w:oddHBand="1" w:evenHBand="0" w:firstRowFirstColumn="0" w:firstRowLastColumn="0" w:lastRowFirstColumn="0" w:lastRowLastColumn="0"/>
              <w:rPr>
                <w:rFonts w:cs="Arial"/>
                <w:color w:val="FF0000"/>
                <w:sz w:val="20"/>
                <w:szCs w:val="20"/>
              </w:rPr>
            </w:pPr>
            <w:r w:rsidRPr="00DE3932">
              <w:rPr>
                <w:sz w:val="20"/>
                <w:szCs w:val="20"/>
              </w:rPr>
              <w:t>37.0%</w:t>
            </w:r>
          </w:p>
        </w:tc>
      </w:tr>
    </w:tbl>
    <w:p w:rsidR="00B14C5B" w:rsidRDefault="00B14C5B" w:rsidP="00B14C5B">
      <w:pPr>
        <w:rPr>
          <w:lang w:val="en-GB"/>
        </w:rPr>
      </w:pPr>
    </w:p>
    <w:p w:rsidR="00B14C5B" w:rsidRPr="00B14C5B" w:rsidRDefault="00B14C5B" w:rsidP="00B14C5B">
      <w:pPr>
        <w:pStyle w:val="Caption"/>
        <w:keepNext/>
        <w:keepLines/>
        <w:rPr>
          <w:b w:val="0"/>
          <w:color w:val="auto"/>
          <w:sz w:val="22"/>
          <w:szCs w:val="22"/>
        </w:rPr>
      </w:pPr>
      <w:bookmarkStart w:id="6" w:name="_Ref284072777"/>
      <w:bookmarkStart w:id="7" w:name="_Ref284078100"/>
      <w:bookmarkStart w:id="8" w:name="_Toc288223322"/>
      <w:bookmarkStart w:id="9" w:name="_Toc321404771"/>
      <w:r w:rsidRPr="00B14C5B">
        <w:rPr>
          <w:b w:val="0"/>
          <w:color w:val="auto"/>
          <w:sz w:val="22"/>
          <w:szCs w:val="22"/>
        </w:rPr>
        <w:t xml:space="preserve">Table </w:t>
      </w:r>
      <w:bookmarkEnd w:id="6"/>
      <w:bookmarkEnd w:id="7"/>
      <w:r w:rsidRPr="00B14C5B">
        <w:rPr>
          <w:b w:val="0"/>
          <w:color w:val="auto"/>
          <w:sz w:val="22"/>
          <w:szCs w:val="22"/>
        </w:rPr>
        <w:t xml:space="preserve">S9: Costs of Modeled Grade 3+ Adverse Events </w:t>
      </w:r>
      <w:bookmarkEnd w:id="8"/>
      <w:bookmarkEnd w:id="9"/>
    </w:p>
    <w:tbl>
      <w:tblPr>
        <w:tblStyle w:val="LightList-Accent5"/>
        <w:tblW w:w="9378" w:type="dxa"/>
        <w:tblLook w:val="04A0" w:firstRow="1" w:lastRow="0" w:firstColumn="1" w:lastColumn="0" w:noHBand="0" w:noVBand="1"/>
      </w:tblPr>
      <w:tblGrid>
        <w:gridCol w:w="2538"/>
        <w:gridCol w:w="5130"/>
        <w:gridCol w:w="1710"/>
      </w:tblGrid>
      <w:tr w:rsidR="00B14C5B" w:rsidRPr="002F108D" w:rsidTr="00F42309">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538" w:type="dxa"/>
          </w:tcPr>
          <w:p w:rsidR="00B14C5B" w:rsidRPr="002F108D" w:rsidRDefault="00B14C5B" w:rsidP="00F42309">
            <w:pPr>
              <w:keepNext/>
              <w:keepLines/>
              <w:rPr>
                <w:sz w:val="20"/>
              </w:rPr>
            </w:pPr>
            <w:r>
              <w:rPr>
                <w:sz w:val="20"/>
                <w:lang w:val="en-GB"/>
              </w:rPr>
              <w:t>Adverse event</w:t>
            </w:r>
          </w:p>
        </w:tc>
        <w:tc>
          <w:tcPr>
            <w:tcW w:w="5130" w:type="dxa"/>
          </w:tcPr>
          <w:p w:rsidR="00B14C5B" w:rsidRPr="002F108D" w:rsidRDefault="00B14C5B" w:rsidP="00F42309">
            <w:pPr>
              <w:keepNext/>
              <w:keepLines/>
              <w:jc w:val="center"/>
              <w:cnfStyle w:val="100000000000" w:firstRow="1" w:lastRow="0" w:firstColumn="0" w:lastColumn="0" w:oddVBand="0" w:evenVBand="0" w:oddHBand="0" w:evenHBand="0" w:firstRowFirstColumn="0" w:firstRowLastColumn="0" w:lastRowFirstColumn="0" w:lastRowLastColumn="0"/>
              <w:rPr>
                <w:sz w:val="20"/>
              </w:rPr>
            </w:pPr>
            <w:r>
              <w:rPr>
                <w:sz w:val="20"/>
              </w:rPr>
              <w:t>DRG Codes Applied</w:t>
            </w:r>
          </w:p>
        </w:tc>
        <w:tc>
          <w:tcPr>
            <w:tcW w:w="1710" w:type="dxa"/>
          </w:tcPr>
          <w:p w:rsidR="00B14C5B" w:rsidRPr="002F108D" w:rsidRDefault="00B14C5B" w:rsidP="00F42309">
            <w:pPr>
              <w:keepNext/>
              <w:keepLines/>
              <w:jc w:val="center"/>
              <w:cnfStyle w:val="100000000000" w:firstRow="1" w:lastRow="0" w:firstColumn="0" w:lastColumn="0" w:oddVBand="0" w:evenVBand="0" w:oddHBand="0" w:evenHBand="0" w:firstRowFirstColumn="0" w:firstRowLastColumn="0" w:lastRowFirstColumn="0" w:lastRowLastColumn="0"/>
              <w:rPr>
                <w:sz w:val="20"/>
              </w:rPr>
            </w:pPr>
            <w:r w:rsidRPr="002F108D">
              <w:rPr>
                <w:sz w:val="20"/>
              </w:rPr>
              <w:t xml:space="preserve">Cost per event </w:t>
            </w:r>
          </w:p>
          <w:p w:rsidR="00B14C5B" w:rsidRPr="002F108D" w:rsidRDefault="00B14C5B" w:rsidP="00F42309">
            <w:pPr>
              <w:keepNext/>
              <w:keepLines/>
              <w:jc w:val="center"/>
              <w:cnfStyle w:val="100000000000" w:firstRow="1" w:lastRow="0" w:firstColumn="0" w:lastColumn="0" w:oddVBand="0" w:evenVBand="0" w:oddHBand="0" w:evenHBand="0" w:firstRowFirstColumn="0" w:firstRowLastColumn="0" w:lastRowFirstColumn="0" w:lastRowLastColumn="0"/>
              <w:rPr>
                <w:sz w:val="20"/>
              </w:rPr>
            </w:pPr>
            <w:r>
              <w:rPr>
                <w:sz w:val="20"/>
              </w:rPr>
              <w:t xml:space="preserve">(2018 </w:t>
            </w:r>
            <w:r w:rsidRPr="002F108D">
              <w:rPr>
                <w:sz w:val="20"/>
              </w:rPr>
              <w:t>USD)</w:t>
            </w:r>
          </w:p>
        </w:tc>
      </w:tr>
      <w:tr w:rsidR="00B14C5B" w:rsidRPr="002F108D" w:rsidTr="00F42309">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538" w:type="dxa"/>
          </w:tcPr>
          <w:p w:rsidR="00B14C5B" w:rsidRPr="00A45C90" w:rsidRDefault="00B14C5B" w:rsidP="00F42309">
            <w:pPr>
              <w:keepNext/>
              <w:keepLines/>
              <w:rPr>
                <w:rFonts w:ascii="Calibri" w:hAnsi="Calibri" w:cs="Calibri"/>
                <w:sz w:val="20"/>
                <w:szCs w:val="20"/>
              </w:rPr>
            </w:pPr>
            <w:r w:rsidRPr="00A45C90">
              <w:rPr>
                <w:sz w:val="20"/>
                <w:szCs w:val="20"/>
              </w:rPr>
              <w:t>Anaemia</w:t>
            </w:r>
          </w:p>
        </w:tc>
        <w:tc>
          <w:tcPr>
            <w:tcW w:w="5130" w:type="dxa"/>
          </w:tcPr>
          <w:p w:rsidR="00B14C5B" w:rsidRPr="00773A7F" w:rsidRDefault="00B14C5B" w:rsidP="00F42309">
            <w:pPr>
              <w:keepNext/>
              <w:keepLines/>
              <w:cnfStyle w:val="000000100000" w:firstRow="0" w:lastRow="0" w:firstColumn="0" w:lastColumn="0" w:oddVBand="0" w:evenVBand="0" w:oddHBand="1" w:evenHBand="0" w:firstRowFirstColumn="0" w:firstRowLastColumn="0" w:lastRowFirstColumn="0" w:lastRowLastColumn="0"/>
              <w:rPr>
                <w:sz w:val="20"/>
                <w:szCs w:val="20"/>
              </w:rPr>
            </w:pPr>
            <w:r w:rsidRPr="00773A7F">
              <w:rPr>
                <w:sz w:val="20"/>
                <w:szCs w:val="20"/>
              </w:rPr>
              <w:t>DRG 808, 809, 810 Major Hematologic/Immunologic Diagnoses Except Sickle Cell Crisis and Coagulation with MCC/CC and w/o MCC/CC</w:t>
            </w:r>
          </w:p>
        </w:tc>
        <w:tc>
          <w:tcPr>
            <w:tcW w:w="1710" w:type="dxa"/>
          </w:tcPr>
          <w:p w:rsidR="00B14C5B" w:rsidRPr="00A45C90" w:rsidRDefault="00B14C5B" w:rsidP="00F42309">
            <w:pPr>
              <w:keepNext/>
              <w:keepLines/>
              <w:jc w:val="center"/>
              <w:cnfStyle w:val="000000100000" w:firstRow="0" w:lastRow="0" w:firstColumn="0" w:lastColumn="0" w:oddVBand="0" w:evenVBand="0" w:oddHBand="1" w:evenHBand="0" w:firstRowFirstColumn="0" w:firstRowLastColumn="0" w:lastRowFirstColumn="0" w:lastRowLastColumn="0"/>
              <w:rPr>
                <w:rFonts w:cs="Arial"/>
                <w:color w:val="FF0000"/>
                <w:sz w:val="20"/>
                <w:szCs w:val="20"/>
              </w:rPr>
            </w:pPr>
            <w:r w:rsidRPr="00A45C90">
              <w:rPr>
                <w:sz w:val="20"/>
                <w:szCs w:val="20"/>
              </w:rPr>
              <w:t>$1,654</w:t>
            </w:r>
          </w:p>
        </w:tc>
      </w:tr>
      <w:tr w:rsidR="00B14C5B" w:rsidRPr="002F108D" w:rsidTr="00F42309">
        <w:trPr>
          <w:trHeight w:val="241"/>
        </w:trPr>
        <w:tc>
          <w:tcPr>
            <w:cnfStyle w:val="001000000000" w:firstRow="0" w:lastRow="0" w:firstColumn="1" w:lastColumn="0" w:oddVBand="0" w:evenVBand="0" w:oddHBand="0" w:evenHBand="0" w:firstRowFirstColumn="0" w:firstRowLastColumn="0" w:lastRowFirstColumn="0" w:lastRowLastColumn="0"/>
            <w:tcW w:w="2538" w:type="dxa"/>
          </w:tcPr>
          <w:p w:rsidR="00B14C5B" w:rsidRPr="00A45C90" w:rsidRDefault="00B14C5B" w:rsidP="00F42309">
            <w:pPr>
              <w:keepNext/>
              <w:keepLines/>
              <w:rPr>
                <w:rFonts w:ascii="Calibri" w:hAnsi="Calibri" w:cs="Calibri"/>
                <w:sz w:val="20"/>
                <w:szCs w:val="20"/>
              </w:rPr>
            </w:pPr>
            <w:r w:rsidRPr="00A45C90">
              <w:rPr>
                <w:sz w:val="20"/>
                <w:szCs w:val="20"/>
              </w:rPr>
              <w:t>Asthenia</w:t>
            </w:r>
          </w:p>
        </w:tc>
        <w:tc>
          <w:tcPr>
            <w:tcW w:w="5130" w:type="dxa"/>
          </w:tcPr>
          <w:p w:rsidR="00B14C5B" w:rsidRPr="00773A7F" w:rsidRDefault="00B14C5B" w:rsidP="00F42309">
            <w:pPr>
              <w:keepNext/>
              <w:keepLines/>
              <w:cnfStyle w:val="000000000000" w:firstRow="0" w:lastRow="0" w:firstColumn="0" w:lastColumn="0" w:oddVBand="0" w:evenVBand="0" w:oddHBand="0" w:evenHBand="0" w:firstRowFirstColumn="0" w:firstRowLastColumn="0" w:lastRowFirstColumn="0" w:lastRowLastColumn="0"/>
              <w:rPr>
                <w:sz w:val="20"/>
                <w:szCs w:val="20"/>
              </w:rPr>
            </w:pPr>
            <w:r w:rsidRPr="00773A7F">
              <w:rPr>
                <w:sz w:val="20"/>
                <w:szCs w:val="20"/>
              </w:rPr>
              <w:t>DRG 947, 948 Signs and symptoms with MCC/Without MCC</w:t>
            </w:r>
          </w:p>
        </w:tc>
        <w:tc>
          <w:tcPr>
            <w:tcW w:w="1710" w:type="dxa"/>
          </w:tcPr>
          <w:p w:rsidR="00B14C5B" w:rsidRPr="00A45C90" w:rsidRDefault="00B14C5B" w:rsidP="00F42309">
            <w:pPr>
              <w:keepNext/>
              <w:keepLines/>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45C90">
              <w:rPr>
                <w:sz w:val="20"/>
                <w:szCs w:val="20"/>
              </w:rPr>
              <w:t>$978</w:t>
            </w:r>
          </w:p>
        </w:tc>
      </w:tr>
      <w:tr w:rsidR="00B14C5B" w:rsidRPr="002F108D" w:rsidTr="00F42309">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2538" w:type="dxa"/>
          </w:tcPr>
          <w:p w:rsidR="00B14C5B" w:rsidRPr="00A45C90" w:rsidRDefault="00B14C5B" w:rsidP="00F42309">
            <w:pPr>
              <w:keepNext/>
              <w:keepLines/>
              <w:rPr>
                <w:sz w:val="20"/>
                <w:szCs w:val="20"/>
              </w:rPr>
            </w:pPr>
            <w:r w:rsidRPr="00A45C90">
              <w:rPr>
                <w:sz w:val="20"/>
                <w:szCs w:val="20"/>
              </w:rPr>
              <w:t>Diarrhea</w:t>
            </w:r>
          </w:p>
        </w:tc>
        <w:tc>
          <w:tcPr>
            <w:tcW w:w="5130" w:type="dxa"/>
          </w:tcPr>
          <w:p w:rsidR="00B14C5B" w:rsidRPr="00773A7F" w:rsidRDefault="00B14C5B" w:rsidP="00F42309">
            <w:pPr>
              <w:keepNext/>
              <w:keepLines/>
              <w:cnfStyle w:val="000000100000" w:firstRow="0" w:lastRow="0" w:firstColumn="0" w:lastColumn="0" w:oddVBand="0" w:evenVBand="0" w:oddHBand="1" w:evenHBand="0" w:firstRowFirstColumn="0" w:firstRowLastColumn="0" w:lastRowFirstColumn="0" w:lastRowLastColumn="0"/>
              <w:rPr>
                <w:sz w:val="20"/>
                <w:szCs w:val="20"/>
              </w:rPr>
            </w:pPr>
            <w:r w:rsidRPr="00773A7F">
              <w:rPr>
                <w:sz w:val="20"/>
                <w:szCs w:val="20"/>
              </w:rPr>
              <w:t>DRG 391, 392 Esophagitis, Gastroenteritis and miscellaneous digestive disorders with and w/o MCC</w:t>
            </w:r>
          </w:p>
        </w:tc>
        <w:tc>
          <w:tcPr>
            <w:tcW w:w="1710" w:type="dxa"/>
          </w:tcPr>
          <w:p w:rsidR="00B14C5B" w:rsidRPr="00A45C90" w:rsidRDefault="00B14C5B" w:rsidP="00F42309">
            <w:pPr>
              <w:keepNext/>
              <w:keepLines/>
              <w:jc w:val="center"/>
              <w:cnfStyle w:val="000000100000" w:firstRow="0" w:lastRow="0" w:firstColumn="0" w:lastColumn="0" w:oddVBand="0" w:evenVBand="0" w:oddHBand="1" w:evenHBand="0" w:firstRowFirstColumn="0" w:firstRowLastColumn="0" w:lastRowFirstColumn="0" w:lastRowLastColumn="0"/>
              <w:rPr>
                <w:rFonts w:cs="Arial"/>
                <w:color w:val="FF0000"/>
                <w:sz w:val="20"/>
                <w:szCs w:val="20"/>
              </w:rPr>
            </w:pPr>
            <w:r w:rsidRPr="00A45C90">
              <w:rPr>
                <w:sz w:val="20"/>
                <w:szCs w:val="20"/>
              </w:rPr>
              <w:t>$3,813</w:t>
            </w:r>
          </w:p>
        </w:tc>
      </w:tr>
      <w:tr w:rsidR="00B14C5B" w:rsidRPr="002F108D" w:rsidTr="00F42309">
        <w:trPr>
          <w:trHeight w:val="106"/>
        </w:trPr>
        <w:tc>
          <w:tcPr>
            <w:cnfStyle w:val="001000000000" w:firstRow="0" w:lastRow="0" w:firstColumn="1" w:lastColumn="0" w:oddVBand="0" w:evenVBand="0" w:oddHBand="0" w:evenHBand="0" w:firstRowFirstColumn="0" w:firstRowLastColumn="0" w:lastRowFirstColumn="0" w:lastRowLastColumn="0"/>
            <w:tcW w:w="2538" w:type="dxa"/>
          </w:tcPr>
          <w:p w:rsidR="00B14C5B" w:rsidRPr="00A45C90" w:rsidRDefault="00B14C5B" w:rsidP="00F42309">
            <w:pPr>
              <w:keepNext/>
              <w:keepLines/>
              <w:rPr>
                <w:rFonts w:ascii="Calibri" w:hAnsi="Calibri" w:cs="Calibri"/>
                <w:sz w:val="20"/>
                <w:szCs w:val="20"/>
              </w:rPr>
            </w:pPr>
            <w:r w:rsidRPr="00A45C90">
              <w:rPr>
                <w:sz w:val="20"/>
                <w:szCs w:val="20"/>
              </w:rPr>
              <w:t>Dyspnea</w:t>
            </w:r>
          </w:p>
        </w:tc>
        <w:tc>
          <w:tcPr>
            <w:tcW w:w="5130" w:type="dxa"/>
          </w:tcPr>
          <w:p w:rsidR="00B14C5B" w:rsidRPr="00773A7F" w:rsidRDefault="00B14C5B" w:rsidP="00F42309">
            <w:pPr>
              <w:keepNext/>
              <w:keepLines/>
              <w:cnfStyle w:val="000000000000" w:firstRow="0" w:lastRow="0" w:firstColumn="0" w:lastColumn="0" w:oddVBand="0" w:evenVBand="0" w:oddHBand="0" w:evenHBand="0" w:firstRowFirstColumn="0" w:firstRowLastColumn="0" w:lastRowFirstColumn="0" w:lastRowLastColumn="0"/>
              <w:rPr>
                <w:sz w:val="20"/>
                <w:szCs w:val="20"/>
              </w:rPr>
            </w:pPr>
            <w:r w:rsidRPr="00773A7F">
              <w:rPr>
                <w:sz w:val="20"/>
                <w:szCs w:val="20"/>
              </w:rPr>
              <w:t>DRG 204 Respiratory signs and symptoms</w:t>
            </w:r>
          </w:p>
        </w:tc>
        <w:tc>
          <w:tcPr>
            <w:tcW w:w="1710" w:type="dxa"/>
          </w:tcPr>
          <w:p w:rsidR="00B14C5B" w:rsidRPr="00A45C90" w:rsidRDefault="00B14C5B" w:rsidP="00F42309">
            <w:pPr>
              <w:keepNext/>
              <w:keepLines/>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45C90">
              <w:rPr>
                <w:sz w:val="20"/>
                <w:szCs w:val="20"/>
              </w:rPr>
              <w:t>$1,646</w:t>
            </w:r>
          </w:p>
        </w:tc>
      </w:tr>
      <w:tr w:rsidR="00B14C5B" w:rsidRPr="002F108D" w:rsidTr="00F42309">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538" w:type="dxa"/>
          </w:tcPr>
          <w:p w:rsidR="00B14C5B" w:rsidRPr="00A45C90" w:rsidRDefault="00B14C5B" w:rsidP="00F42309">
            <w:pPr>
              <w:keepNext/>
              <w:keepLines/>
              <w:rPr>
                <w:rFonts w:ascii="Calibri" w:hAnsi="Calibri" w:cs="Calibri"/>
                <w:sz w:val="20"/>
                <w:szCs w:val="20"/>
              </w:rPr>
            </w:pPr>
            <w:r w:rsidRPr="00A45C90">
              <w:rPr>
                <w:sz w:val="20"/>
                <w:szCs w:val="20"/>
              </w:rPr>
              <w:t>Fatigue</w:t>
            </w:r>
          </w:p>
        </w:tc>
        <w:tc>
          <w:tcPr>
            <w:tcW w:w="5130" w:type="dxa"/>
          </w:tcPr>
          <w:p w:rsidR="00B14C5B" w:rsidRPr="00773A7F" w:rsidRDefault="00B14C5B" w:rsidP="00F42309">
            <w:pPr>
              <w:keepNext/>
              <w:keepLines/>
              <w:cnfStyle w:val="000000100000" w:firstRow="0" w:lastRow="0" w:firstColumn="0" w:lastColumn="0" w:oddVBand="0" w:evenVBand="0" w:oddHBand="1" w:evenHBand="0" w:firstRowFirstColumn="0" w:firstRowLastColumn="0" w:lastRowFirstColumn="0" w:lastRowLastColumn="0"/>
              <w:rPr>
                <w:sz w:val="20"/>
                <w:szCs w:val="20"/>
              </w:rPr>
            </w:pPr>
            <w:r w:rsidRPr="00773A7F">
              <w:rPr>
                <w:sz w:val="20"/>
                <w:szCs w:val="20"/>
              </w:rPr>
              <w:t>DRG 947, 948 Signs and symptoms with MCC/Without MCC</w:t>
            </w:r>
          </w:p>
        </w:tc>
        <w:tc>
          <w:tcPr>
            <w:tcW w:w="1710" w:type="dxa"/>
          </w:tcPr>
          <w:p w:rsidR="00B14C5B" w:rsidRPr="00A45C90" w:rsidRDefault="00B14C5B" w:rsidP="00F42309">
            <w:pPr>
              <w:keepNext/>
              <w:keepLines/>
              <w:jc w:val="center"/>
              <w:cnfStyle w:val="000000100000" w:firstRow="0" w:lastRow="0" w:firstColumn="0" w:lastColumn="0" w:oddVBand="0" w:evenVBand="0" w:oddHBand="1" w:evenHBand="0" w:firstRowFirstColumn="0" w:firstRowLastColumn="0" w:lastRowFirstColumn="0" w:lastRowLastColumn="0"/>
              <w:rPr>
                <w:rFonts w:cs="Arial"/>
                <w:color w:val="FF0000"/>
                <w:sz w:val="20"/>
                <w:szCs w:val="20"/>
              </w:rPr>
            </w:pPr>
            <w:r w:rsidRPr="00A45C90">
              <w:rPr>
                <w:sz w:val="20"/>
                <w:szCs w:val="20"/>
              </w:rPr>
              <w:t>$694</w:t>
            </w:r>
          </w:p>
        </w:tc>
      </w:tr>
      <w:tr w:rsidR="00B14C5B" w:rsidRPr="002F108D" w:rsidTr="00F42309">
        <w:trPr>
          <w:trHeight w:val="151"/>
        </w:trPr>
        <w:tc>
          <w:tcPr>
            <w:cnfStyle w:val="001000000000" w:firstRow="0" w:lastRow="0" w:firstColumn="1" w:lastColumn="0" w:oddVBand="0" w:evenVBand="0" w:oddHBand="0" w:evenHBand="0" w:firstRowFirstColumn="0" w:firstRowLastColumn="0" w:lastRowFirstColumn="0" w:lastRowLastColumn="0"/>
            <w:tcW w:w="2538" w:type="dxa"/>
          </w:tcPr>
          <w:p w:rsidR="00B14C5B" w:rsidRPr="00A45C90" w:rsidRDefault="00B14C5B" w:rsidP="00F42309">
            <w:pPr>
              <w:keepNext/>
              <w:keepLines/>
              <w:rPr>
                <w:rFonts w:ascii="Calibri" w:hAnsi="Calibri" w:cs="Calibri"/>
                <w:sz w:val="20"/>
                <w:szCs w:val="20"/>
              </w:rPr>
            </w:pPr>
            <w:r w:rsidRPr="00A45C90">
              <w:rPr>
                <w:sz w:val="20"/>
                <w:szCs w:val="20"/>
              </w:rPr>
              <w:t>Febrile neutropenia</w:t>
            </w:r>
          </w:p>
        </w:tc>
        <w:tc>
          <w:tcPr>
            <w:tcW w:w="5130" w:type="dxa"/>
          </w:tcPr>
          <w:p w:rsidR="00B14C5B" w:rsidRPr="00773A7F" w:rsidRDefault="00B14C5B" w:rsidP="00F42309">
            <w:pPr>
              <w:keepNext/>
              <w:keepLines/>
              <w:cnfStyle w:val="000000000000" w:firstRow="0" w:lastRow="0" w:firstColumn="0" w:lastColumn="0" w:oddVBand="0" w:evenVBand="0" w:oddHBand="0" w:evenHBand="0" w:firstRowFirstColumn="0" w:firstRowLastColumn="0" w:lastRowFirstColumn="0" w:lastRowLastColumn="0"/>
              <w:rPr>
                <w:sz w:val="20"/>
                <w:szCs w:val="20"/>
              </w:rPr>
            </w:pPr>
            <w:r w:rsidRPr="00773A7F">
              <w:rPr>
                <w:sz w:val="20"/>
                <w:szCs w:val="20"/>
              </w:rPr>
              <w:t>DRG 808, 809, 810 Major Hematologic/Immunologic Diagnoses Except Sickle Cell Crisis and Coagulation with MCC/CC and w/o MCC/CC</w:t>
            </w:r>
          </w:p>
        </w:tc>
        <w:tc>
          <w:tcPr>
            <w:tcW w:w="1710" w:type="dxa"/>
          </w:tcPr>
          <w:p w:rsidR="00B14C5B" w:rsidRPr="00A45C90" w:rsidRDefault="00B14C5B" w:rsidP="00F42309">
            <w:pPr>
              <w:keepNext/>
              <w:keepLines/>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45C90">
              <w:rPr>
                <w:sz w:val="20"/>
                <w:szCs w:val="20"/>
              </w:rPr>
              <w:t>$7,473</w:t>
            </w:r>
          </w:p>
        </w:tc>
      </w:tr>
      <w:tr w:rsidR="00B14C5B" w:rsidRPr="002F108D" w:rsidTr="00F42309">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2538" w:type="dxa"/>
          </w:tcPr>
          <w:p w:rsidR="00B14C5B" w:rsidRPr="00A45C90" w:rsidRDefault="00B14C5B" w:rsidP="00F42309">
            <w:pPr>
              <w:keepNext/>
              <w:keepLines/>
              <w:rPr>
                <w:rFonts w:ascii="Calibri" w:hAnsi="Calibri" w:cs="Calibri"/>
                <w:sz w:val="20"/>
                <w:szCs w:val="20"/>
              </w:rPr>
            </w:pPr>
            <w:r w:rsidRPr="00A45C90">
              <w:rPr>
                <w:sz w:val="20"/>
                <w:szCs w:val="20"/>
              </w:rPr>
              <w:t>Hyponatremia</w:t>
            </w:r>
          </w:p>
        </w:tc>
        <w:tc>
          <w:tcPr>
            <w:tcW w:w="5130" w:type="dxa"/>
          </w:tcPr>
          <w:p w:rsidR="00B14C5B" w:rsidRPr="00773A7F" w:rsidRDefault="00B14C5B" w:rsidP="00F42309">
            <w:pPr>
              <w:keepNext/>
              <w:keepLines/>
              <w:cnfStyle w:val="000000100000" w:firstRow="0" w:lastRow="0" w:firstColumn="0" w:lastColumn="0" w:oddVBand="0" w:evenVBand="0" w:oddHBand="1" w:evenHBand="0" w:firstRowFirstColumn="0" w:firstRowLastColumn="0" w:lastRowFirstColumn="0" w:lastRowLastColumn="0"/>
              <w:rPr>
                <w:sz w:val="20"/>
                <w:szCs w:val="20"/>
              </w:rPr>
            </w:pPr>
            <w:r w:rsidRPr="00773A7F">
              <w:rPr>
                <w:sz w:val="20"/>
                <w:szCs w:val="20"/>
              </w:rPr>
              <w:t>DRG 642 Inborn and other disorders of metabolism</w:t>
            </w:r>
          </w:p>
        </w:tc>
        <w:tc>
          <w:tcPr>
            <w:tcW w:w="1710" w:type="dxa"/>
          </w:tcPr>
          <w:p w:rsidR="00B14C5B" w:rsidRPr="00A45C90" w:rsidRDefault="00B14C5B" w:rsidP="00F42309">
            <w:pPr>
              <w:keepNext/>
              <w:keepLines/>
              <w:jc w:val="center"/>
              <w:cnfStyle w:val="000000100000" w:firstRow="0" w:lastRow="0" w:firstColumn="0" w:lastColumn="0" w:oddVBand="0" w:evenVBand="0" w:oddHBand="1" w:evenHBand="0" w:firstRowFirstColumn="0" w:firstRowLastColumn="0" w:lastRowFirstColumn="0" w:lastRowLastColumn="0"/>
              <w:rPr>
                <w:rFonts w:cs="Arial"/>
                <w:color w:val="FF0000"/>
                <w:sz w:val="20"/>
                <w:szCs w:val="20"/>
              </w:rPr>
            </w:pPr>
            <w:r w:rsidRPr="00A45C90">
              <w:rPr>
                <w:sz w:val="20"/>
                <w:szCs w:val="20"/>
              </w:rPr>
              <w:t>$1,940</w:t>
            </w:r>
          </w:p>
        </w:tc>
      </w:tr>
      <w:tr w:rsidR="00B14C5B" w:rsidRPr="002F108D" w:rsidTr="00F42309">
        <w:trPr>
          <w:trHeight w:val="169"/>
        </w:trPr>
        <w:tc>
          <w:tcPr>
            <w:cnfStyle w:val="001000000000" w:firstRow="0" w:lastRow="0" w:firstColumn="1" w:lastColumn="0" w:oddVBand="0" w:evenVBand="0" w:oddHBand="0" w:evenHBand="0" w:firstRowFirstColumn="0" w:firstRowLastColumn="0" w:lastRowFirstColumn="0" w:lastRowLastColumn="0"/>
            <w:tcW w:w="2538" w:type="dxa"/>
          </w:tcPr>
          <w:p w:rsidR="00B14C5B" w:rsidRPr="00A45C90" w:rsidRDefault="00B14C5B" w:rsidP="00F42309">
            <w:pPr>
              <w:keepNext/>
              <w:keepLines/>
              <w:rPr>
                <w:rFonts w:ascii="Calibri" w:hAnsi="Calibri" w:cs="Calibri"/>
                <w:sz w:val="20"/>
                <w:szCs w:val="20"/>
              </w:rPr>
            </w:pPr>
            <w:r w:rsidRPr="00A45C90">
              <w:rPr>
                <w:sz w:val="20"/>
                <w:szCs w:val="20"/>
              </w:rPr>
              <w:t>Neutropenia</w:t>
            </w:r>
          </w:p>
        </w:tc>
        <w:tc>
          <w:tcPr>
            <w:tcW w:w="5130" w:type="dxa"/>
          </w:tcPr>
          <w:p w:rsidR="00B14C5B" w:rsidRPr="00773A7F" w:rsidRDefault="00B14C5B" w:rsidP="00F42309">
            <w:pPr>
              <w:keepNext/>
              <w:keepLines/>
              <w:cnfStyle w:val="000000000000" w:firstRow="0" w:lastRow="0" w:firstColumn="0" w:lastColumn="0" w:oddVBand="0" w:evenVBand="0" w:oddHBand="0" w:evenHBand="0" w:firstRowFirstColumn="0" w:firstRowLastColumn="0" w:lastRowFirstColumn="0" w:lastRowLastColumn="0"/>
              <w:rPr>
                <w:sz w:val="20"/>
                <w:szCs w:val="20"/>
              </w:rPr>
            </w:pPr>
            <w:r w:rsidRPr="00773A7F">
              <w:rPr>
                <w:sz w:val="20"/>
                <w:szCs w:val="20"/>
              </w:rPr>
              <w:t>DRG 808, 809, 810 Major Hematologic/Immunologic Diagnoses Except Sickle Cell Crisis and Coagulation with MCC/CC and w/o MCC/CC</w:t>
            </w:r>
          </w:p>
        </w:tc>
        <w:tc>
          <w:tcPr>
            <w:tcW w:w="1710" w:type="dxa"/>
          </w:tcPr>
          <w:p w:rsidR="00B14C5B" w:rsidRPr="00A45C90" w:rsidRDefault="00B14C5B" w:rsidP="00F42309">
            <w:pPr>
              <w:keepNext/>
              <w:keepLines/>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45C90">
              <w:rPr>
                <w:sz w:val="20"/>
                <w:szCs w:val="20"/>
              </w:rPr>
              <w:t>$1,043</w:t>
            </w:r>
          </w:p>
        </w:tc>
      </w:tr>
      <w:tr w:rsidR="00B14C5B" w:rsidRPr="002F108D" w:rsidTr="00F42309">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538" w:type="dxa"/>
          </w:tcPr>
          <w:p w:rsidR="00B14C5B" w:rsidRPr="00A45C90" w:rsidRDefault="00B14C5B" w:rsidP="00F42309">
            <w:pPr>
              <w:keepNext/>
              <w:keepLines/>
              <w:rPr>
                <w:rFonts w:ascii="Calibri" w:hAnsi="Calibri" w:cs="Calibri"/>
                <w:sz w:val="20"/>
                <w:szCs w:val="20"/>
              </w:rPr>
            </w:pPr>
            <w:r w:rsidRPr="00A45C90">
              <w:rPr>
                <w:sz w:val="20"/>
                <w:szCs w:val="20"/>
              </w:rPr>
              <w:t>Pneumonia</w:t>
            </w:r>
          </w:p>
        </w:tc>
        <w:tc>
          <w:tcPr>
            <w:tcW w:w="5130" w:type="dxa"/>
          </w:tcPr>
          <w:p w:rsidR="00B14C5B" w:rsidRPr="00773A7F" w:rsidRDefault="00B14C5B" w:rsidP="00F42309">
            <w:pPr>
              <w:keepNext/>
              <w:keepLines/>
              <w:cnfStyle w:val="000000100000" w:firstRow="0" w:lastRow="0" w:firstColumn="0" w:lastColumn="0" w:oddVBand="0" w:evenVBand="0" w:oddHBand="1" w:evenHBand="0" w:firstRowFirstColumn="0" w:firstRowLastColumn="0" w:lastRowFirstColumn="0" w:lastRowLastColumn="0"/>
              <w:rPr>
                <w:sz w:val="20"/>
                <w:szCs w:val="20"/>
              </w:rPr>
            </w:pPr>
            <w:r w:rsidRPr="00773A7F">
              <w:rPr>
                <w:sz w:val="20"/>
                <w:szCs w:val="20"/>
              </w:rPr>
              <w:t>DRG 193, 194, 195 Simple pneumonia and pleurisy with MCC/CC/withour MCC &amp; CC</w:t>
            </w:r>
          </w:p>
        </w:tc>
        <w:tc>
          <w:tcPr>
            <w:tcW w:w="1710" w:type="dxa"/>
          </w:tcPr>
          <w:p w:rsidR="00B14C5B" w:rsidRPr="00A45C90" w:rsidRDefault="00B14C5B" w:rsidP="00F42309">
            <w:pPr>
              <w:keepNext/>
              <w:keepLines/>
              <w:jc w:val="center"/>
              <w:cnfStyle w:val="000000100000" w:firstRow="0" w:lastRow="0" w:firstColumn="0" w:lastColumn="0" w:oddVBand="0" w:evenVBand="0" w:oddHBand="1" w:evenHBand="0" w:firstRowFirstColumn="0" w:firstRowLastColumn="0" w:lastRowFirstColumn="0" w:lastRowLastColumn="0"/>
              <w:rPr>
                <w:rFonts w:cs="Arial"/>
                <w:color w:val="FF0000"/>
                <w:sz w:val="20"/>
                <w:szCs w:val="20"/>
              </w:rPr>
            </w:pPr>
            <w:r w:rsidRPr="00A45C90">
              <w:rPr>
                <w:sz w:val="20"/>
                <w:szCs w:val="20"/>
              </w:rPr>
              <w:t>$5,754</w:t>
            </w:r>
          </w:p>
        </w:tc>
      </w:tr>
      <w:tr w:rsidR="00B14C5B" w:rsidRPr="002F108D" w:rsidTr="00F42309">
        <w:trPr>
          <w:trHeight w:val="79"/>
        </w:trPr>
        <w:tc>
          <w:tcPr>
            <w:cnfStyle w:val="001000000000" w:firstRow="0" w:lastRow="0" w:firstColumn="1" w:lastColumn="0" w:oddVBand="0" w:evenVBand="0" w:oddHBand="0" w:evenHBand="0" w:firstRowFirstColumn="0" w:firstRowLastColumn="0" w:lastRowFirstColumn="0" w:lastRowLastColumn="0"/>
            <w:tcW w:w="2538" w:type="dxa"/>
          </w:tcPr>
          <w:p w:rsidR="00B14C5B" w:rsidRPr="00A45C90" w:rsidRDefault="00B14C5B" w:rsidP="00F42309">
            <w:pPr>
              <w:keepNext/>
              <w:keepLines/>
              <w:rPr>
                <w:rFonts w:ascii="Calibri" w:hAnsi="Calibri" w:cs="Calibri"/>
                <w:sz w:val="20"/>
                <w:szCs w:val="20"/>
              </w:rPr>
            </w:pPr>
            <w:r w:rsidRPr="00A45C90">
              <w:rPr>
                <w:sz w:val="20"/>
                <w:szCs w:val="20"/>
              </w:rPr>
              <w:t>Pneumonitis</w:t>
            </w:r>
          </w:p>
        </w:tc>
        <w:tc>
          <w:tcPr>
            <w:tcW w:w="5130" w:type="dxa"/>
          </w:tcPr>
          <w:p w:rsidR="00B14C5B" w:rsidRPr="00773A7F" w:rsidRDefault="00B14C5B" w:rsidP="00F42309">
            <w:pPr>
              <w:keepNext/>
              <w:keepLines/>
              <w:cnfStyle w:val="000000000000" w:firstRow="0" w:lastRow="0" w:firstColumn="0" w:lastColumn="0" w:oddVBand="0" w:evenVBand="0" w:oddHBand="0" w:evenHBand="0" w:firstRowFirstColumn="0" w:firstRowLastColumn="0" w:lastRowFirstColumn="0" w:lastRowLastColumn="0"/>
              <w:rPr>
                <w:sz w:val="20"/>
                <w:szCs w:val="20"/>
              </w:rPr>
            </w:pPr>
            <w:r w:rsidRPr="00773A7F">
              <w:rPr>
                <w:sz w:val="20"/>
                <w:szCs w:val="20"/>
              </w:rPr>
              <w:t>DRG 177, 178, 179 Respiratory infections and inflammations with MCC/CC/Without MCC&amp;CC</w:t>
            </w:r>
          </w:p>
        </w:tc>
        <w:tc>
          <w:tcPr>
            <w:tcW w:w="1710" w:type="dxa"/>
          </w:tcPr>
          <w:p w:rsidR="00B14C5B" w:rsidRPr="00A45C90" w:rsidRDefault="00B14C5B" w:rsidP="00F42309">
            <w:pPr>
              <w:keepNext/>
              <w:keepLines/>
              <w:jc w:val="center"/>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45C90">
              <w:rPr>
                <w:sz w:val="20"/>
                <w:szCs w:val="20"/>
              </w:rPr>
              <w:t>$8,188</w:t>
            </w:r>
          </w:p>
        </w:tc>
      </w:tr>
      <w:tr w:rsidR="00B14C5B" w:rsidRPr="002F108D" w:rsidTr="00F42309">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2538" w:type="dxa"/>
          </w:tcPr>
          <w:p w:rsidR="00B14C5B" w:rsidRPr="00A45C90" w:rsidRDefault="00B14C5B" w:rsidP="00F42309">
            <w:pPr>
              <w:keepNext/>
              <w:keepLines/>
              <w:rPr>
                <w:rFonts w:cs="Arial"/>
                <w:b w:val="0"/>
                <w:sz w:val="20"/>
                <w:szCs w:val="20"/>
                <w:lang w:val="en-GB"/>
              </w:rPr>
            </w:pPr>
            <w:r w:rsidRPr="00A45C90">
              <w:rPr>
                <w:sz w:val="20"/>
                <w:szCs w:val="20"/>
              </w:rPr>
              <w:t>Thrombocytopenia</w:t>
            </w:r>
          </w:p>
        </w:tc>
        <w:tc>
          <w:tcPr>
            <w:tcW w:w="5130" w:type="dxa"/>
          </w:tcPr>
          <w:p w:rsidR="00B14C5B" w:rsidRPr="00773A7F" w:rsidRDefault="00B14C5B" w:rsidP="00F42309">
            <w:pPr>
              <w:keepNext/>
              <w:keepLines/>
              <w:cnfStyle w:val="000000100000" w:firstRow="0" w:lastRow="0" w:firstColumn="0" w:lastColumn="0" w:oddVBand="0" w:evenVBand="0" w:oddHBand="1" w:evenHBand="0" w:firstRowFirstColumn="0" w:firstRowLastColumn="0" w:lastRowFirstColumn="0" w:lastRowLastColumn="0"/>
              <w:rPr>
                <w:sz w:val="20"/>
                <w:szCs w:val="20"/>
              </w:rPr>
            </w:pPr>
            <w:r w:rsidRPr="00773A7F">
              <w:rPr>
                <w:sz w:val="20"/>
                <w:szCs w:val="20"/>
              </w:rPr>
              <w:t>DRG 951 Other factors influ</w:t>
            </w:r>
            <w:r>
              <w:rPr>
                <w:sz w:val="20"/>
                <w:szCs w:val="20"/>
              </w:rPr>
              <w:t>en</w:t>
            </w:r>
            <w:r w:rsidRPr="00773A7F">
              <w:rPr>
                <w:sz w:val="20"/>
                <w:szCs w:val="20"/>
              </w:rPr>
              <w:t>cing health status</w:t>
            </w:r>
          </w:p>
        </w:tc>
        <w:tc>
          <w:tcPr>
            <w:tcW w:w="1710" w:type="dxa"/>
          </w:tcPr>
          <w:p w:rsidR="00B14C5B" w:rsidRPr="00A45C90" w:rsidRDefault="00B14C5B" w:rsidP="00F42309">
            <w:pPr>
              <w:keepNext/>
              <w:keepLines/>
              <w:jc w:val="center"/>
              <w:cnfStyle w:val="000000100000" w:firstRow="0" w:lastRow="0" w:firstColumn="0" w:lastColumn="0" w:oddVBand="0" w:evenVBand="0" w:oddHBand="1" w:evenHBand="0" w:firstRowFirstColumn="0" w:firstRowLastColumn="0" w:lastRowFirstColumn="0" w:lastRowLastColumn="0"/>
              <w:rPr>
                <w:rFonts w:cs="Arial"/>
                <w:color w:val="FF0000"/>
                <w:sz w:val="20"/>
                <w:szCs w:val="20"/>
              </w:rPr>
            </w:pPr>
            <w:r w:rsidRPr="00A45C90">
              <w:rPr>
                <w:sz w:val="20"/>
                <w:szCs w:val="20"/>
              </w:rPr>
              <w:t>$1,814</w:t>
            </w:r>
          </w:p>
        </w:tc>
      </w:tr>
    </w:tbl>
    <w:p w:rsidR="00B14C5B" w:rsidRPr="0053393C" w:rsidRDefault="00B14C5B" w:rsidP="00B14C5B">
      <w:pPr>
        <w:keepNext/>
        <w:keepLines/>
        <w:rPr>
          <w:rFonts w:eastAsia="Times New Roman"/>
          <w:sz w:val="18"/>
          <w:szCs w:val="18"/>
          <w:lang w:val="fr-CA"/>
        </w:rPr>
      </w:pPr>
      <w:r w:rsidRPr="0053393C">
        <w:rPr>
          <w:rFonts w:eastAsia="Times New Roman"/>
          <w:sz w:val="18"/>
          <w:szCs w:val="18"/>
          <w:lang w:val="fr-CA"/>
        </w:rPr>
        <w:t>Source:</w:t>
      </w:r>
      <w:r w:rsidRPr="0053393C">
        <w:rPr>
          <w:lang w:val="fr-CA"/>
        </w:rPr>
        <w:t xml:space="preserve"> </w:t>
      </w:r>
      <w:r w:rsidRPr="00247982">
        <w:rPr>
          <w:rFonts w:eastAsia="Times New Roman"/>
          <w:sz w:val="18"/>
          <w:szCs w:val="18"/>
          <w:lang w:val="fr-CA"/>
        </w:rPr>
        <w:t>https://www.cms.gov/Medicare/Medicare-Fee-for-Service-Payment/AcuteInpatientPPS/FY2018-IPPS-Final-Rule-Home-Page.html</w:t>
      </w:r>
    </w:p>
    <w:p w:rsidR="00B14C5B" w:rsidRDefault="00B14C5B" w:rsidP="00B14C5B">
      <w:pPr>
        <w:rPr>
          <w:lang w:val="en-GB"/>
        </w:rPr>
      </w:pPr>
    </w:p>
    <w:p w:rsidR="00F42309" w:rsidRPr="00F42309" w:rsidRDefault="00F42309" w:rsidP="00F42309">
      <w:pPr>
        <w:pStyle w:val="Caption"/>
        <w:keepNext/>
        <w:rPr>
          <w:b w:val="0"/>
          <w:color w:val="auto"/>
          <w:sz w:val="22"/>
          <w:szCs w:val="22"/>
        </w:rPr>
      </w:pPr>
      <w:bookmarkStart w:id="10" w:name="_Ref448180547"/>
      <w:bookmarkStart w:id="11" w:name="_Toc321404773"/>
      <w:r w:rsidRPr="00F42309">
        <w:rPr>
          <w:b w:val="0"/>
          <w:color w:val="auto"/>
          <w:sz w:val="22"/>
          <w:szCs w:val="22"/>
        </w:rPr>
        <w:t xml:space="preserve">Table </w:t>
      </w:r>
      <w:bookmarkEnd w:id="10"/>
      <w:r w:rsidRPr="00F42309">
        <w:rPr>
          <w:b w:val="0"/>
          <w:color w:val="auto"/>
          <w:sz w:val="22"/>
          <w:szCs w:val="22"/>
        </w:rPr>
        <w:t>S10 - Deterministic Sensitivity Analysis Parameter Ranges</w:t>
      </w:r>
      <w:bookmarkEnd w:id="11"/>
      <w:r w:rsidRPr="00F42309">
        <w:rPr>
          <w:b w:val="0"/>
          <w:color w:val="auto"/>
          <w:sz w:val="22"/>
          <w:szCs w:val="22"/>
        </w:rPr>
        <w:t xml:space="preserve"> for the Primary Analysis</w:t>
      </w:r>
    </w:p>
    <w:tbl>
      <w:tblPr>
        <w:tblStyle w:val="LightList-Accent5"/>
        <w:tblW w:w="4615" w:type="pct"/>
        <w:tblLook w:val="0020" w:firstRow="1" w:lastRow="0" w:firstColumn="0" w:lastColumn="0" w:noHBand="0" w:noVBand="0"/>
      </w:tblPr>
      <w:tblGrid>
        <w:gridCol w:w="2987"/>
        <w:gridCol w:w="2341"/>
        <w:gridCol w:w="3511"/>
      </w:tblGrid>
      <w:tr w:rsidR="00F42309" w:rsidRPr="002F108D" w:rsidTr="00F42309">
        <w:trPr>
          <w:cnfStyle w:val="100000000000" w:firstRow="1" w:lastRow="0" w:firstColumn="0" w:lastColumn="0" w:oddVBand="0" w:evenVBand="0" w:oddHBand="0"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690" w:type="pct"/>
          </w:tcPr>
          <w:p w:rsidR="00F42309" w:rsidRPr="002F108D" w:rsidRDefault="00F42309" w:rsidP="00F42309">
            <w:pPr>
              <w:keepNext/>
              <w:keepLines/>
              <w:spacing w:line="23" w:lineRule="atLeast"/>
              <w:rPr>
                <w:bCs w:val="0"/>
                <w:sz w:val="18"/>
                <w:szCs w:val="18"/>
              </w:rPr>
            </w:pPr>
            <w:r w:rsidRPr="002F108D">
              <w:rPr>
                <w:bCs w:val="0"/>
                <w:sz w:val="18"/>
                <w:szCs w:val="18"/>
              </w:rPr>
              <w:t>Model Parameter</w:t>
            </w:r>
          </w:p>
        </w:tc>
        <w:tc>
          <w:tcPr>
            <w:tcW w:w="1324" w:type="pct"/>
          </w:tcPr>
          <w:p w:rsidR="00F42309" w:rsidRPr="002F108D" w:rsidRDefault="00F42309" w:rsidP="00F42309">
            <w:pPr>
              <w:keepNext/>
              <w:keepLines/>
              <w:spacing w:line="23" w:lineRule="atLeast"/>
              <w:jc w:val="center"/>
              <w:cnfStyle w:val="100000000000" w:firstRow="1" w:lastRow="0" w:firstColumn="0" w:lastColumn="0" w:oddVBand="0" w:evenVBand="0" w:oddHBand="0" w:evenHBand="0" w:firstRowFirstColumn="0" w:firstRowLastColumn="0" w:lastRowFirstColumn="0" w:lastRowLastColumn="0"/>
              <w:rPr>
                <w:bCs w:val="0"/>
                <w:sz w:val="18"/>
                <w:szCs w:val="18"/>
              </w:rPr>
            </w:pPr>
            <w:r w:rsidRPr="002F108D">
              <w:rPr>
                <w:bCs w:val="0"/>
                <w:sz w:val="18"/>
                <w:szCs w:val="18"/>
              </w:rPr>
              <w:t>Base-Case Value</w:t>
            </w:r>
          </w:p>
        </w:tc>
        <w:tc>
          <w:tcPr>
            <w:cnfStyle w:val="000010000000" w:firstRow="0" w:lastRow="0" w:firstColumn="0" w:lastColumn="0" w:oddVBand="1" w:evenVBand="0" w:oddHBand="0" w:evenHBand="0" w:firstRowFirstColumn="0" w:firstRowLastColumn="0" w:lastRowFirstColumn="0" w:lastRowLastColumn="0"/>
            <w:tcW w:w="1986" w:type="pct"/>
          </w:tcPr>
          <w:p w:rsidR="00F42309" w:rsidRPr="002F108D" w:rsidRDefault="00F42309" w:rsidP="00F42309">
            <w:pPr>
              <w:keepNext/>
              <w:keepLines/>
              <w:spacing w:line="23" w:lineRule="atLeast"/>
              <w:jc w:val="center"/>
              <w:rPr>
                <w:bCs w:val="0"/>
                <w:sz w:val="18"/>
                <w:szCs w:val="18"/>
              </w:rPr>
            </w:pPr>
            <w:r w:rsidRPr="002F108D">
              <w:rPr>
                <w:bCs w:val="0"/>
                <w:sz w:val="18"/>
                <w:szCs w:val="18"/>
              </w:rPr>
              <w:t>DSA Range</w:t>
            </w:r>
          </w:p>
        </w:tc>
      </w:tr>
      <w:tr w:rsidR="00F42309" w:rsidRPr="002F108D" w:rsidTr="00F42309">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690" w:type="pct"/>
          </w:tcPr>
          <w:p w:rsidR="00F42309" w:rsidRPr="002F108D" w:rsidRDefault="00F42309" w:rsidP="00F42309">
            <w:pPr>
              <w:keepNext/>
              <w:keepLines/>
              <w:spacing w:line="23" w:lineRule="atLeast"/>
              <w:rPr>
                <w:color w:val="000000"/>
                <w:sz w:val="18"/>
                <w:szCs w:val="18"/>
              </w:rPr>
            </w:pPr>
            <w:r w:rsidRPr="002F108D">
              <w:rPr>
                <w:color w:val="000000"/>
                <w:sz w:val="18"/>
                <w:szCs w:val="18"/>
              </w:rPr>
              <w:t xml:space="preserve">OS </w:t>
            </w:r>
            <w:r>
              <w:rPr>
                <w:color w:val="000000"/>
                <w:sz w:val="18"/>
                <w:szCs w:val="18"/>
              </w:rPr>
              <w:t>–</w:t>
            </w:r>
            <w:r w:rsidRPr="002F108D">
              <w:rPr>
                <w:color w:val="000000"/>
                <w:sz w:val="18"/>
                <w:szCs w:val="18"/>
              </w:rPr>
              <w:t xml:space="preserve"> pembrolizumab</w:t>
            </w:r>
            <w:r>
              <w:rPr>
                <w:color w:val="000000"/>
                <w:sz w:val="18"/>
                <w:szCs w:val="18"/>
              </w:rPr>
              <w:t xml:space="preserve"> + chemotherapy</w:t>
            </w:r>
          </w:p>
        </w:tc>
        <w:tc>
          <w:tcPr>
            <w:tcW w:w="1324" w:type="pct"/>
          </w:tcPr>
          <w:p w:rsidR="00F42309" w:rsidRPr="002F108D" w:rsidRDefault="00F42309" w:rsidP="00F42309">
            <w:pPr>
              <w:keepNext/>
              <w:keepLines/>
              <w:spacing w:line="23" w:lineRule="atLeast"/>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2F108D">
              <w:rPr>
                <w:color w:val="000000"/>
                <w:sz w:val="18"/>
                <w:szCs w:val="18"/>
              </w:rPr>
              <w:t>KM</w:t>
            </w:r>
            <w:r>
              <w:rPr>
                <w:color w:val="000000"/>
                <w:sz w:val="18"/>
                <w:szCs w:val="18"/>
              </w:rPr>
              <w:t xml:space="preserve"> in year 1, followed by RR applied to chemotherapy arm OS to year 5, followed by SEER mortality risks</w:t>
            </w:r>
          </w:p>
        </w:tc>
        <w:tc>
          <w:tcPr>
            <w:cnfStyle w:val="000010000000" w:firstRow="0" w:lastRow="0" w:firstColumn="0" w:lastColumn="0" w:oddVBand="1" w:evenVBand="0" w:oddHBand="0" w:evenHBand="0" w:firstRowFirstColumn="0" w:firstRowLastColumn="0" w:lastRowFirstColumn="0" w:lastRowLastColumn="0"/>
            <w:tcW w:w="1986" w:type="pct"/>
          </w:tcPr>
          <w:p w:rsidR="00F42309" w:rsidRDefault="00F42309" w:rsidP="00F42309">
            <w:pPr>
              <w:keepNext/>
              <w:keepLines/>
              <w:spacing w:line="23" w:lineRule="atLeast"/>
              <w:jc w:val="center"/>
              <w:rPr>
                <w:color w:val="000000"/>
                <w:sz w:val="18"/>
                <w:szCs w:val="18"/>
                <w:lang w:val="en-US"/>
              </w:rPr>
            </w:pPr>
          </w:p>
          <w:p w:rsidR="00F42309" w:rsidRDefault="00F42309" w:rsidP="00F42309">
            <w:pPr>
              <w:keepNext/>
              <w:keepLines/>
              <w:spacing w:line="23" w:lineRule="atLeast"/>
              <w:jc w:val="center"/>
              <w:rPr>
                <w:color w:val="000000"/>
                <w:sz w:val="18"/>
                <w:szCs w:val="18"/>
                <w:lang w:val="en-US"/>
              </w:rPr>
            </w:pPr>
            <w:r>
              <w:rPr>
                <w:color w:val="000000"/>
                <w:sz w:val="18"/>
                <w:szCs w:val="18"/>
                <w:lang w:val="en-US"/>
              </w:rPr>
              <w:t>95% CI limits of RR</w:t>
            </w:r>
          </w:p>
          <w:p w:rsidR="00F42309" w:rsidRDefault="00F42309" w:rsidP="00F42309">
            <w:pPr>
              <w:keepNext/>
              <w:keepLines/>
              <w:spacing w:line="23" w:lineRule="atLeast"/>
              <w:jc w:val="center"/>
              <w:rPr>
                <w:color w:val="000000"/>
                <w:sz w:val="18"/>
                <w:szCs w:val="18"/>
                <w:lang w:val="en-US"/>
              </w:rPr>
            </w:pPr>
          </w:p>
          <w:p w:rsidR="00F42309" w:rsidRPr="00B031AA" w:rsidRDefault="00F42309" w:rsidP="00F42309">
            <w:pPr>
              <w:keepNext/>
              <w:keepLines/>
              <w:spacing w:line="23" w:lineRule="atLeast"/>
              <w:jc w:val="center"/>
              <w:rPr>
                <w:color w:val="000000"/>
                <w:sz w:val="18"/>
                <w:szCs w:val="18"/>
              </w:rPr>
            </w:pPr>
            <w:r w:rsidRPr="002F108D">
              <w:rPr>
                <w:color w:val="000000"/>
                <w:sz w:val="18"/>
                <w:szCs w:val="18"/>
              </w:rPr>
              <w:t>+/- 20%</w:t>
            </w:r>
            <w:r>
              <w:rPr>
                <w:color w:val="000000"/>
                <w:sz w:val="18"/>
                <w:szCs w:val="18"/>
              </w:rPr>
              <w:t xml:space="preserve"> of SEER mortality risks</w:t>
            </w:r>
          </w:p>
        </w:tc>
      </w:tr>
      <w:tr w:rsidR="00F42309" w:rsidRPr="002F108D" w:rsidTr="00F42309">
        <w:trPr>
          <w:trHeight w:val="510"/>
        </w:trPr>
        <w:tc>
          <w:tcPr>
            <w:cnfStyle w:val="000010000000" w:firstRow="0" w:lastRow="0" w:firstColumn="0" w:lastColumn="0" w:oddVBand="1" w:evenVBand="0" w:oddHBand="0" w:evenHBand="0" w:firstRowFirstColumn="0" w:firstRowLastColumn="0" w:lastRowFirstColumn="0" w:lastRowLastColumn="0"/>
            <w:tcW w:w="1690" w:type="pct"/>
          </w:tcPr>
          <w:p w:rsidR="00F42309" w:rsidRPr="002F108D" w:rsidRDefault="00F42309" w:rsidP="00F42309">
            <w:pPr>
              <w:keepNext/>
              <w:keepLines/>
              <w:spacing w:line="23" w:lineRule="atLeast"/>
              <w:rPr>
                <w:color w:val="000000"/>
                <w:sz w:val="18"/>
                <w:szCs w:val="18"/>
              </w:rPr>
            </w:pPr>
            <w:r w:rsidRPr="002F108D">
              <w:rPr>
                <w:color w:val="000000"/>
                <w:sz w:val="18"/>
                <w:szCs w:val="18"/>
              </w:rPr>
              <w:t xml:space="preserve">OS - </w:t>
            </w:r>
            <w:r>
              <w:rPr>
                <w:color w:val="000000"/>
                <w:sz w:val="18"/>
                <w:szCs w:val="18"/>
              </w:rPr>
              <w:t>chemotherapy</w:t>
            </w:r>
          </w:p>
        </w:tc>
        <w:tc>
          <w:tcPr>
            <w:tcW w:w="1324" w:type="pct"/>
          </w:tcPr>
          <w:p w:rsidR="00F42309" w:rsidRPr="002F108D" w:rsidRDefault="00F42309" w:rsidP="00F42309">
            <w:pPr>
              <w:keepNext/>
              <w:keepLines/>
              <w:spacing w:line="23" w:lineRule="atLeast"/>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2F108D">
              <w:rPr>
                <w:color w:val="000000"/>
                <w:sz w:val="18"/>
                <w:szCs w:val="18"/>
              </w:rPr>
              <w:t>KM</w:t>
            </w:r>
            <w:r>
              <w:rPr>
                <w:color w:val="000000"/>
                <w:sz w:val="18"/>
                <w:szCs w:val="18"/>
              </w:rPr>
              <w:t xml:space="preserve"> in year 1, followed by SEER mortality risks</w:t>
            </w:r>
          </w:p>
        </w:tc>
        <w:tc>
          <w:tcPr>
            <w:cnfStyle w:val="000010000000" w:firstRow="0" w:lastRow="0" w:firstColumn="0" w:lastColumn="0" w:oddVBand="1" w:evenVBand="0" w:oddHBand="0" w:evenHBand="0" w:firstRowFirstColumn="0" w:firstRowLastColumn="0" w:lastRowFirstColumn="0" w:lastRowLastColumn="0"/>
            <w:tcW w:w="1986" w:type="pct"/>
          </w:tcPr>
          <w:p w:rsidR="00F42309" w:rsidRDefault="00F42309" w:rsidP="00F42309">
            <w:pPr>
              <w:keepNext/>
              <w:keepLines/>
              <w:spacing w:line="23" w:lineRule="atLeast"/>
              <w:jc w:val="center"/>
              <w:rPr>
                <w:color w:val="000000"/>
                <w:sz w:val="18"/>
                <w:szCs w:val="18"/>
                <w:lang w:val="en-US"/>
              </w:rPr>
            </w:pPr>
          </w:p>
          <w:p w:rsidR="00F42309" w:rsidRPr="00B031AA" w:rsidRDefault="00F42309" w:rsidP="00F42309">
            <w:pPr>
              <w:keepNext/>
              <w:keepLines/>
              <w:spacing w:line="23" w:lineRule="atLeast"/>
              <w:jc w:val="center"/>
              <w:rPr>
                <w:color w:val="000000"/>
                <w:sz w:val="18"/>
                <w:szCs w:val="18"/>
              </w:rPr>
            </w:pPr>
            <w:r w:rsidRPr="002F108D">
              <w:rPr>
                <w:color w:val="000000"/>
                <w:sz w:val="18"/>
                <w:szCs w:val="18"/>
              </w:rPr>
              <w:t>+/- 20%</w:t>
            </w:r>
            <w:r>
              <w:rPr>
                <w:color w:val="000000"/>
                <w:sz w:val="18"/>
                <w:szCs w:val="18"/>
              </w:rPr>
              <w:t xml:space="preserve"> of SEER mortality risks</w:t>
            </w:r>
          </w:p>
        </w:tc>
      </w:tr>
      <w:tr w:rsidR="00F42309" w:rsidRPr="002F108D" w:rsidTr="00F42309">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690" w:type="pct"/>
          </w:tcPr>
          <w:p w:rsidR="00F42309" w:rsidRPr="002F108D" w:rsidRDefault="00F42309" w:rsidP="00F42309">
            <w:pPr>
              <w:keepNext/>
              <w:keepLines/>
              <w:spacing w:line="23" w:lineRule="atLeast"/>
              <w:rPr>
                <w:color w:val="000000"/>
                <w:sz w:val="18"/>
                <w:szCs w:val="18"/>
              </w:rPr>
            </w:pPr>
            <w:r w:rsidRPr="002F108D">
              <w:rPr>
                <w:color w:val="000000"/>
                <w:sz w:val="18"/>
                <w:szCs w:val="18"/>
              </w:rPr>
              <w:t xml:space="preserve">PFS </w:t>
            </w:r>
            <w:r>
              <w:rPr>
                <w:color w:val="000000"/>
                <w:sz w:val="18"/>
                <w:szCs w:val="18"/>
              </w:rPr>
              <w:t>–</w:t>
            </w:r>
            <w:r w:rsidRPr="002F108D">
              <w:rPr>
                <w:color w:val="000000"/>
                <w:sz w:val="18"/>
                <w:szCs w:val="18"/>
              </w:rPr>
              <w:t xml:space="preserve"> pembrolizumab</w:t>
            </w:r>
            <w:r>
              <w:rPr>
                <w:color w:val="000000"/>
                <w:sz w:val="18"/>
                <w:szCs w:val="18"/>
              </w:rPr>
              <w:t xml:space="preserve"> + chemotherapy</w:t>
            </w:r>
          </w:p>
        </w:tc>
        <w:tc>
          <w:tcPr>
            <w:tcW w:w="1324" w:type="pct"/>
          </w:tcPr>
          <w:p w:rsidR="00F42309" w:rsidRPr="002F108D" w:rsidRDefault="00F42309" w:rsidP="00F42309">
            <w:pPr>
              <w:keepNext/>
              <w:keepLines/>
              <w:spacing w:line="23" w:lineRule="atLeast"/>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2F108D">
              <w:rPr>
                <w:color w:val="000000"/>
                <w:sz w:val="18"/>
                <w:szCs w:val="18"/>
              </w:rPr>
              <w:t>KM</w:t>
            </w:r>
            <w:r>
              <w:rPr>
                <w:color w:val="000000"/>
                <w:sz w:val="18"/>
                <w:szCs w:val="18"/>
              </w:rPr>
              <w:t>39</w:t>
            </w:r>
            <w:r w:rsidRPr="002F108D">
              <w:rPr>
                <w:color w:val="000000"/>
                <w:sz w:val="18"/>
                <w:szCs w:val="18"/>
              </w:rPr>
              <w:t xml:space="preserve">+ </w:t>
            </w:r>
            <w:r>
              <w:rPr>
                <w:color w:val="000000"/>
                <w:sz w:val="18"/>
                <w:szCs w:val="18"/>
              </w:rPr>
              <w:t>weibul</w:t>
            </w:r>
            <w:r w:rsidRPr="002F108D">
              <w:rPr>
                <w:color w:val="000000"/>
                <w:sz w:val="18"/>
                <w:szCs w:val="18"/>
              </w:rPr>
              <w:t xml:space="preserve">l </w:t>
            </w:r>
            <w:r>
              <w:rPr>
                <w:color w:val="000000"/>
                <w:sz w:val="18"/>
                <w:szCs w:val="18"/>
              </w:rPr>
              <w:t>following</w:t>
            </w:r>
          </w:p>
        </w:tc>
        <w:tc>
          <w:tcPr>
            <w:cnfStyle w:val="000010000000" w:firstRow="0" w:lastRow="0" w:firstColumn="0" w:lastColumn="0" w:oddVBand="1" w:evenVBand="0" w:oddHBand="0" w:evenHBand="0" w:firstRowFirstColumn="0" w:firstRowLastColumn="0" w:lastRowFirstColumn="0" w:lastRowLastColumn="0"/>
            <w:tcW w:w="1986" w:type="pct"/>
          </w:tcPr>
          <w:p w:rsidR="00F42309" w:rsidRPr="00B031AA" w:rsidRDefault="00F42309" w:rsidP="00F42309">
            <w:pPr>
              <w:keepNext/>
              <w:keepLines/>
              <w:spacing w:line="23" w:lineRule="atLeast"/>
              <w:jc w:val="center"/>
              <w:rPr>
                <w:color w:val="000000"/>
                <w:sz w:val="18"/>
                <w:szCs w:val="18"/>
                <w:lang w:val="en-US"/>
              </w:rPr>
            </w:pPr>
            <w:r w:rsidRPr="00B031AA">
              <w:rPr>
                <w:color w:val="000000"/>
                <w:sz w:val="18"/>
                <w:szCs w:val="18"/>
                <w:lang w:val="en-US"/>
              </w:rPr>
              <w:t xml:space="preserve">95% CI limits of the parameter estimates in the </w:t>
            </w:r>
            <w:r>
              <w:rPr>
                <w:color w:val="000000"/>
                <w:sz w:val="18"/>
                <w:szCs w:val="18"/>
                <w:lang w:val="en-US"/>
              </w:rPr>
              <w:t>weibull</w:t>
            </w:r>
            <w:r w:rsidRPr="00B031AA">
              <w:rPr>
                <w:color w:val="000000"/>
                <w:sz w:val="18"/>
                <w:szCs w:val="18"/>
                <w:lang w:val="en-US"/>
              </w:rPr>
              <w:t xml:space="preserve"> function</w:t>
            </w:r>
          </w:p>
        </w:tc>
      </w:tr>
      <w:tr w:rsidR="00F42309" w:rsidRPr="002F108D" w:rsidTr="00F42309">
        <w:trPr>
          <w:trHeight w:val="510"/>
        </w:trPr>
        <w:tc>
          <w:tcPr>
            <w:cnfStyle w:val="000010000000" w:firstRow="0" w:lastRow="0" w:firstColumn="0" w:lastColumn="0" w:oddVBand="1" w:evenVBand="0" w:oddHBand="0" w:evenHBand="0" w:firstRowFirstColumn="0" w:firstRowLastColumn="0" w:lastRowFirstColumn="0" w:lastRowLastColumn="0"/>
            <w:tcW w:w="1690" w:type="pct"/>
          </w:tcPr>
          <w:p w:rsidR="00F42309" w:rsidRPr="002F108D" w:rsidRDefault="00F42309" w:rsidP="00F42309">
            <w:pPr>
              <w:keepNext/>
              <w:keepLines/>
              <w:spacing w:line="23" w:lineRule="atLeast"/>
              <w:rPr>
                <w:color w:val="000000"/>
                <w:sz w:val="18"/>
                <w:szCs w:val="18"/>
              </w:rPr>
            </w:pPr>
            <w:r w:rsidRPr="002F108D">
              <w:rPr>
                <w:color w:val="000000"/>
                <w:sz w:val="18"/>
                <w:szCs w:val="18"/>
              </w:rPr>
              <w:t xml:space="preserve">PFS </w:t>
            </w:r>
            <w:r>
              <w:rPr>
                <w:color w:val="000000"/>
                <w:sz w:val="18"/>
                <w:szCs w:val="18"/>
              </w:rPr>
              <w:t>–</w:t>
            </w:r>
            <w:r w:rsidRPr="002F108D">
              <w:rPr>
                <w:color w:val="000000"/>
                <w:sz w:val="18"/>
                <w:szCs w:val="18"/>
              </w:rPr>
              <w:t xml:space="preserve"> </w:t>
            </w:r>
            <w:r>
              <w:rPr>
                <w:color w:val="000000"/>
                <w:sz w:val="18"/>
                <w:szCs w:val="18"/>
              </w:rPr>
              <w:t xml:space="preserve">chemotherapy </w:t>
            </w:r>
          </w:p>
        </w:tc>
        <w:tc>
          <w:tcPr>
            <w:tcW w:w="1324" w:type="pct"/>
          </w:tcPr>
          <w:p w:rsidR="00F42309" w:rsidRPr="002F108D" w:rsidRDefault="00F42309" w:rsidP="00F42309">
            <w:pPr>
              <w:keepNext/>
              <w:keepLines/>
              <w:spacing w:line="23" w:lineRule="atLeast"/>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KM21</w:t>
            </w:r>
            <w:r w:rsidRPr="002F108D">
              <w:rPr>
                <w:color w:val="000000"/>
                <w:sz w:val="18"/>
                <w:szCs w:val="18"/>
              </w:rPr>
              <w:t xml:space="preserve">+ </w:t>
            </w:r>
            <w:r>
              <w:rPr>
                <w:color w:val="000000"/>
                <w:sz w:val="18"/>
                <w:szCs w:val="18"/>
              </w:rPr>
              <w:t>weibull</w:t>
            </w:r>
            <w:r w:rsidRPr="002F108D">
              <w:rPr>
                <w:color w:val="000000"/>
                <w:sz w:val="18"/>
                <w:szCs w:val="18"/>
              </w:rPr>
              <w:t xml:space="preserve"> </w:t>
            </w:r>
            <w:r>
              <w:rPr>
                <w:color w:val="000000"/>
                <w:sz w:val="18"/>
                <w:szCs w:val="18"/>
              </w:rPr>
              <w:t>following</w:t>
            </w:r>
          </w:p>
        </w:tc>
        <w:tc>
          <w:tcPr>
            <w:cnfStyle w:val="000010000000" w:firstRow="0" w:lastRow="0" w:firstColumn="0" w:lastColumn="0" w:oddVBand="1" w:evenVBand="0" w:oddHBand="0" w:evenHBand="0" w:firstRowFirstColumn="0" w:firstRowLastColumn="0" w:lastRowFirstColumn="0" w:lastRowLastColumn="0"/>
            <w:tcW w:w="1986" w:type="pct"/>
          </w:tcPr>
          <w:p w:rsidR="00F42309" w:rsidRPr="00B031AA" w:rsidRDefault="00F42309" w:rsidP="00F42309">
            <w:pPr>
              <w:keepNext/>
              <w:keepLines/>
              <w:spacing w:line="23" w:lineRule="atLeast"/>
              <w:jc w:val="center"/>
              <w:rPr>
                <w:color w:val="000000"/>
                <w:sz w:val="18"/>
                <w:szCs w:val="18"/>
                <w:lang w:val="en-US"/>
              </w:rPr>
            </w:pPr>
            <w:r w:rsidRPr="00B031AA">
              <w:rPr>
                <w:color w:val="000000"/>
                <w:sz w:val="18"/>
                <w:szCs w:val="18"/>
                <w:lang w:val="en-US"/>
              </w:rPr>
              <w:t xml:space="preserve">95% CI limits of the parameter estimates in the </w:t>
            </w:r>
            <w:r>
              <w:rPr>
                <w:color w:val="000000"/>
                <w:sz w:val="18"/>
                <w:szCs w:val="18"/>
                <w:lang w:val="en-US"/>
              </w:rPr>
              <w:t>weibull</w:t>
            </w:r>
            <w:r w:rsidRPr="00B031AA">
              <w:rPr>
                <w:color w:val="000000"/>
                <w:sz w:val="18"/>
                <w:szCs w:val="18"/>
                <w:lang w:val="en-US"/>
              </w:rPr>
              <w:t xml:space="preserve"> function</w:t>
            </w:r>
          </w:p>
        </w:tc>
      </w:tr>
      <w:tr w:rsidR="00F42309" w:rsidRPr="002F108D" w:rsidTr="00F42309">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690" w:type="pct"/>
          </w:tcPr>
          <w:p w:rsidR="00F42309" w:rsidRPr="002F108D" w:rsidRDefault="00F42309" w:rsidP="00F42309">
            <w:pPr>
              <w:keepNext/>
              <w:keepLines/>
              <w:spacing w:line="23" w:lineRule="atLeast"/>
              <w:rPr>
                <w:color w:val="000000"/>
                <w:sz w:val="18"/>
                <w:szCs w:val="18"/>
              </w:rPr>
            </w:pPr>
            <w:r w:rsidRPr="002F108D">
              <w:rPr>
                <w:color w:val="000000"/>
                <w:sz w:val="18"/>
                <w:szCs w:val="18"/>
              </w:rPr>
              <w:t xml:space="preserve">ToT </w:t>
            </w:r>
            <w:r>
              <w:rPr>
                <w:color w:val="000000"/>
                <w:sz w:val="18"/>
                <w:szCs w:val="18"/>
              </w:rPr>
              <w:t>–</w:t>
            </w:r>
            <w:r w:rsidRPr="002F108D">
              <w:rPr>
                <w:color w:val="000000"/>
                <w:sz w:val="18"/>
                <w:szCs w:val="18"/>
              </w:rPr>
              <w:t xml:space="preserve"> pembrolizumab</w:t>
            </w:r>
            <w:r>
              <w:rPr>
                <w:color w:val="000000"/>
                <w:sz w:val="18"/>
                <w:szCs w:val="18"/>
              </w:rPr>
              <w:t xml:space="preserve"> + chemotherapy</w:t>
            </w:r>
          </w:p>
        </w:tc>
        <w:tc>
          <w:tcPr>
            <w:tcW w:w="1324" w:type="pct"/>
          </w:tcPr>
          <w:p w:rsidR="00F42309" w:rsidRPr="002F108D" w:rsidRDefault="00F42309" w:rsidP="00F42309">
            <w:pPr>
              <w:keepNext/>
              <w:keepLines/>
              <w:spacing w:line="23" w:lineRule="atLeast"/>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exponential</w:t>
            </w:r>
            <w:r w:rsidRPr="002F108D">
              <w:rPr>
                <w:color w:val="000000"/>
                <w:sz w:val="18"/>
                <w:szCs w:val="18"/>
              </w:rPr>
              <w:t xml:space="preserve"> model</w:t>
            </w:r>
          </w:p>
        </w:tc>
        <w:tc>
          <w:tcPr>
            <w:cnfStyle w:val="000010000000" w:firstRow="0" w:lastRow="0" w:firstColumn="0" w:lastColumn="0" w:oddVBand="1" w:evenVBand="0" w:oddHBand="0" w:evenHBand="0" w:firstRowFirstColumn="0" w:firstRowLastColumn="0" w:lastRowFirstColumn="0" w:lastRowLastColumn="0"/>
            <w:tcW w:w="1986" w:type="pct"/>
          </w:tcPr>
          <w:p w:rsidR="00F42309" w:rsidRPr="00B031AA" w:rsidRDefault="00F42309" w:rsidP="00F42309">
            <w:pPr>
              <w:keepNext/>
              <w:keepLines/>
              <w:spacing w:line="23" w:lineRule="atLeast"/>
              <w:jc w:val="center"/>
              <w:rPr>
                <w:color w:val="000000"/>
                <w:sz w:val="18"/>
                <w:szCs w:val="18"/>
                <w:lang w:val="en-US"/>
              </w:rPr>
            </w:pPr>
            <w:r w:rsidRPr="00B031AA">
              <w:rPr>
                <w:color w:val="000000"/>
                <w:sz w:val="18"/>
                <w:szCs w:val="18"/>
                <w:lang w:val="en-US"/>
              </w:rPr>
              <w:t xml:space="preserve">95% CI limits of the parameter estimates in the </w:t>
            </w:r>
            <w:r>
              <w:rPr>
                <w:color w:val="000000"/>
                <w:sz w:val="18"/>
                <w:szCs w:val="18"/>
                <w:lang w:val="en-US"/>
              </w:rPr>
              <w:t>exponential</w:t>
            </w:r>
            <w:r w:rsidRPr="00B031AA">
              <w:rPr>
                <w:color w:val="000000"/>
                <w:sz w:val="18"/>
                <w:szCs w:val="18"/>
                <w:lang w:val="en-US"/>
              </w:rPr>
              <w:t xml:space="preserve"> function</w:t>
            </w:r>
          </w:p>
        </w:tc>
      </w:tr>
      <w:tr w:rsidR="00F42309" w:rsidRPr="002F108D" w:rsidTr="00F42309">
        <w:trPr>
          <w:trHeight w:val="601"/>
        </w:trPr>
        <w:tc>
          <w:tcPr>
            <w:cnfStyle w:val="000010000000" w:firstRow="0" w:lastRow="0" w:firstColumn="0" w:lastColumn="0" w:oddVBand="1" w:evenVBand="0" w:oddHBand="0" w:evenHBand="0" w:firstRowFirstColumn="0" w:firstRowLastColumn="0" w:lastRowFirstColumn="0" w:lastRowLastColumn="0"/>
            <w:tcW w:w="1690" w:type="pct"/>
          </w:tcPr>
          <w:p w:rsidR="00F42309" w:rsidRPr="002F108D" w:rsidRDefault="00F42309" w:rsidP="00F42309">
            <w:pPr>
              <w:keepNext/>
              <w:keepLines/>
              <w:spacing w:line="23" w:lineRule="atLeast"/>
              <w:rPr>
                <w:color w:val="000000"/>
                <w:sz w:val="18"/>
                <w:szCs w:val="18"/>
              </w:rPr>
            </w:pPr>
            <w:r w:rsidRPr="002F108D">
              <w:rPr>
                <w:color w:val="000000"/>
                <w:sz w:val="18"/>
                <w:szCs w:val="18"/>
              </w:rPr>
              <w:t xml:space="preserve">ToT - </w:t>
            </w:r>
            <w:r>
              <w:rPr>
                <w:color w:val="000000"/>
                <w:sz w:val="18"/>
                <w:szCs w:val="18"/>
              </w:rPr>
              <w:t>chemotherapy</w:t>
            </w:r>
          </w:p>
        </w:tc>
        <w:tc>
          <w:tcPr>
            <w:tcW w:w="1324" w:type="pct"/>
          </w:tcPr>
          <w:p w:rsidR="00F42309" w:rsidRPr="002F108D" w:rsidRDefault="00F42309" w:rsidP="00F42309">
            <w:pPr>
              <w:keepNext/>
              <w:keepLines/>
              <w:spacing w:line="23" w:lineRule="atLeast"/>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Gompertz</w:t>
            </w:r>
            <w:r w:rsidRPr="002F108D">
              <w:rPr>
                <w:color w:val="000000"/>
                <w:sz w:val="18"/>
                <w:szCs w:val="18"/>
              </w:rPr>
              <w:t xml:space="preserve"> model</w:t>
            </w:r>
          </w:p>
        </w:tc>
        <w:tc>
          <w:tcPr>
            <w:cnfStyle w:val="000010000000" w:firstRow="0" w:lastRow="0" w:firstColumn="0" w:lastColumn="0" w:oddVBand="1" w:evenVBand="0" w:oddHBand="0" w:evenHBand="0" w:firstRowFirstColumn="0" w:firstRowLastColumn="0" w:lastRowFirstColumn="0" w:lastRowLastColumn="0"/>
            <w:tcW w:w="1986" w:type="pct"/>
          </w:tcPr>
          <w:p w:rsidR="00F42309" w:rsidRPr="00B031AA" w:rsidRDefault="00F42309" w:rsidP="00F42309">
            <w:pPr>
              <w:keepNext/>
              <w:keepLines/>
              <w:spacing w:line="23" w:lineRule="atLeast"/>
              <w:jc w:val="center"/>
              <w:rPr>
                <w:color w:val="000000"/>
                <w:sz w:val="18"/>
                <w:szCs w:val="18"/>
                <w:lang w:val="en-US"/>
              </w:rPr>
            </w:pPr>
            <w:r w:rsidRPr="00B031AA">
              <w:rPr>
                <w:color w:val="000000"/>
                <w:sz w:val="18"/>
                <w:szCs w:val="18"/>
                <w:lang w:val="en-US"/>
              </w:rPr>
              <w:t xml:space="preserve">95% CI limits of the parameter estimates in the </w:t>
            </w:r>
            <w:r>
              <w:rPr>
                <w:color w:val="000000"/>
                <w:sz w:val="18"/>
                <w:szCs w:val="18"/>
                <w:lang w:val="en-US"/>
              </w:rPr>
              <w:t>Gompertz</w:t>
            </w:r>
            <w:r w:rsidRPr="00B031AA">
              <w:rPr>
                <w:color w:val="000000"/>
                <w:sz w:val="18"/>
                <w:szCs w:val="18"/>
                <w:lang w:val="en-US"/>
              </w:rPr>
              <w:t xml:space="preserve"> function</w:t>
            </w:r>
          </w:p>
        </w:tc>
      </w:tr>
      <w:tr w:rsidR="00F42309" w:rsidRPr="002F108D" w:rsidTr="00F42309">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690" w:type="pct"/>
          </w:tcPr>
          <w:p w:rsidR="00F42309" w:rsidRPr="002F108D" w:rsidRDefault="00F42309" w:rsidP="00F42309">
            <w:pPr>
              <w:keepNext/>
              <w:keepLines/>
              <w:spacing w:line="23" w:lineRule="atLeast"/>
              <w:rPr>
                <w:color w:val="000000"/>
                <w:sz w:val="18"/>
                <w:szCs w:val="18"/>
              </w:rPr>
            </w:pPr>
            <w:r w:rsidRPr="002F108D">
              <w:rPr>
                <w:color w:val="000000"/>
                <w:sz w:val="18"/>
                <w:szCs w:val="18"/>
              </w:rPr>
              <w:t>Utilities</w:t>
            </w:r>
          </w:p>
        </w:tc>
        <w:tc>
          <w:tcPr>
            <w:tcW w:w="1324" w:type="pct"/>
          </w:tcPr>
          <w:p w:rsidR="00F42309" w:rsidRDefault="00F42309" w:rsidP="00F42309">
            <w:pPr>
              <w:keepNext/>
              <w:keepLines/>
              <w:spacing w:line="23" w:lineRule="atLeast"/>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Pr>
                <w:color w:val="000000"/>
                <w:sz w:val="18"/>
                <w:szCs w:val="18"/>
                <w:lang w:val="en-US"/>
              </w:rPr>
              <w:t>By time to death (days)</w:t>
            </w:r>
          </w:p>
          <w:p w:rsidR="00F42309" w:rsidRPr="005A0F27" w:rsidRDefault="00F42309" w:rsidP="00F42309">
            <w:pPr>
              <w:keepNext/>
              <w:keepLines/>
              <w:spacing w:line="23" w:lineRule="atLeast"/>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Pr>
                <w:color w:val="000000"/>
                <w:sz w:val="18"/>
                <w:szCs w:val="18"/>
                <w:lang w:val="en-US"/>
              </w:rPr>
              <w:t xml:space="preserve">         0.834</w:t>
            </w:r>
            <w:r w:rsidRPr="005A0F27">
              <w:rPr>
                <w:color w:val="000000"/>
                <w:sz w:val="18"/>
                <w:szCs w:val="18"/>
                <w:lang w:val="en-US"/>
              </w:rPr>
              <w:t xml:space="preserve"> </w:t>
            </w:r>
            <w:r>
              <w:rPr>
                <w:color w:val="000000"/>
                <w:sz w:val="18"/>
                <w:szCs w:val="18"/>
                <w:lang w:val="en-US"/>
              </w:rPr>
              <w:t xml:space="preserve"> (</w:t>
            </w:r>
            <w:r>
              <w:rPr>
                <w:rFonts w:cs="Arial"/>
                <w:color w:val="000000"/>
                <w:sz w:val="18"/>
                <w:szCs w:val="18"/>
                <w:lang w:val="en-US"/>
              </w:rPr>
              <w:t>≥</w:t>
            </w:r>
            <w:r>
              <w:rPr>
                <w:color w:val="000000"/>
                <w:sz w:val="18"/>
                <w:szCs w:val="18"/>
                <w:lang w:val="en-US"/>
              </w:rPr>
              <w:t xml:space="preserve"> 360)</w:t>
            </w:r>
            <w:r w:rsidRPr="005A0F27">
              <w:rPr>
                <w:color w:val="000000"/>
                <w:sz w:val="18"/>
                <w:szCs w:val="18"/>
                <w:lang w:val="en-US"/>
              </w:rPr>
              <w:t xml:space="preserve"> </w:t>
            </w:r>
          </w:p>
          <w:p w:rsidR="00F42309" w:rsidRPr="005A0F27" w:rsidRDefault="00F42309" w:rsidP="00F42309">
            <w:pPr>
              <w:keepNext/>
              <w:keepLines/>
              <w:spacing w:line="23" w:lineRule="atLeast"/>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Pr>
                <w:color w:val="000000"/>
                <w:sz w:val="18"/>
                <w:szCs w:val="18"/>
                <w:lang w:val="en-US"/>
              </w:rPr>
              <w:t xml:space="preserve">  0.765</w:t>
            </w:r>
            <w:r w:rsidRPr="005A0F27">
              <w:rPr>
                <w:color w:val="000000"/>
                <w:sz w:val="18"/>
                <w:szCs w:val="18"/>
                <w:lang w:val="en-US"/>
              </w:rPr>
              <w:t xml:space="preserve"> </w:t>
            </w:r>
            <w:r>
              <w:rPr>
                <w:color w:val="000000"/>
                <w:sz w:val="18"/>
                <w:szCs w:val="18"/>
                <w:lang w:val="en-US"/>
              </w:rPr>
              <w:t xml:space="preserve"> [180-360)</w:t>
            </w:r>
          </w:p>
          <w:p w:rsidR="00F42309" w:rsidRPr="005A0F27" w:rsidRDefault="00F42309" w:rsidP="00F42309">
            <w:pPr>
              <w:keepNext/>
              <w:keepLines/>
              <w:spacing w:line="23" w:lineRule="atLeast"/>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Pr>
                <w:color w:val="000000"/>
                <w:sz w:val="18"/>
                <w:szCs w:val="18"/>
                <w:lang w:val="en-US"/>
              </w:rPr>
              <w:t>0.709</w:t>
            </w:r>
            <w:r w:rsidRPr="005A0F27">
              <w:rPr>
                <w:color w:val="000000"/>
                <w:sz w:val="18"/>
                <w:szCs w:val="18"/>
                <w:lang w:val="en-US"/>
              </w:rPr>
              <w:t xml:space="preserve"> </w:t>
            </w:r>
            <w:r>
              <w:rPr>
                <w:color w:val="000000"/>
                <w:sz w:val="18"/>
                <w:szCs w:val="18"/>
                <w:lang w:val="en-US"/>
              </w:rPr>
              <w:t xml:space="preserve"> [30-180)</w:t>
            </w:r>
            <w:r w:rsidRPr="005A0F27">
              <w:rPr>
                <w:color w:val="000000"/>
                <w:sz w:val="18"/>
                <w:szCs w:val="18"/>
                <w:lang w:val="en-US"/>
              </w:rPr>
              <w:t xml:space="preserve"> </w:t>
            </w:r>
          </w:p>
          <w:p w:rsidR="00F42309" w:rsidRPr="00B031AA" w:rsidRDefault="00F42309" w:rsidP="00F42309">
            <w:pPr>
              <w:keepNext/>
              <w:keepLines/>
              <w:spacing w:line="23" w:lineRule="atLeast"/>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Pr>
                <w:color w:val="000000"/>
                <w:sz w:val="18"/>
                <w:szCs w:val="18"/>
                <w:lang w:val="en-US"/>
              </w:rPr>
              <w:t xml:space="preserve">         0.563   (&lt;30)</w:t>
            </w:r>
            <w:r w:rsidRPr="005A0F27">
              <w:rPr>
                <w:color w:val="000000"/>
                <w:sz w:val="18"/>
                <w:szCs w:val="18"/>
                <w:lang w:val="en-US"/>
              </w:rPr>
              <w:t xml:space="preserve">  </w:t>
            </w:r>
          </w:p>
        </w:tc>
        <w:tc>
          <w:tcPr>
            <w:cnfStyle w:val="000010000000" w:firstRow="0" w:lastRow="0" w:firstColumn="0" w:lastColumn="0" w:oddVBand="1" w:evenVBand="0" w:oddHBand="0" w:evenHBand="0" w:firstRowFirstColumn="0" w:firstRowLastColumn="0" w:lastRowFirstColumn="0" w:lastRowLastColumn="0"/>
            <w:tcW w:w="1986" w:type="pct"/>
          </w:tcPr>
          <w:p w:rsidR="00F42309" w:rsidRPr="002F108D" w:rsidRDefault="00F42309" w:rsidP="00F42309">
            <w:pPr>
              <w:keepNext/>
              <w:keepLines/>
              <w:spacing w:line="23" w:lineRule="atLeast"/>
              <w:jc w:val="center"/>
              <w:rPr>
                <w:color w:val="000000"/>
                <w:sz w:val="18"/>
                <w:szCs w:val="18"/>
              </w:rPr>
            </w:pPr>
            <w:r w:rsidRPr="002F108D">
              <w:rPr>
                <w:color w:val="000000"/>
                <w:sz w:val="18"/>
                <w:szCs w:val="18"/>
              </w:rPr>
              <w:t>+/- 20%</w:t>
            </w:r>
          </w:p>
        </w:tc>
      </w:tr>
      <w:tr w:rsidR="00F42309" w:rsidRPr="002F108D" w:rsidTr="00F42309">
        <w:trPr>
          <w:trHeight w:val="510"/>
        </w:trPr>
        <w:tc>
          <w:tcPr>
            <w:cnfStyle w:val="000010000000" w:firstRow="0" w:lastRow="0" w:firstColumn="0" w:lastColumn="0" w:oddVBand="1" w:evenVBand="0" w:oddHBand="0" w:evenHBand="0" w:firstRowFirstColumn="0" w:firstRowLastColumn="0" w:lastRowFirstColumn="0" w:lastRowLastColumn="0"/>
            <w:tcW w:w="1690" w:type="pct"/>
          </w:tcPr>
          <w:p w:rsidR="00F42309" w:rsidRPr="00820C8A" w:rsidRDefault="00F42309" w:rsidP="00F42309">
            <w:pPr>
              <w:keepNext/>
              <w:keepLines/>
              <w:spacing w:line="23" w:lineRule="atLeast"/>
              <w:rPr>
                <w:color w:val="000000"/>
                <w:sz w:val="18"/>
                <w:szCs w:val="18"/>
                <w:lang w:val="en-US"/>
              </w:rPr>
            </w:pPr>
            <w:r w:rsidRPr="00B031AA">
              <w:rPr>
                <w:color w:val="000000"/>
                <w:sz w:val="18"/>
                <w:szCs w:val="18"/>
                <w:lang w:val="en-US"/>
              </w:rPr>
              <w:t>Disease management cost in PF</w:t>
            </w:r>
            <w:r>
              <w:rPr>
                <w:color w:val="000000"/>
                <w:sz w:val="18"/>
                <w:szCs w:val="18"/>
                <w:lang w:val="en-US"/>
              </w:rPr>
              <w:t xml:space="preserve"> state</w:t>
            </w:r>
          </w:p>
        </w:tc>
        <w:tc>
          <w:tcPr>
            <w:tcW w:w="1324" w:type="pct"/>
          </w:tcPr>
          <w:p w:rsidR="00F42309" w:rsidRPr="00A15194" w:rsidRDefault="00F42309" w:rsidP="00F42309">
            <w:pPr>
              <w:keepNext/>
              <w:keepLines/>
              <w:spacing w:line="23" w:lineRule="atLeas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Year 1 -   $1,232/week</w:t>
            </w:r>
          </w:p>
          <w:p w:rsidR="00F42309" w:rsidRPr="00A15194" w:rsidRDefault="00F42309" w:rsidP="00F42309">
            <w:pPr>
              <w:keepNext/>
              <w:keepLines/>
              <w:spacing w:line="23" w:lineRule="atLeas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Year 2-       $567/week</w:t>
            </w:r>
          </w:p>
          <w:p w:rsidR="00F42309" w:rsidRPr="00A15194" w:rsidRDefault="00F42309" w:rsidP="00F42309">
            <w:pPr>
              <w:keepNext/>
              <w:keepLines/>
              <w:spacing w:line="23" w:lineRule="atLeas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Year 3-       $478/week</w:t>
            </w:r>
          </w:p>
          <w:p w:rsidR="00F42309" w:rsidRPr="00A15194" w:rsidRDefault="00F42309" w:rsidP="00F42309">
            <w:pPr>
              <w:keepNext/>
              <w:keepLines/>
              <w:spacing w:line="23" w:lineRule="atLeas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Years 4-5 - $388/week</w:t>
            </w:r>
          </w:p>
          <w:p w:rsidR="00F42309" w:rsidRPr="002F108D" w:rsidRDefault="00F42309" w:rsidP="00F42309">
            <w:pPr>
              <w:keepNext/>
              <w:keepLines/>
              <w:spacing w:line="23" w:lineRule="atLeas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Years 6+ -  $144/week</w:t>
            </w:r>
          </w:p>
        </w:tc>
        <w:tc>
          <w:tcPr>
            <w:cnfStyle w:val="000010000000" w:firstRow="0" w:lastRow="0" w:firstColumn="0" w:lastColumn="0" w:oddVBand="1" w:evenVBand="0" w:oddHBand="0" w:evenHBand="0" w:firstRowFirstColumn="0" w:firstRowLastColumn="0" w:lastRowFirstColumn="0" w:lastRowLastColumn="0"/>
            <w:tcW w:w="1986" w:type="pct"/>
          </w:tcPr>
          <w:p w:rsidR="00F42309" w:rsidRPr="002F108D" w:rsidRDefault="00F42309" w:rsidP="00F42309">
            <w:pPr>
              <w:keepNext/>
              <w:keepLines/>
              <w:spacing w:line="23" w:lineRule="atLeast"/>
              <w:jc w:val="center"/>
              <w:rPr>
                <w:color w:val="000000"/>
                <w:sz w:val="18"/>
                <w:szCs w:val="18"/>
              </w:rPr>
            </w:pPr>
            <w:r w:rsidRPr="002F108D">
              <w:rPr>
                <w:color w:val="000000"/>
                <w:sz w:val="18"/>
                <w:szCs w:val="18"/>
              </w:rPr>
              <w:t>+/- 25%</w:t>
            </w:r>
          </w:p>
        </w:tc>
      </w:tr>
      <w:tr w:rsidR="00F42309" w:rsidRPr="002F108D" w:rsidTr="00F42309">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690" w:type="pct"/>
          </w:tcPr>
          <w:p w:rsidR="00F42309" w:rsidRPr="00B031AA" w:rsidRDefault="00F42309" w:rsidP="00F42309">
            <w:pPr>
              <w:keepNext/>
              <w:keepLines/>
              <w:spacing w:line="23" w:lineRule="atLeast"/>
              <w:rPr>
                <w:color w:val="000000"/>
                <w:sz w:val="18"/>
                <w:szCs w:val="18"/>
                <w:lang w:val="en-US"/>
              </w:rPr>
            </w:pPr>
            <w:r w:rsidRPr="00B031AA">
              <w:rPr>
                <w:color w:val="000000"/>
                <w:sz w:val="18"/>
                <w:szCs w:val="18"/>
                <w:lang w:val="en-US"/>
              </w:rPr>
              <w:t>Disease management cost in PD</w:t>
            </w:r>
            <w:r>
              <w:rPr>
                <w:color w:val="000000"/>
                <w:sz w:val="18"/>
                <w:szCs w:val="18"/>
                <w:lang w:val="en-US"/>
              </w:rPr>
              <w:t xml:space="preserve"> state</w:t>
            </w:r>
          </w:p>
        </w:tc>
        <w:tc>
          <w:tcPr>
            <w:tcW w:w="1324" w:type="pct"/>
          </w:tcPr>
          <w:p w:rsidR="00F42309" w:rsidRPr="00A15194" w:rsidRDefault="00F42309" w:rsidP="00F42309">
            <w:pPr>
              <w:keepNext/>
              <w:keepLines/>
              <w:spacing w:line="23" w:lineRule="atLeas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Year 1 -   $1,236/week</w:t>
            </w:r>
          </w:p>
          <w:p w:rsidR="00F42309" w:rsidRPr="00A15194" w:rsidRDefault="00F42309" w:rsidP="00F42309">
            <w:pPr>
              <w:keepNext/>
              <w:keepLines/>
              <w:spacing w:line="23" w:lineRule="atLeas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Year 2-       $969/week</w:t>
            </w:r>
          </w:p>
          <w:p w:rsidR="00F42309" w:rsidRPr="00A15194" w:rsidRDefault="00F42309" w:rsidP="00F42309">
            <w:pPr>
              <w:keepNext/>
              <w:keepLines/>
              <w:spacing w:line="23" w:lineRule="atLeas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Year 3-       $856/week</w:t>
            </w:r>
          </w:p>
          <w:p w:rsidR="00F42309" w:rsidRPr="00A15194" w:rsidRDefault="00F42309" w:rsidP="00F42309">
            <w:pPr>
              <w:keepNext/>
              <w:keepLines/>
              <w:spacing w:line="23" w:lineRule="atLeas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Years 4-5 - $804/week</w:t>
            </w:r>
          </w:p>
          <w:p w:rsidR="00F42309" w:rsidRPr="002F108D" w:rsidRDefault="00F42309" w:rsidP="00F42309">
            <w:pPr>
              <w:keepNext/>
              <w:keepLines/>
              <w:spacing w:line="23" w:lineRule="atLeas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Years 6+ -  $802/week</w:t>
            </w:r>
          </w:p>
        </w:tc>
        <w:tc>
          <w:tcPr>
            <w:cnfStyle w:val="000010000000" w:firstRow="0" w:lastRow="0" w:firstColumn="0" w:lastColumn="0" w:oddVBand="1" w:evenVBand="0" w:oddHBand="0" w:evenHBand="0" w:firstRowFirstColumn="0" w:firstRowLastColumn="0" w:lastRowFirstColumn="0" w:lastRowLastColumn="0"/>
            <w:tcW w:w="1986" w:type="pct"/>
          </w:tcPr>
          <w:p w:rsidR="00F42309" w:rsidRPr="002F108D" w:rsidRDefault="00F42309" w:rsidP="00F42309">
            <w:pPr>
              <w:keepNext/>
              <w:keepLines/>
              <w:spacing w:line="23" w:lineRule="atLeast"/>
              <w:jc w:val="center"/>
              <w:rPr>
                <w:color w:val="000000"/>
                <w:sz w:val="18"/>
                <w:szCs w:val="18"/>
              </w:rPr>
            </w:pPr>
            <w:r w:rsidRPr="002F108D">
              <w:rPr>
                <w:color w:val="000000"/>
                <w:sz w:val="18"/>
                <w:szCs w:val="18"/>
              </w:rPr>
              <w:t>+/- 25%</w:t>
            </w:r>
          </w:p>
        </w:tc>
      </w:tr>
      <w:tr w:rsidR="00F42309" w:rsidRPr="002F108D" w:rsidTr="00F42309">
        <w:trPr>
          <w:trHeight w:val="510"/>
        </w:trPr>
        <w:tc>
          <w:tcPr>
            <w:cnfStyle w:val="000010000000" w:firstRow="0" w:lastRow="0" w:firstColumn="0" w:lastColumn="0" w:oddVBand="1" w:evenVBand="0" w:oddHBand="0" w:evenHBand="0" w:firstRowFirstColumn="0" w:firstRowLastColumn="0" w:lastRowFirstColumn="0" w:lastRowLastColumn="0"/>
            <w:tcW w:w="1690" w:type="pct"/>
          </w:tcPr>
          <w:p w:rsidR="00F42309" w:rsidRPr="00B031AA" w:rsidRDefault="00F42309" w:rsidP="00F42309">
            <w:pPr>
              <w:keepNext/>
              <w:keepLines/>
              <w:spacing w:line="23" w:lineRule="atLeast"/>
              <w:rPr>
                <w:color w:val="000000"/>
                <w:sz w:val="18"/>
                <w:szCs w:val="18"/>
                <w:lang w:val="en-US"/>
              </w:rPr>
            </w:pPr>
            <w:r>
              <w:rPr>
                <w:color w:val="000000"/>
                <w:sz w:val="18"/>
                <w:szCs w:val="18"/>
                <w:lang w:val="en-US"/>
              </w:rPr>
              <w:t xml:space="preserve">Cost of subsequent </w:t>
            </w:r>
            <w:r w:rsidRPr="00B031AA">
              <w:rPr>
                <w:color w:val="000000"/>
                <w:sz w:val="18"/>
                <w:szCs w:val="18"/>
                <w:lang w:val="en-US"/>
              </w:rPr>
              <w:t xml:space="preserve">therapies </w:t>
            </w:r>
            <w:r>
              <w:rPr>
                <w:color w:val="000000"/>
                <w:sz w:val="18"/>
                <w:szCs w:val="18"/>
                <w:lang w:val="en-US"/>
              </w:rPr>
              <w:t>–</w:t>
            </w:r>
            <w:r w:rsidRPr="00B031AA">
              <w:rPr>
                <w:color w:val="000000"/>
                <w:sz w:val="18"/>
                <w:szCs w:val="18"/>
                <w:lang w:val="en-US"/>
              </w:rPr>
              <w:t xml:space="preserve"> pembrolizumab</w:t>
            </w:r>
            <w:r>
              <w:rPr>
                <w:color w:val="000000"/>
                <w:sz w:val="18"/>
                <w:szCs w:val="18"/>
                <w:lang w:val="en-US"/>
              </w:rPr>
              <w:t xml:space="preserve"> + chemotherapy</w:t>
            </w:r>
          </w:p>
        </w:tc>
        <w:tc>
          <w:tcPr>
            <w:tcW w:w="1324" w:type="pct"/>
          </w:tcPr>
          <w:p w:rsidR="00F42309" w:rsidRPr="002F108D" w:rsidRDefault="00F42309" w:rsidP="00F42309">
            <w:pPr>
              <w:keepNext/>
              <w:keepLines/>
              <w:spacing w:line="23" w:lineRule="atLeast"/>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sz w:val="18"/>
                <w:szCs w:val="18"/>
              </w:rPr>
              <w:t>$12,831</w:t>
            </w:r>
          </w:p>
        </w:tc>
        <w:tc>
          <w:tcPr>
            <w:cnfStyle w:val="000010000000" w:firstRow="0" w:lastRow="0" w:firstColumn="0" w:lastColumn="0" w:oddVBand="1" w:evenVBand="0" w:oddHBand="0" w:evenHBand="0" w:firstRowFirstColumn="0" w:firstRowLastColumn="0" w:lastRowFirstColumn="0" w:lastRowLastColumn="0"/>
            <w:tcW w:w="1986" w:type="pct"/>
          </w:tcPr>
          <w:p w:rsidR="00F42309" w:rsidRPr="002F108D" w:rsidRDefault="00F42309" w:rsidP="00F42309">
            <w:pPr>
              <w:keepNext/>
              <w:keepLines/>
              <w:spacing w:line="23" w:lineRule="atLeast"/>
              <w:jc w:val="center"/>
              <w:rPr>
                <w:color w:val="000000"/>
                <w:sz w:val="18"/>
                <w:szCs w:val="18"/>
              </w:rPr>
            </w:pPr>
            <w:r w:rsidRPr="002F108D">
              <w:rPr>
                <w:color w:val="000000"/>
                <w:sz w:val="18"/>
                <w:szCs w:val="18"/>
              </w:rPr>
              <w:t>+/- 25%</w:t>
            </w:r>
          </w:p>
        </w:tc>
      </w:tr>
      <w:tr w:rsidR="00F42309" w:rsidRPr="002F108D" w:rsidTr="00F42309">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690" w:type="pct"/>
          </w:tcPr>
          <w:p w:rsidR="00F42309" w:rsidRPr="002C79C4" w:rsidRDefault="00F42309" w:rsidP="00F42309">
            <w:pPr>
              <w:keepNext/>
              <w:keepLines/>
              <w:spacing w:line="23" w:lineRule="atLeast"/>
              <w:rPr>
                <w:color w:val="000000"/>
                <w:sz w:val="18"/>
                <w:szCs w:val="18"/>
                <w:lang w:val="en-US"/>
              </w:rPr>
            </w:pPr>
            <w:r>
              <w:rPr>
                <w:color w:val="000000"/>
                <w:sz w:val="18"/>
                <w:szCs w:val="18"/>
                <w:lang w:val="en-US"/>
              </w:rPr>
              <w:t xml:space="preserve">Cost of subsequent </w:t>
            </w:r>
            <w:r w:rsidRPr="00B031AA">
              <w:rPr>
                <w:color w:val="000000"/>
                <w:sz w:val="18"/>
                <w:szCs w:val="18"/>
                <w:lang w:val="en-US"/>
              </w:rPr>
              <w:t xml:space="preserve">therapies - </w:t>
            </w:r>
            <w:r w:rsidRPr="002C79C4">
              <w:rPr>
                <w:color w:val="000000"/>
                <w:sz w:val="18"/>
                <w:szCs w:val="18"/>
                <w:lang w:val="en-US"/>
              </w:rPr>
              <w:t>chemotherapy</w:t>
            </w:r>
          </w:p>
        </w:tc>
        <w:tc>
          <w:tcPr>
            <w:tcW w:w="1324" w:type="pct"/>
          </w:tcPr>
          <w:p w:rsidR="00F42309" w:rsidRPr="002F108D" w:rsidRDefault="00F42309" w:rsidP="00F42309">
            <w:pPr>
              <w:keepNext/>
              <w:keepLines/>
              <w:spacing w:line="23" w:lineRule="atLeast"/>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sz w:val="18"/>
                <w:szCs w:val="18"/>
              </w:rPr>
              <w:t>$40,325</w:t>
            </w:r>
          </w:p>
        </w:tc>
        <w:tc>
          <w:tcPr>
            <w:cnfStyle w:val="000010000000" w:firstRow="0" w:lastRow="0" w:firstColumn="0" w:lastColumn="0" w:oddVBand="1" w:evenVBand="0" w:oddHBand="0" w:evenHBand="0" w:firstRowFirstColumn="0" w:firstRowLastColumn="0" w:lastRowFirstColumn="0" w:lastRowLastColumn="0"/>
            <w:tcW w:w="1986" w:type="pct"/>
          </w:tcPr>
          <w:p w:rsidR="00F42309" w:rsidRPr="002F108D" w:rsidRDefault="00F42309" w:rsidP="00F42309">
            <w:pPr>
              <w:keepNext/>
              <w:keepLines/>
              <w:spacing w:line="23" w:lineRule="atLeast"/>
              <w:jc w:val="center"/>
              <w:rPr>
                <w:color w:val="000000"/>
                <w:sz w:val="18"/>
                <w:szCs w:val="18"/>
              </w:rPr>
            </w:pPr>
            <w:r w:rsidRPr="002F108D">
              <w:rPr>
                <w:color w:val="000000"/>
                <w:sz w:val="18"/>
                <w:szCs w:val="18"/>
              </w:rPr>
              <w:t>+/- 25%</w:t>
            </w:r>
          </w:p>
        </w:tc>
      </w:tr>
      <w:tr w:rsidR="00F42309" w:rsidRPr="002F108D" w:rsidTr="00F42309">
        <w:trPr>
          <w:trHeight w:val="510"/>
        </w:trPr>
        <w:tc>
          <w:tcPr>
            <w:cnfStyle w:val="000010000000" w:firstRow="0" w:lastRow="0" w:firstColumn="0" w:lastColumn="0" w:oddVBand="1" w:evenVBand="0" w:oddHBand="0" w:evenHBand="0" w:firstRowFirstColumn="0" w:firstRowLastColumn="0" w:lastRowFirstColumn="0" w:lastRowLastColumn="0"/>
            <w:tcW w:w="1690" w:type="pct"/>
          </w:tcPr>
          <w:p w:rsidR="00F42309" w:rsidRPr="002F108D" w:rsidRDefault="00F42309" w:rsidP="00F42309">
            <w:pPr>
              <w:keepNext/>
              <w:keepLines/>
              <w:spacing w:line="23" w:lineRule="atLeast"/>
              <w:rPr>
                <w:color w:val="000000"/>
                <w:sz w:val="18"/>
                <w:szCs w:val="18"/>
              </w:rPr>
            </w:pPr>
            <w:r>
              <w:rPr>
                <w:color w:val="000000"/>
                <w:sz w:val="18"/>
                <w:szCs w:val="18"/>
              </w:rPr>
              <w:t>Terminal care</w:t>
            </w:r>
            <w:r w:rsidRPr="002F108D">
              <w:rPr>
                <w:color w:val="000000"/>
                <w:sz w:val="18"/>
                <w:szCs w:val="18"/>
              </w:rPr>
              <w:t xml:space="preserve"> cost</w:t>
            </w:r>
          </w:p>
        </w:tc>
        <w:tc>
          <w:tcPr>
            <w:tcW w:w="1324" w:type="pct"/>
          </w:tcPr>
          <w:p w:rsidR="00F42309" w:rsidRPr="002F108D" w:rsidRDefault="00F42309" w:rsidP="00F42309">
            <w:pPr>
              <w:keepNext/>
              <w:keepLines/>
              <w:spacing w:line="23" w:lineRule="atLeast"/>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$14,633</w:t>
            </w:r>
          </w:p>
        </w:tc>
        <w:tc>
          <w:tcPr>
            <w:cnfStyle w:val="000010000000" w:firstRow="0" w:lastRow="0" w:firstColumn="0" w:lastColumn="0" w:oddVBand="1" w:evenVBand="0" w:oddHBand="0" w:evenHBand="0" w:firstRowFirstColumn="0" w:firstRowLastColumn="0" w:lastRowFirstColumn="0" w:lastRowLastColumn="0"/>
            <w:tcW w:w="1986" w:type="pct"/>
          </w:tcPr>
          <w:p w:rsidR="00F42309" w:rsidRPr="002F108D" w:rsidRDefault="00F42309" w:rsidP="00F42309">
            <w:pPr>
              <w:keepNext/>
              <w:keepLines/>
              <w:spacing w:line="23" w:lineRule="atLeast"/>
              <w:jc w:val="center"/>
              <w:rPr>
                <w:color w:val="000000"/>
                <w:sz w:val="18"/>
                <w:szCs w:val="18"/>
              </w:rPr>
            </w:pPr>
            <w:r w:rsidRPr="002F108D">
              <w:rPr>
                <w:color w:val="000000"/>
                <w:sz w:val="18"/>
                <w:szCs w:val="18"/>
              </w:rPr>
              <w:t>+/- 25%</w:t>
            </w:r>
          </w:p>
        </w:tc>
      </w:tr>
      <w:tr w:rsidR="00F42309" w:rsidRPr="002F108D" w:rsidTr="00F42309">
        <w:trPr>
          <w:cnfStyle w:val="000000100000" w:firstRow="0" w:lastRow="0" w:firstColumn="0" w:lastColumn="0" w:oddVBand="0" w:evenVBand="0" w:oddHBand="1" w:evenHBand="0" w:firstRowFirstColumn="0" w:firstRowLastColumn="0" w:lastRowFirstColumn="0" w:lastRowLastColumn="0"/>
          <w:trHeight w:val="493"/>
        </w:trPr>
        <w:tc>
          <w:tcPr>
            <w:cnfStyle w:val="000010000000" w:firstRow="0" w:lastRow="0" w:firstColumn="0" w:lastColumn="0" w:oddVBand="1" w:evenVBand="0" w:oddHBand="0" w:evenHBand="0" w:firstRowFirstColumn="0" w:firstRowLastColumn="0" w:lastRowFirstColumn="0" w:lastRowLastColumn="0"/>
            <w:tcW w:w="1690" w:type="pct"/>
          </w:tcPr>
          <w:p w:rsidR="00F42309" w:rsidRPr="002F108D" w:rsidRDefault="00F42309" w:rsidP="00F42309">
            <w:pPr>
              <w:keepNext/>
              <w:keepLines/>
              <w:spacing w:line="23" w:lineRule="atLeast"/>
              <w:rPr>
                <w:color w:val="000000"/>
                <w:sz w:val="18"/>
                <w:szCs w:val="18"/>
              </w:rPr>
            </w:pPr>
            <w:r w:rsidRPr="002F108D">
              <w:rPr>
                <w:color w:val="000000"/>
                <w:sz w:val="18"/>
                <w:szCs w:val="18"/>
              </w:rPr>
              <w:t xml:space="preserve">AE management cost </w:t>
            </w:r>
            <w:r>
              <w:rPr>
                <w:color w:val="000000"/>
                <w:sz w:val="18"/>
                <w:szCs w:val="18"/>
              </w:rPr>
              <w:t>–</w:t>
            </w:r>
            <w:r w:rsidRPr="002F108D">
              <w:rPr>
                <w:color w:val="000000"/>
                <w:sz w:val="18"/>
                <w:szCs w:val="18"/>
              </w:rPr>
              <w:t xml:space="preserve"> pembrolizumab</w:t>
            </w:r>
            <w:r>
              <w:rPr>
                <w:color w:val="000000"/>
                <w:sz w:val="18"/>
                <w:szCs w:val="18"/>
              </w:rPr>
              <w:t xml:space="preserve"> + chemotherapy</w:t>
            </w:r>
          </w:p>
        </w:tc>
        <w:tc>
          <w:tcPr>
            <w:tcW w:w="1324" w:type="pct"/>
          </w:tcPr>
          <w:p w:rsidR="00F42309" w:rsidRPr="002F108D" w:rsidRDefault="00F42309" w:rsidP="00F42309">
            <w:pPr>
              <w:keepNext/>
              <w:keepLines/>
              <w:spacing w:line="23" w:lineRule="atLeast"/>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2F108D">
              <w:rPr>
                <w:color w:val="000000"/>
                <w:sz w:val="18"/>
                <w:szCs w:val="18"/>
              </w:rPr>
              <w:t>$</w:t>
            </w:r>
            <w:r>
              <w:rPr>
                <w:color w:val="000000"/>
                <w:sz w:val="18"/>
                <w:szCs w:val="18"/>
              </w:rPr>
              <w:t>2,020</w:t>
            </w:r>
          </w:p>
        </w:tc>
        <w:tc>
          <w:tcPr>
            <w:cnfStyle w:val="000010000000" w:firstRow="0" w:lastRow="0" w:firstColumn="0" w:lastColumn="0" w:oddVBand="1" w:evenVBand="0" w:oddHBand="0" w:evenHBand="0" w:firstRowFirstColumn="0" w:firstRowLastColumn="0" w:lastRowFirstColumn="0" w:lastRowLastColumn="0"/>
            <w:tcW w:w="1986" w:type="pct"/>
          </w:tcPr>
          <w:p w:rsidR="00F42309" w:rsidRPr="002F108D" w:rsidRDefault="00F42309" w:rsidP="00F42309">
            <w:pPr>
              <w:keepNext/>
              <w:keepLines/>
              <w:spacing w:line="23" w:lineRule="atLeast"/>
              <w:jc w:val="center"/>
              <w:rPr>
                <w:color w:val="000000"/>
                <w:sz w:val="18"/>
                <w:szCs w:val="18"/>
              </w:rPr>
            </w:pPr>
            <w:r w:rsidRPr="002F108D">
              <w:rPr>
                <w:color w:val="000000"/>
                <w:sz w:val="18"/>
                <w:szCs w:val="18"/>
              </w:rPr>
              <w:t>+/- 50%</w:t>
            </w:r>
          </w:p>
        </w:tc>
      </w:tr>
      <w:tr w:rsidR="00F42309" w:rsidRPr="002F108D" w:rsidTr="00F42309">
        <w:trPr>
          <w:trHeight w:val="420"/>
        </w:trPr>
        <w:tc>
          <w:tcPr>
            <w:cnfStyle w:val="000010000000" w:firstRow="0" w:lastRow="0" w:firstColumn="0" w:lastColumn="0" w:oddVBand="1" w:evenVBand="0" w:oddHBand="0" w:evenHBand="0" w:firstRowFirstColumn="0" w:firstRowLastColumn="0" w:lastRowFirstColumn="0" w:lastRowLastColumn="0"/>
            <w:tcW w:w="1690" w:type="pct"/>
          </w:tcPr>
          <w:p w:rsidR="00F42309" w:rsidRPr="002F108D" w:rsidRDefault="00F42309" w:rsidP="00F42309">
            <w:pPr>
              <w:keepNext/>
              <w:keepLines/>
              <w:spacing w:line="23" w:lineRule="atLeast"/>
              <w:rPr>
                <w:color w:val="000000"/>
                <w:sz w:val="18"/>
                <w:szCs w:val="18"/>
              </w:rPr>
            </w:pPr>
            <w:r w:rsidRPr="002F108D">
              <w:rPr>
                <w:color w:val="000000"/>
                <w:sz w:val="18"/>
                <w:szCs w:val="18"/>
              </w:rPr>
              <w:t xml:space="preserve">AE management cost - </w:t>
            </w:r>
            <w:r>
              <w:rPr>
                <w:color w:val="000000"/>
                <w:sz w:val="18"/>
                <w:szCs w:val="18"/>
              </w:rPr>
              <w:t>chemotherapy</w:t>
            </w:r>
          </w:p>
        </w:tc>
        <w:tc>
          <w:tcPr>
            <w:tcW w:w="1324" w:type="pct"/>
          </w:tcPr>
          <w:p w:rsidR="00F42309" w:rsidRPr="002F108D" w:rsidRDefault="00F42309" w:rsidP="00F42309">
            <w:pPr>
              <w:keepNext/>
              <w:keepLines/>
              <w:spacing w:line="23" w:lineRule="atLeast"/>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2F108D">
              <w:rPr>
                <w:color w:val="000000"/>
                <w:sz w:val="18"/>
                <w:szCs w:val="18"/>
              </w:rPr>
              <w:t>$</w:t>
            </w:r>
            <w:r>
              <w:rPr>
                <w:color w:val="000000"/>
                <w:sz w:val="18"/>
                <w:szCs w:val="18"/>
              </w:rPr>
              <w:t>1,573</w:t>
            </w:r>
          </w:p>
        </w:tc>
        <w:tc>
          <w:tcPr>
            <w:cnfStyle w:val="000010000000" w:firstRow="0" w:lastRow="0" w:firstColumn="0" w:lastColumn="0" w:oddVBand="1" w:evenVBand="0" w:oddHBand="0" w:evenHBand="0" w:firstRowFirstColumn="0" w:firstRowLastColumn="0" w:lastRowFirstColumn="0" w:lastRowLastColumn="0"/>
            <w:tcW w:w="1986" w:type="pct"/>
          </w:tcPr>
          <w:p w:rsidR="00F42309" w:rsidRPr="002F108D" w:rsidRDefault="00F42309" w:rsidP="00F42309">
            <w:pPr>
              <w:keepNext/>
              <w:keepLines/>
              <w:spacing w:line="23" w:lineRule="atLeast"/>
              <w:jc w:val="center"/>
              <w:rPr>
                <w:color w:val="000000"/>
                <w:sz w:val="18"/>
                <w:szCs w:val="18"/>
              </w:rPr>
            </w:pPr>
            <w:r w:rsidRPr="002F108D">
              <w:rPr>
                <w:color w:val="000000"/>
                <w:sz w:val="18"/>
                <w:szCs w:val="18"/>
              </w:rPr>
              <w:t>+/- 50%</w:t>
            </w:r>
          </w:p>
        </w:tc>
      </w:tr>
    </w:tbl>
    <w:p w:rsidR="00F42309" w:rsidRPr="00164563" w:rsidRDefault="00F42309" w:rsidP="00F42309">
      <w:pPr>
        <w:spacing w:line="240" w:lineRule="auto"/>
        <w:rPr>
          <w:sz w:val="18"/>
          <w:szCs w:val="18"/>
        </w:rPr>
      </w:pPr>
      <w:r w:rsidRPr="00164563">
        <w:rPr>
          <w:sz w:val="18"/>
          <w:szCs w:val="18"/>
        </w:rPr>
        <w:t xml:space="preserve">AE = adverse event; CI = confidence interval; KM = Kaplan-Meier; OS = overall survival; PFS = progression-free survival; </w:t>
      </w:r>
      <w:r>
        <w:rPr>
          <w:sz w:val="18"/>
          <w:szCs w:val="18"/>
        </w:rPr>
        <w:t xml:space="preserve">RR = relative risk; SEER = Surveillance Epidemiology and End Results; </w:t>
      </w:r>
      <w:r w:rsidRPr="00164563">
        <w:rPr>
          <w:sz w:val="18"/>
          <w:szCs w:val="18"/>
        </w:rPr>
        <w:t xml:space="preserve">ToT = time on treatment </w:t>
      </w:r>
    </w:p>
    <w:p w:rsidR="0044200F" w:rsidRDefault="007C1B8C" w:rsidP="00FC67AD">
      <w:r w:rsidRPr="007C1B8C">
        <w:rPr>
          <w:u w:val="single"/>
        </w:rPr>
        <w:t>Note:</w:t>
      </w:r>
      <w:r>
        <w:t xml:space="preserve">  M</w:t>
      </w:r>
      <w:r w:rsidRPr="007C1B8C">
        <w:t>odeled drug acquisition cost</w:t>
      </w:r>
      <w:r>
        <w:t>s for</w:t>
      </w:r>
      <w:r w:rsidRPr="007C1B8C">
        <w:t xml:space="preserve"> pembrolizumab </w:t>
      </w:r>
      <w:r>
        <w:t>are based on a</w:t>
      </w:r>
      <w:r w:rsidRPr="007C1B8C">
        <w:t xml:space="preserve"> published list price</w:t>
      </w:r>
      <w:r>
        <w:t>,</w:t>
      </w:r>
      <w:r w:rsidRPr="007C1B8C">
        <w:t xml:space="preserve"> which does not vary within the U.S.</w:t>
      </w:r>
      <w:r>
        <w:t>,</w:t>
      </w:r>
      <w:r w:rsidRPr="007C1B8C">
        <w:t xml:space="preserve"> and thus</w:t>
      </w:r>
      <w:r>
        <w:t xml:space="preserve"> this cost</w:t>
      </w:r>
      <w:r w:rsidRPr="007C1B8C">
        <w:t xml:space="preserve"> is </w:t>
      </w:r>
      <w:bookmarkStart w:id="12" w:name="_GoBack"/>
      <w:bookmarkEnd w:id="12"/>
      <w:r w:rsidRPr="007C1B8C">
        <w:t>not varied in the sensitivity analysis.</w:t>
      </w:r>
      <w:r>
        <w:t xml:space="preserve"> </w:t>
      </w:r>
    </w:p>
    <w:p w:rsidR="00F42309" w:rsidRPr="00F42309" w:rsidRDefault="00F42309" w:rsidP="00F42309">
      <w:pPr>
        <w:pStyle w:val="Caption"/>
        <w:keepNext/>
        <w:rPr>
          <w:b w:val="0"/>
          <w:color w:val="auto"/>
          <w:sz w:val="22"/>
          <w:szCs w:val="22"/>
        </w:rPr>
      </w:pPr>
      <w:bookmarkStart w:id="13" w:name="_Ref448180665"/>
      <w:bookmarkStart w:id="14" w:name="_Toc321404774"/>
      <w:r w:rsidRPr="00F42309">
        <w:rPr>
          <w:b w:val="0"/>
          <w:color w:val="auto"/>
          <w:sz w:val="22"/>
          <w:szCs w:val="22"/>
        </w:rPr>
        <w:t xml:space="preserve">Table </w:t>
      </w:r>
      <w:bookmarkEnd w:id="13"/>
      <w:r w:rsidRPr="00F42309">
        <w:rPr>
          <w:b w:val="0"/>
          <w:color w:val="auto"/>
          <w:sz w:val="22"/>
          <w:szCs w:val="22"/>
        </w:rPr>
        <w:t>S11: Base-case Parameter Value and PSA Distribution Models</w:t>
      </w:r>
      <w:bookmarkEnd w:id="14"/>
    </w:p>
    <w:tbl>
      <w:tblPr>
        <w:tblStyle w:val="LightList-Accent5"/>
        <w:tblW w:w="5000" w:type="pct"/>
        <w:tblLook w:val="0020" w:firstRow="1" w:lastRow="0" w:firstColumn="0" w:lastColumn="0" w:noHBand="0" w:noVBand="0"/>
      </w:tblPr>
      <w:tblGrid>
        <w:gridCol w:w="3258"/>
        <w:gridCol w:w="540"/>
        <w:gridCol w:w="2610"/>
        <w:gridCol w:w="3168"/>
      </w:tblGrid>
      <w:tr w:rsidR="00F42309" w:rsidRPr="002F108D" w:rsidTr="00F42309">
        <w:trPr>
          <w:cnfStyle w:val="100000000000" w:firstRow="1" w:lastRow="0" w:firstColumn="0" w:lastColumn="0" w:oddVBand="0" w:evenVBand="0" w:oddHBand="0"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701" w:type="pct"/>
            <w:tcBorders>
              <w:bottom w:val="single" w:sz="8" w:space="0" w:color="4BACC6" w:themeColor="accent5"/>
            </w:tcBorders>
          </w:tcPr>
          <w:p w:rsidR="00F42309" w:rsidRPr="002F108D" w:rsidRDefault="00F42309" w:rsidP="00F42309">
            <w:pPr>
              <w:keepNext/>
              <w:spacing w:line="23" w:lineRule="atLeast"/>
              <w:rPr>
                <w:bCs w:val="0"/>
                <w:sz w:val="18"/>
                <w:szCs w:val="18"/>
              </w:rPr>
            </w:pPr>
            <w:r w:rsidRPr="002F108D">
              <w:rPr>
                <w:bCs w:val="0"/>
                <w:sz w:val="18"/>
                <w:szCs w:val="18"/>
              </w:rPr>
              <w:t>Model Parameter</w:t>
            </w:r>
          </w:p>
        </w:tc>
        <w:tc>
          <w:tcPr>
            <w:tcW w:w="1645" w:type="pct"/>
            <w:gridSpan w:val="2"/>
            <w:tcBorders>
              <w:top w:val="single" w:sz="8" w:space="0" w:color="4BACC6" w:themeColor="accent5"/>
              <w:bottom w:val="single" w:sz="8" w:space="0" w:color="4BACC6" w:themeColor="accent5"/>
            </w:tcBorders>
          </w:tcPr>
          <w:p w:rsidR="00F42309" w:rsidRPr="002F108D" w:rsidRDefault="00F42309" w:rsidP="00F42309">
            <w:pPr>
              <w:keepNext/>
              <w:spacing w:line="23" w:lineRule="atLeast"/>
              <w:jc w:val="center"/>
              <w:cnfStyle w:val="100000000000" w:firstRow="1" w:lastRow="0" w:firstColumn="0" w:lastColumn="0" w:oddVBand="0" w:evenVBand="0" w:oddHBand="0" w:evenHBand="0" w:firstRowFirstColumn="0" w:firstRowLastColumn="0" w:lastRowFirstColumn="0" w:lastRowLastColumn="0"/>
              <w:rPr>
                <w:bCs w:val="0"/>
                <w:sz w:val="18"/>
                <w:szCs w:val="18"/>
              </w:rPr>
            </w:pPr>
            <w:r w:rsidRPr="002F108D">
              <w:rPr>
                <w:bCs w:val="0"/>
                <w:sz w:val="18"/>
                <w:szCs w:val="18"/>
              </w:rPr>
              <w:t>Base-Case Value</w:t>
            </w:r>
          </w:p>
        </w:tc>
        <w:tc>
          <w:tcPr>
            <w:cnfStyle w:val="000010000000" w:firstRow="0" w:lastRow="0" w:firstColumn="0" w:lastColumn="0" w:oddVBand="1" w:evenVBand="0" w:oddHBand="0" w:evenHBand="0" w:firstRowFirstColumn="0" w:firstRowLastColumn="0" w:lastRowFirstColumn="0" w:lastRowLastColumn="0"/>
            <w:tcW w:w="1654" w:type="pct"/>
            <w:tcBorders>
              <w:bottom w:val="single" w:sz="8" w:space="0" w:color="4BACC6" w:themeColor="accent5"/>
            </w:tcBorders>
          </w:tcPr>
          <w:p w:rsidR="00F42309" w:rsidRPr="002F108D" w:rsidRDefault="00F42309" w:rsidP="00F42309">
            <w:pPr>
              <w:keepNext/>
              <w:spacing w:line="23" w:lineRule="atLeast"/>
              <w:rPr>
                <w:bCs w:val="0"/>
                <w:sz w:val="18"/>
                <w:szCs w:val="18"/>
              </w:rPr>
            </w:pPr>
            <w:r>
              <w:rPr>
                <w:bCs w:val="0"/>
                <w:sz w:val="18"/>
                <w:szCs w:val="18"/>
              </w:rPr>
              <w:t>PSA Distribution</w:t>
            </w:r>
          </w:p>
        </w:tc>
      </w:tr>
      <w:tr w:rsidR="00F42309" w:rsidRPr="002F108D" w:rsidTr="00F42309">
        <w:trPr>
          <w:cnfStyle w:val="000000100000" w:firstRow="0" w:lastRow="0" w:firstColumn="0" w:lastColumn="0" w:oddVBand="0" w:evenVBand="0" w:oddHBand="1" w:evenHBand="0" w:firstRowFirstColumn="0" w:firstRowLastColumn="0" w:lastRowFirstColumn="0" w:lastRowLastColumn="0"/>
          <w:trHeight w:val="286"/>
        </w:trPr>
        <w:tc>
          <w:tcPr>
            <w:cnfStyle w:val="000010000000" w:firstRow="0" w:lastRow="0" w:firstColumn="0" w:lastColumn="0" w:oddVBand="1" w:evenVBand="0" w:oddHBand="0" w:evenHBand="0" w:firstRowFirstColumn="0" w:firstRowLastColumn="0" w:lastRowFirstColumn="0" w:lastRowLastColumn="0"/>
            <w:tcW w:w="5000" w:type="pct"/>
            <w:gridSpan w:val="4"/>
            <w:shd w:val="pct15" w:color="auto" w:fill="auto"/>
            <w:vAlign w:val="bottom"/>
          </w:tcPr>
          <w:p w:rsidR="00F42309" w:rsidRPr="008B2239" w:rsidRDefault="00F42309" w:rsidP="00F42309">
            <w:pPr>
              <w:keepNext/>
              <w:spacing w:line="23" w:lineRule="atLeast"/>
              <w:jc w:val="center"/>
              <w:rPr>
                <w:b/>
                <w:color w:val="000000"/>
                <w:sz w:val="18"/>
                <w:szCs w:val="18"/>
              </w:rPr>
            </w:pPr>
          </w:p>
          <w:p w:rsidR="00F42309" w:rsidRPr="008B2239" w:rsidRDefault="00F42309" w:rsidP="00F42309">
            <w:pPr>
              <w:keepNext/>
              <w:spacing w:line="23" w:lineRule="atLeast"/>
              <w:rPr>
                <w:b/>
                <w:color w:val="000000"/>
                <w:sz w:val="18"/>
                <w:szCs w:val="18"/>
              </w:rPr>
            </w:pPr>
            <w:r w:rsidRPr="008B2239">
              <w:rPr>
                <w:b/>
                <w:color w:val="000000"/>
                <w:sz w:val="18"/>
                <w:szCs w:val="18"/>
              </w:rPr>
              <w:t>Primary Analysis Comparators</w:t>
            </w:r>
          </w:p>
        </w:tc>
      </w:tr>
      <w:tr w:rsidR="00F42309" w:rsidRPr="002F108D" w:rsidTr="00F42309">
        <w:trPr>
          <w:trHeight w:val="241"/>
        </w:trPr>
        <w:tc>
          <w:tcPr>
            <w:cnfStyle w:val="000010000000" w:firstRow="0" w:lastRow="0" w:firstColumn="0" w:lastColumn="0" w:oddVBand="1" w:evenVBand="0" w:oddHBand="0" w:evenHBand="0" w:firstRowFirstColumn="0" w:firstRowLastColumn="0" w:lastRowFirstColumn="0" w:lastRowLastColumn="0"/>
            <w:tcW w:w="1983" w:type="pct"/>
            <w:gridSpan w:val="2"/>
          </w:tcPr>
          <w:p w:rsidR="00F42309" w:rsidRPr="002F108D" w:rsidRDefault="00F42309" w:rsidP="00F42309">
            <w:pPr>
              <w:keepNext/>
              <w:spacing w:line="23" w:lineRule="atLeast"/>
              <w:rPr>
                <w:color w:val="000000"/>
                <w:sz w:val="18"/>
                <w:szCs w:val="18"/>
              </w:rPr>
            </w:pPr>
            <w:r w:rsidRPr="002F108D">
              <w:rPr>
                <w:color w:val="000000"/>
                <w:sz w:val="18"/>
                <w:szCs w:val="18"/>
              </w:rPr>
              <w:t xml:space="preserve">OS </w:t>
            </w:r>
            <w:r>
              <w:rPr>
                <w:color w:val="000000"/>
                <w:sz w:val="18"/>
                <w:szCs w:val="18"/>
              </w:rPr>
              <w:t>–</w:t>
            </w:r>
            <w:r w:rsidRPr="002F108D">
              <w:rPr>
                <w:color w:val="000000"/>
                <w:sz w:val="18"/>
                <w:szCs w:val="18"/>
              </w:rPr>
              <w:t xml:space="preserve"> pembrolizumab</w:t>
            </w:r>
            <w:r>
              <w:rPr>
                <w:color w:val="000000"/>
                <w:sz w:val="18"/>
                <w:szCs w:val="18"/>
              </w:rPr>
              <w:t xml:space="preserve"> + chemotherapy</w:t>
            </w:r>
          </w:p>
        </w:tc>
        <w:tc>
          <w:tcPr>
            <w:tcW w:w="1363" w:type="pct"/>
          </w:tcPr>
          <w:p w:rsidR="00F42309" w:rsidRDefault="00F42309" w:rsidP="00F42309">
            <w:pPr>
              <w:keepNext/>
              <w:spacing w:line="23" w:lineRule="atLeast"/>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33468C">
              <w:rPr>
                <w:color w:val="000000"/>
                <w:sz w:val="18"/>
                <w:szCs w:val="18"/>
              </w:rPr>
              <w:t>RR applied to chemotherapy arm OS</w:t>
            </w:r>
            <w:r>
              <w:rPr>
                <w:color w:val="000000"/>
                <w:sz w:val="18"/>
                <w:szCs w:val="18"/>
              </w:rPr>
              <w:t xml:space="preserve"> during years 2-5</w:t>
            </w:r>
          </w:p>
          <w:p w:rsidR="00F42309" w:rsidRPr="002F108D" w:rsidRDefault="003F5F12" w:rsidP="00F42309">
            <w:pPr>
              <w:keepNext/>
              <w:spacing w:line="23" w:lineRule="atLeast"/>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0.58</w:t>
            </w:r>
          </w:p>
        </w:tc>
        <w:tc>
          <w:tcPr>
            <w:cnfStyle w:val="000010000000" w:firstRow="0" w:lastRow="0" w:firstColumn="0" w:lastColumn="0" w:oddVBand="1" w:evenVBand="0" w:oddHBand="0" w:evenHBand="0" w:firstRowFirstColumn="0" w:firstRowLastColumn="0" w:lastRowFirstColumn="0" w:lastRowLastColumn="0"/>
            <w:tcW w:w="1654" w:type="pct"/>
          </w:tcPr>
          <w:p w:rsidR="00F42309" w:rsidRDefault="00F42309" w:rsidP="00F42309">
            <w:pPr>
              <w:keepNext/>
              <w:spacing w:line="23" w:lineRule="atLeast"/>
              <w:rPr>
                <w:color w:val="000000"/>
                <w:sz w:val="18"/>
                <w:szCs w:val="18"/>
              </w:rPr>
            </w:pPr>
            <w:r>
              <w:rPr>
                <w:color w:val="000000"/>
                <w:sz w:val="18"/>
                <w:szCs w:val="18"/>
              </w:rPr>
              <w:t>Lognormal</w:t>
            </w:r>
          </w:p>
        </w:tc>
      </w:tr>
      <w:tr w:rsidR="00F42309" w:rsidRPr="002F108D" w:rsidTr="00F42309">
        <w:trPr>
          <w:cnfStyle w:val="000000100000" w:firstRow="0" w:lastRow="0" w:firstColumn="0" w:lastColumn="0" w:oddVBand="0" w:evenVBand="0" w:oddHBand="1" w:evenHBand="0" w:firstRowFirstColumn="0" w:firstRowLastColumn="0" w:lastRowFirstColumn="0" w:lastRowLastColumn="0"/>
          <w:trHeight w:val="241"/>
        </w:trPr>
        <w:tc>
          <w:tcPr>
            <w:cnfStyle w:val="000010000000" w:firstRow="0" w:lastRow="0" w:firstColumn="0" w:lastColumn="0" w:oddVBand="1" w:evenVBand="0" w:oddHBand="0" w:evenHBand="0" w:firstRowFirstColumn="0" w:firstRowLastColumn="0" w:lastRowFirstColumn="0" w:lastRowLastColumn="0"/>
            <w:tcW w:w="1983" w:type="pct"/>
            <w:gridSpan w:val="2"/>
          </w:tcPr>
          <w:p w:rsidR="00F42309" w:rsidRPr="002F108D" w:rsidRDefault="00F42309" w:rsidP="00F42309">
            <w:pPr>
              <w:keepNext/>
              <w:spacing w:line="23" w:lineRule="atLeast"/>
              <w:rPr>
                <w:color w:val="000000"/>
                <w:sz w:val="18"/>
                <w:szCs w:val="18"/>
              </w:rPr>
            </w:pPr>
            <w:r w:rsidRPr="002F108D">
              <w:rPr>
                <w:color w:val="000000"/>
                <w:sz w:val="18"/>
                <w:szCs w:val="18"/>
              </w:rPr>
              <w:t xml:space="preserve">OS </w:t>
            </w:r>
            <w:r>
              <w:rPr>
                <w:color w:val="000000"/>
                <w:sz w:val="18"/>
                <w:szCs w:val="18"/>
              </w:rPr>
              <w:t>–</w:t>
            </w:r>
            <w:r w:rsidRPr="002F108D">
              <w:rPr>
                <w:color w:val="000000"/>
                <w:sz w:val="18"/>
                <w:szCs w:val="18"/>
              </w:rPr>
              <w:t xml:space="preserve"> pembrolizumab</w:t>
            </w:r>
            <w:r>
              <w:rPr>
                <w:color w:val="000000"/>
                <w:sz w:val="18"/>
                <w:szCs w:val="18"/>
              </w:rPr>
              <w:t xml:space="preserve"> + chemotherapy</w:t>
            </w:r>
          </w:p>
        </w:tc>
        <w:tc>
          <w:tcPr>
            <w:tcW w:w="1363" w:type="pct"/>
          </w:tcPr>
          <w:p w:rsidR="00F42309" w:rsidRPr="002F108D" w:rsidRDefault="00F42309" w:rsidP="00F42309">
            <w:pPr>
              <w:keepNext/>
              <w:spacing w:line="23" w:lineRule="atLeast"/>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SEER mortality risks beyond  year 5</w:t>
            </w:r>
          </w:p>
        </w:tc>
        <w:tc>
          <w:tcPr>
            <w:cnfStyle w:val="000010000000" w:firstRow="0" w:lastRow="0" w:firstColumn="0" w:lastColumn="0" w:oddVBand="1" w:evenVBand="0" w:oddHBand="0" w:evenHBand="0" w:firstRowFirstColumn="0" w:firstRowLastColumn="0" w:lastRowFirstColumn="0" w:lastRowLastColumn="0"/>
            <w:tcW w:w="1654" w:type="pct"/>
          </w:tcPr>
          <w:p w:rsidR="00F42309" w:rsidRDefault="00F42309" w:rsidP="00F42309">
            <w:pPr>
              <w:keepNext/>
              <w:spacing w:line="23" w:lineRule="atLeast"/>
              <w:rPr>
                <w:color w:val="000000"/>
                <w:sz w:val="18"/>
                <w:szCs w:val="18"/>
              </w:rPr>
            </w:pPr>
            <w:r>
              <w:rPr>
                <w:color w:val="000000"/>
                <w:sz w:val="18"/>
                <w:szCs w:val="18"/>
              </w:rPr>
              <w:t>Lognormal</w:t>
            </w:r>
          </w:p>
        </w:tc>
      </w:tr>
      <w:tr w:rsidR="00F42309" w:rsidRPr="002F108D" w:rsidTr="00F42309">
        <w:trPr>
          <w:trHeight w:val="259"/>
        </w:trPr>
        <w:tc>
          <w:tcPr>
            <w:cnfStyle w:val="000010000000" w:firstRow="0" w:lastRow="0" w:firstColumn="0" w:lastColumn="0" w:oddVBand="1" w:evenVBand="0" w:oddHBand="0" w:evenHBand="0" w:firstRowFirstColumn="0" w:firstRowLastColumn="0" w:lastRowFirstColumn="0" w:lastRowLastColumn="0"/>
            <w:tcW w:w="1983" w:type="pct"/>
            <w:gridSpan w:val="2"/>
          </w:tcPr>
          <w:p w:rsidR="00F42309" w:rsidRPr="002F108D" w:rsidRDefault="00F42309" w:rsidP="00F42309">
            <w:pPr>
              <w:keepNext/>
              <w:spacing w:line="23" w:lineRule="atLeast"/>
              <w:rPr>
                <w:color w:val="000000"/>
                <w:sz w:val="18"/>
                <w:szCs w:val="18"/>
              </w:rPr>
            </w:pPr>
            <w:r w:rsidRPr="002F108D">
              <w:rPr>
                <w:color w:val="000000"/>
                <w:sz w:val="18"/>
                <w:szCs w:val="18"/>
              </w:rPr>
              <w:t xml:space="preserve">OS </w:t>
            </w:r>
            <w:r>
              <w:rPr>
                <w:color w:val="000000"/>
                <w:sz w:val="18"/>
                <w:szCs w:val="18"/>
              </w:rPr>
              <w:t>–</w:t>
            </w:r>
            <w:r w:rsidRPr="002F108D">
              <w:rPr>
                <w:color w:val="000000"/>
                <w:sz w:val="18"/>
                <w:szCs w:val="18"/>
              </w:rPr>
              <w:t xml:space="preserve"> </w:t>
            </w:r>
            <w:r>
              <w:rPr>
                <w:color w:val="000000"/>
                <w:sz w:val="18"/>
                <w:szCs w:val="18"/>
              </w:rPr>
              <w:t>chemotherapy</w:t>
            </w:r>
          </w:p>
        </w:tc>
        <w:tc>
          <w:tcPr>
            <w:tcW w:w="1363" w:type="pct"/>
          </w:tcPr>
          <w:p w:rsidR="00F42309" w:rsidRPr="002F108D" w:rsidRDefault="00F42309" w:rsidP="00F42309">
            <w:pPr>
              <w:keepNext/>
              <w:spacing w:line="23" w:lineRule="atLeast"/>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SEER mortality risks beyond year 1</w:t>
            </w:r>
          </w:p>
        </w:tc>
        <w:tc>
          <w:tcPr>
            <w:cnfStyle w:val="000010000000" w:firstRow="0" w:lastRow="0" w:firstColumn="0" w:lastColumn="0" w:oddVBand="1" w:evenVBand="0" w:oddHBand="0" w:evenHBand="0" w:firstRowFirstColumn="0" w:firstRowLastColumn="0" w:lastRowFirstColumn="0" w:lastRowLastColumn="0"/>
            <w:tcW w:w="1654" w:type="pct"/>
          </w:tcPr>
          <w:p w:rsidR="00F42309" w:rsidRDefault="00F42309" w:rsidP="00F42309">
            <w:pPr>
              <w:keepNext/>
              <w:spacing w:line="23" w:lineRule="atLeast"/>
              <w:rPr>
                <w:color w:val="000000"/>
                <w:sz w:val="18"/>
                <w:szCs w:val="18"/>
              </w:rPr>
            </w:pPr>
            <w:r>
              <w:rPr>
                <w:color w:val="000000"/>
                <w:sz w:val="18"/>
                <w:szCs w:val="18"/>
              </w:rPr>
              <w:t>Lognormal</w:t>
            </w:r>
          </w:p>
        </w:tc>
      </w:tr>
      <w:tr w:rsidR="00F42309" w:rsidRPr="002F108D" w:rsidTr="00F42309">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1983" w:type="pct"/>
            <w:gridSpan w:val="2"/>
          </w:tcPr>
          <w:p w:rsidR="00F42309" w:rsidRPr="002F108D" w:rsidRDefault="00F42309" w:rsidP="00F42309">
            <w:pPr>
              <w:keepNext/>
              <w:spacing w:line="23" w:lineRule="atLeast"/>
              <w:rPr>
                <w:color w:val="000000"/>
                <w:sz w:val="18"/>
                <w:szCs w:val="18"/>
              </w:rPr>
            </w:pPr>
            <w:r w:rsidRPr="002F108D">
              <w:rPr>
                <w:color w:val="000000"/>
                <w:sz w:val="18"/>
                <w:szCs w:val="18"/>
              </w:rPr>
              <w:t xml:space="preserve">PFS </w:t>
            </w:r>
            <w:r>
              <w:rPr>
                <w:color w:val="000000"/>
                <w:sz w:val="18"/>
                <w:szCs w:val="18"/>
              </w:rPr>
              <w:t>–</w:t>
            </w:r>
            <w:r w:rsidRPr="002F108D">
              <w:rPr>
                <w:color w:val="000000"/>
                <w:sz w:val="18"/>
                <w:szCs w:val="18"/>
              </w:rPr>
              <w:t xml:space="preserve"> pembrolizumab</w:t>
            </w:r>
            <w:r>
              <w:rPr>
                <w:color w:val="000000"/>
                <w:sz w:val="18"/>
                <w:szCs w:val="18"/>
              </w:rPr>
              <w:t xml:space="preserve"> + chemotherapy</w:t>
            </w:r>
          </w:p>
        </w:tc>
        <w:tc>
          <w:tcPr>
            <w:tcW w:w="1363" w:type="pct"/>
          </w:tcPr>
          <w:p w:rsidR="00F42309" w:rsidRPr="002F108D" w:rsidRDefault="00F42309" w:rsidP="00F42309">
            <w:pPr>
              <w:keepNext/>
              <w:spacing w:line="23" w:lineRule="atLeast"/>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2F108D">
              <w:rPr>
                <w:color w:val="000000"/>
                <w:sz w:val="18"/>
                <w:szCs w:val="18"/>
              </w:rPr>
              <w:t>KM</w:t>
            </w:r>
            <w:r>
              <w:rPr>
                <w:color w:val="000000"/>
                <w:sz w:val="18"/>
                <w:szCs w:val="18"/>
              </w:rPr>
              <w:t>39</w:t>
            </w:r>
            <w:r w:rsidRPr="002F108D">
              <w:rPr>
                <w:color w:val="000000"/>
                <w:sz w:val="18"/>
                <w:szCs w:val="18"/>
              </w:rPr>
              <w:t xml:space="preserve">+ </w:t>
            </w:r>
            <w:r>
              <w:rPr>
                <w:color w:val="000000"/>
                <w:sz w:val="18"/>
                <w:szCs w:val="18"/>
              </w:rPr>
              <w:t>weibul</w:t>
            </w:r>
            <w:r w:rsidRPr="002F108D">
              <w:rPr>
                <w:color w:val="000000"/>
                <w:sz w:val="18"/>
                <w:szCs w:val="18"/>
              </w:rPr>
              <w:t xml:space="preserve">l </w:t>
            </w:r>
            <w:r>
              <w:rPr>
                <w:color w:val="000000"/>
                <w:sz w:val="18"/>
                <w:szCs w:val="18"/>
              </w:rPr>
              <w:t>following</w:t>
            </w:r>
          </w:p>
        </w:tc>
        <w:tc>
          <w:tcPr>
            <w:cnfStyle w:val="000010000000" w:firstRow="0" w:lastRow="0" w:firstColumn="0" w:lastColumn="0" w:oddVBand="1" w:evenVBand="0" w:oddHBand="0" w:evenHBand="0" w:firstRowFirstColumn="0" w:firstRowLastColumn="0" w:lastRowFirstColumn="0" w:lastRowLastColumn="0"/>
            <w:tcW w:w="1654" w:type="pct"/>
          </w:tcPr>
          <w:p w:rsidR="00F42309" w:rsidRPr="00B031AA" w:rsidRDefault="00F42309" w:rsidP="00F42309">
            <w:pPr>
              <w:keepNext/>
              <w:spacing w:line="23" w:lineRule="atLeast"/>
              <w:rPr>
                <w:color w:val="000000"/>
                <w:sz w:val="18"/>
                <w:szCs w:val="18"/>
                <w:lang w:val="en-US"/>
              </w:rPr>
            </w:pPr>
            <w:r>
              <w:rPr>
                <w:color w:val="000000"/>
                <w:sz w:val="18"/>
                <w:szCs w:val="18"/>
                <w:lang w:val="en-US"/>
              </w:rPr>
              <w:t>M</w:t>
            </w:r>
            <w:r w:rsidRPr="00B031AA">
              <w:rPr>
                <w:color w:val="000000"/>
                <w:sz w:val="18"/>
                <w:szCs w:val="18"/>
                <w:lang w:val="en-US"/>
              </w:rPr>
              <w:t xml:space="preserve">ultivariate normal </w:t>
            </w:r>
          </w:p>
        </w:tc>
      </w:tr>
      <w:tr w:rsidR="00F42309" w:rsidRPr="002F108D" w:rsidTr="00F42309">
        <w:trPr>
          <w:trHeight w:val="241"/>
        </w:trPr>
        <w:tc>
          <w:tcPr>
            <w:cnfStyle w:val="000010000000" w:firstRow="0" w:lastRow="0" w:firstColumn="0" w:lastColumn="0" w:oddVBand="1" w:evenVBand="0" w:oddHBand="0" w:evenHBand="0" w:firstRowFirstColumn="0" w:firstRowLastColumn="0" w:lastRowFirstColumn="0" w:lastRowLastColumn="0"/>
            <w:tcW w:w="1983" w:type="pct"/>
            <w:gridSpan w:val="2"/>
          </w:tcPr>
          <w:p w:rsidR="00F42309" w:rsidRPr="002F108D" w:rsidRDefault="00F42309" w:rsidP="00F42309">
            <w:pPr>
              <w:keepNext/>
              <w:spacing w:line="23" w:lineRule="atLeast"/>
              <w:rPr>
                <w:color w:val="000000"/>
                <w:sz w:val="18"/>
                <w:szCs w:val="18"/>
              </w:rPr>
            </w:pPr>
            <w:r w:rsidRPr="002F108D">
              <w:rPr>
                <w:color w:val="000000"/>
                <w:sz w:val="18"/>
                <w:szCs w:val="18"/>
              </w:rPr>
              <w:t xml:space="preserve">PFS </w:t>
            </w:r>
            <w:r>
              <w:rPr>
                <w:color w:val="000000"/>
                <w:sz w:val="18"/>
                <w:szCs w:val="18"/>
              </w:rPr>
              <w:t>–</w:t>
            </w:r>
            <w:r w:rsidRPr="002F108D">
              <w:rPr>
                <w:color w:val="000000"/>
                <w:sz w:val="18"/>
                <w:szCs w:val="18"/>
              </w:rPr>
              <w:t xml:space="preserve"> </w:t>
            </w:r>
            <w:r>
              <w:rPr>
                <w:color w:val="000000"/>
                <w:sz w:val="18"/>
                <w:szCs w:val="18"/>
              </w:rPr>
              <w:t xml:space="preserve">chemotherapy </w:t>
            </w:r>
          </w:p>
        </w:tc>
        <w:tc>
          <w:tcPr>
            <w:tcW w:w="1363" w:type="pct"/>
          </w:tcPr>
          <w:p w:rsidR="00F42309" w:rsidRPr="002F108D" w:rsidRDefault="00F42309" w:rsidP="00F42309">
            <w:pPr>
              <w:keepNext/>
              <w:spacing w:line="23" w:lineRule="atLeast"/>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KM21</w:t>
            </w:r>
            <w:r w:rsidRPr="002F108D">
              <w:rPr>
                <w:color w:val="000000"/>
                <w:sz w:val="18"/>
                <w:szCs w:val="18"/>
              </w:rPr>
              <w:t xml:space="preserve">+ </w:t>
            </w:r>
            <w:r>
              <w:rPr>
                <w:color w:val="000000"/>
                <w:sz w:val="18"/>
                <w:szCs w:val="18"/>
              </w:rPr>
              <w:t>weibull</w:t>
            </w:r>
            <w:r w:rsidRPr="002F108D">
              <w:rPr>
                <w:color w:val="000000"/>
                <w:sz w:val="18"/>
                <w:szCs w:val="18"/>
              </w:rPr>
              <w:t xml:space="preserve"> </w:t>
            </w:r>
            <w:r>
              <w:rPr>
                <w:color w:val="000000"/>
                <w:sz w:val="18"/>
                <w:szCs w:val="18"/>
              </w:rPr>
              <w:t>following</w:t>
            </w:r>
          </w:p>
        </w:tc>
        <w:tc>
          <w:tcPr>
            <w:cnfStyle w:val="000010000000" w:firstRow="0" w:lastRow="0" w:firstColumn="0" w:lastColumn="0" w:oddVBand="1" w:evenVBand="0" w:oddHBand="0" w:evenHBand="0" w:firstRowFirstColumn="0" w:firstRowLastColumn="0" w:lastRowFirstColumn="0" w:lastRowLastColumn="0"/>
            <w:tcW w:w="1654" w:type="pct"/>
          </w:tcPr>
          <w:p w:rsidR="00F42309" w:rsidRPr="00B031AA" w:rsidRDefault="00F42309" w:rsidP="00F42309">
            <w:pPr>
              <w:keepNext/>
              <w:spacing w:line="23" w:lineRule="atLeast"/>
              <w:rPr>
                <w:color w:val="000000"/>
                <w:sz w:val="18"/>
                <w:szCs w:val="18"/>
                <w:lang w:val="en-US"/>
              </w:rPr>
            </w:pPr>
            <w:r>
              <w:rPr>
                <w:color w:val="000000"/>
                <w:sz w:val="18"/>
                <w:szCs w:val="18"/>
                <w:lang w:val="en-US"/>
              </w:rPr>
              <w:t>M</w:t>
            </w:r>
            <w:r w:rsidRPr="00B031AA">
              <w:rPr>
                <w:color w:val="000000"/>
                <w:sz w:val="18"/>
                <w:szCs w:val="18"/>
                <w:lang w:val="en-US"/>
              </w:rPr>
              <w:t>ultivariate normal</w:t>
            </w:r>
          </w:p>
        </w:tc>
      </w:tr>
      <w:tr w:rsidR="00F42309" w:rsidRPr="002F108D" w:rsidTr="00F42309">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1983" w:type="pct"/>
            <w:gridSpan w:val="2"/>
          </w:tcPr>
          <w:p w:rsidR="00F42309" w:rsidRPr="002F108D" w:rsidRDefault="00F42309" w:rsidP="00F42309">
            <w:pPr>
              <w:keepNext/>
              <w:spacing w:line="23" w:lineRule="atLeast"/>
              <w:rPr>
                <w:color w:val="000000"/>
                <w:sz w:val="18"/>
                <w:szCs w:val="18"/>
              </w:rPr>
            </w:pPr>
            <w:r w:rsidRPr="002F108D">
              <w:rPr>
                <w:color w:val="000000"/>
                <w:sz w:val="18"/>
                <w:szCs w:val="18"/>
              </w:rPr>
              <w:t xml:space="preserve">ToT </w:t>
            </w:r>
            <w:r>
              <w:rPr>
                <w:color w:val="000000"/>
                <w:sz w:val="18"/>
                <w:szCs w:val="18"/>
              </w:rPr>
              <w:t>–</w:t>
            </w:r>
            <w:r w:rsidRPr="002F108D">
              <w:rPr>
                <w:color w:val="000000"/>
                <w:sz w:val="18"/>
                <w:szCs w:val="18"/>
              </w:rPr>
              <w:t xml:space="preserve"> pembrolizumab</w:t>
            </w:r>
            <w:r>
              <w:rPr>
                <w:color w:val="000000"/>
                <w:sz w:val="18"/>
                <w:szCs w:val="18"/>
              </w:rPr>
              <w:t xml:space="preserve"> + chemotherapy</w:t>
            </w:r>
          </w:p>
        </w:tc>
        <w:tc>
          <w:tcPr>
            <w:tcW w:w="1363" w:type="pct"/>
          </w:tcPr>
          <w:p w:rsidR="00F42309" w:rsidRPr="002F108D" w:rsidRDefault="00F42309" w:rsidP="00F42309">
            <w:pPr>
              <w:keepNext/>
              <w:spacing w:line="23" w:lineRule="atLeast"/>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Exponential</w:t>
            </w:r>
            <w:r w:rsidRPr="002F108D">
              <w:rPr>
                <w:color w:val="000000"/>
                <w:sz w:val="18"/>
                <w:szCs w:val="18"/>
              </w:rPr>
              <w:t xml:space="preserve"> model</w:t>
            </w:r>
          </w:p>
        </w:tc>
        <w:tc>
          <w:tcPr>
            <w:cnfStyle w:val="000010000000" w:firstRow="0" w:lastRow="0" w:firstColumn="0" w:lastColumn="0" w:oddVBand="1" w:evenVBand="0" w:oddHBand="0" w:evenHBand="0" w:firstRowFirstColumn="0" w:firstRowLastColumn="0" w:lastRowFirstColumn="0" w:lastRowLastColumn="0"/>
            <w:tcW w:w="1654" w:type="pct"/>
          </w:tcPr>
          <w:p w:rsidR="00F42309" w:rsidRPr="00B031AA" w:rsidRDefault="00F42309" w:rsidP="00F42309">
            <w:pPr>
              <w:keepNext/>
              <w:spacing w:line="23" w:lineRule="atLeast"/>
              <w:rPr>
                <w:color w:val="000000"/>
                <w:sz w:val="18"/>
                <w:szCs w:val="18"/>
                <w:lang w:val="en-US"/>
              </w:rPr>
            </w:pPr>
            <w:r>
              <w:rPr>
                <w:color w:val="000000"/>
                <w:sz w:val="18"/>
                <w:szCs w:val="18"/>
                <w:lang w:val="en-US"/>
              </w:rPr>
              <w:t>M</w:t>
            </w:r>
            <w:r w:rsidRPr="00B031AA">
              <w:rPr>
                <w:color w:val="000000"/>
                <w:sz w:val="18"/>
                <w:szCs w:val="18"/>
                <w:lang w:val="en-US"/>
              </w:rPr>
              <w:t xml:space="preserve">ultivariate normal </w:t>
            </w:r>
          </w:p>
        </w:tc>
      </w:tr>
      <w:tr w:rsidR="00F42309" w:rsidRPr="002F108D" w:rsidTr="00F42309">
        <w:trPr>
          <w:trHeight w:val="241"/>
        </w:trPr>
        <w:tc>
          <w:tcPr>
            <w:cnfStyle w:val="000010000000" w:firstRow="0" w:lastRow="0" w:firstColumn="0" w:lastColumn="0" w:oddVBand="1" w:evenVBand="0" w:oddHBand="0" w:evenHBand="0" w:firstRowFirstColumn="0" w:firstRowLastColumn="0" w:lastRowFirstColumn="0" w:lastRowLastColumn="0"/>
            <w:tcW w:w="1983" w:type="pct"/>
            <w:gridSpan w:val="2"/>
          </w:tcPr>
          <w:p w:rsidR="00F42309" w:rsidRPr="002F108D" w:rsidRDefault="00F42309" w:rsidP="00F42309">
            <w:pPr>
              <w:keepNext/>
              <w:spacing w:line="23" w:lineRule="atLeast"/>
              <w:rPr>
                <w:color w:val="000000"/>
                <w:sz w:val="18"/>
                <w:szCs w:val="18"/>
              </w:rPr>
            </w:pPr>
            <w:r w:rsidRPr="002F108D">
              <w:rPr>
                <w:color w:val="000000"/>
                <w:sz w:val="18"/>
                <w:szCs w:val="18"/>
              </w:rPr>
              <w:t xml:space="preserve">ToT - </w:t>
            </w:r>
            <w:r>
              <w:rPr>
                <w:color w:val="000000"/>
                <w:sz w:val="18"/>
                <w:szCs w:val="18"/>
              </w:rPr>
              <w:t>chemotherapy</w:t>
            </w:r>
          </w:p>
        </w:tc>
        <w:tc>
          <w:tcPr>
            <w:tcW w:w="1363" w:type="pct"/>
          </w:tcPr>
          <w:p w:rsidR="00F42309" w:rsidRPr="002F108D" w:rsidRDefault="00F42309" w:rsidP="00F42309">
            <w:pPr>
              <w:keepNext/>
              <w:spacing w:line="23" w:lineRule="atLeast"/>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Gompertz</w:t>
            </w:r>
            <w:r w:rsidRPr="002F108D">
              <w:rPr>
                <w:color w:val="000000"/>
                <w:sz w:val="18"/>
                <w:szCs w:val="18"/>
              </w:rPr>
              <w:t xml:space="preserve"> model</w:t>
            </w:r>
          </w:p>
        </w:tc>
        <w:tc>
          <w:tcPr>
            <w:cnfStyle w:val="000010000000" w:firstRow="0" w:lastRow="0" w:firstColumn="0" w:lastColumn="0" w:oddVBand="1" w:evenVBand="0" w:oddHBand="0" w:evenHBand="0" w:firstRowFirstColumn="0" w:firstRowLastColumn="0" w:lastRowFirstColumn="0" w:lastRowLastColumn="0"/>
            <w:tcW w:w="1654" w:type="pct"/>
          </w:tcPr>
          <w:p w:rsidR="00F42309" w:rsidRPr="00B031AA" w:rsidRDefault="00F42309" w:rsidP="00F42309">
            <w:pPr>
              <w:keepNext/>
              <w:spacing w:line="23" w:lineRule="atLeast"/>
              <w:rPr>
                <w:color w:val="000000"/>
                <w:sz w:val="18"/>
                <w:szCs w:val="18"/>
                <w:lang w:val="en-US"/>
              </w:rPr>
            </w:pPr>
            <w:r>
              <w:rPr>
                <w:color w:val="000000"/>
                <w:sz w:val="18"/>
                <w:szCs w:val="18"/>
                <w:lang w:val="en-US"/>
              </w:rPr>
              <w:t>M</w:t>
            </w:r>
            <w:r w:rsidRPr="00B031AA">
              <w:rPr>
                <w:color w:val="000000"/>
                <w:sz w:val="18"/>
                <w:szCs w:val="18"/>
                <w:lang w:val="en-US"/>
              </w:rPr>
              <w:t>ultivariate normal</w:t>
            </w:r>
          </w:p>
        </w:tc>
      </w:tr>
      <w:tr w:rsidR="00F42309" w:rsidRPr="002F108D" w:rsidTr="00F42309">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983" w:type="pct"/>
            <w:gridSpan w:val="2"/>
          </w:tcPr>
          <w:p w:rsidR="00F42309" w:rsidRPr="002F108D" w:rsidRDefault="00F42309" w:rsidP="00F42309">
            <w:pPr>
              <w:keepNext/>
              <w:spacing w:line="23" w:lineRule="atLeast"/>
              <w:rPr>
                <w:color w:val="000000"/>
                <w:sz w:val="18"/>
                <w:szCs w:val="18"/>
              </w:rPr>
            </w:pPr>
            <w:r w:rsidRPr="002F108D">
              <w:rPr>
                <w:color w:val="000000"/>
                <w:sz w:val="18"/>
                <w:szCs w:val="18"/>
              </w:rPr>
              <w:t>Utilities</w:t>
            </w:r>
          </w:p>
        </w:tc>
        <w:tc>
          <w:tcPr>
            <w:tcW w:w="1363" w:type="pct"/>
          </w:tcPr>
          <w:p w:rsidR="00F42309" w:rsidRDefault="00F42309" w:rsidP="00F42309">
            <w:pPr>
              <w:keepNext/>
              <w:keepLines/>
              <w:spacing w:line="23" w:lineRule="atLeast"/>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Pr>
                <w:color w:val="000000"/>
                <w:sz w:val="18"/>
                <w:szCs w:val="18"/>
                <w:lang w:val="en-US"/>
              </w:rPr>
              <w:t>By time to death (days)</w:t>
            </w:r>
          </w:p>
          <w:p w:rsidR="00F42309" w:rsidRPr="005A0F27" w:rsidRDefault="00F42309" w:rsidP="00F42309">
            <w:pPr>
              <w:keepNext/>
              <w:keepLines/>
              <w:spacing w:line="23" w:lineRule="atLeast"/>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Pr>
                <w:color w:val="000000"/>
                <w:sz w:val="18"/>
                <w:szCs w:val="18"/>
                <w:lang w:val="en-US"/>
              </w:rPr>
              <w:t xml:space="preserve">            0.834</w:t>
            </w:r>
            <w:r w:rsidRPr="005A0F27">
              <w:rPr>
                <w:color w:val="000000"/>
                <w:sz w:val="18"/>
                <w:szCs w:val="18"/>
                <w:lang w:val="en-US"/>
              </w:rPr>
              <w:t xml:space="preserve"> </w:t>
            </w:r>
            <w:r>
              <w:rPr>
                <w:color w:val="000000"/>
                <w:sz w:val="18"/>
                <w:szCs w:val="18"/>
                <w:lang w:val="en-US"/>
              </w:rPr>
              <w:t xml:space="preserve"> (</w:t>
            </w:r>
            <w:r>
              <w:rPr>
                <w:rFonts w:cs="Arial"/>
                <w:color w:val="000000"/>
                <w:sz w:val="18"/>
                <w:szCs w:val="18"/>
                <w:lang w:val="en-US"/>
              </w:rPr>
              <w:t>≥</w:t>
            </w:r>
            <w:r>
              <w:rPr>
                <w:color w:val="000000"/>
                <w:sz w:val="18"/>
                <w:szCs w:val="18"/>
                <w:lang w:val="en-US"/>
              </w:rPr>
              <w:t xml:space="preserve"> 360)</w:t>
            </w:r>
            <w:r w:rsidRPr="005A0F27">
              <w:rPr>
                <w:color w:val="000000"/>
                <w:sz w:val="18"/>
                <w:szCs w:val="18"/>
                <w:lang w:val="en-US"/>
              </w:rPr>
              <w:t xml:space="preserve"> </w:t>
            </w:r>
          </w:p>
          <w:p w:rsidR="00F42309" w:rsidRPr="005A0F27" w:rsidRDefault="00F42309" w:rsidP="00F42309">
            <w:pPr>
              <w:keepNext/>
              <w:keepLines/>
              <w:spacing w:line="23" w:lineRule="atLeast"/>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Pr>
                <w:color w:val="000000"/>
                <w:sz w:val="18"/>
                <w:szCs w:val="18"/>
                <w:lang w:val="en-US"/>
              </w:rPr>
              <w:t xml:space="preserve">  0.765</w:t>
            </w:r>
            <w:r w:rsidRPr="005A0F27">
              <w:rPr>
                <w:color w:val="000000"/>
                <w:sz w:val="18"/>
                <w:szCs w:val="18"/>
                <w:lang w:val="en-US"/>
              </w:rPr>
              <w:t xml:space="preserve"> </w:t>
            </w:r>
            <w:r>
              <w:rPr>
                <w:color w:val="000000"/>
                <w:sz w:val="18"/>
                <w:szCs w:val="18"/>
                <w:lang w:val="en-US"/>
              </w:rPr>
              <w:t xml:space="preserve"> [180-360)</w:t>
            </w:r>
          </w:p>
          <w:p w:rsidR="00F42309" w:rsidRPr="005A0F27" w:rsidRDefault="00F42309" w:rsidP="00F42309">
            <w:pPr>
              <w:keepNext/>
              <w:keepLines/>
              <w:spacing w:line="23" w:lineRule="atLeast"/>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Pr>
                <w:color w:val="000000"/>
                <w:sz w:val="18"/>
                <w:szCs w:val="18"/>
                <w:lang w:val="en-US"/>
              </w:rPr>
              <w:t>0.709</w:t>
            </w:r>
            <w:r w:rsidRPr="005A0F27">
              <w:rPr>
                <w:color w:val="000000"/>
                <w:sz w:val="18"/>
                <w:szCs w:val="18"/>
                <w:lang w:val="en-US"/>
              </w:rPr>
              <w:t xml:space="preserve"> </w:t>
            </w:r>
            <w:r>
              <w:rPr>
                <w:color w:val="000000"/>
                <w:sz w:val="18"/>
                <w:szCs w:val="18"/>
                <w:lang w:val="en-US"/>
              </w:rPr>
              <w:t xml:space="preserve"> [30-180)</w:t>
            </w:r>
            <w:r w:rsidRPr="005A0F27">
              <w:rPr>
                <w:color w:val="000000"/>
                <w:sz w:val="18"/>
                <w:szCs w:val="18"/>
                <w:lang w:val="en-US"/>
              </w:rPr>
              <w:t xml:space="preserve"> </w:t>
            </w:r>
          </w:p>
          <w:p w:rsidR="00F42309" w:rsidRPr="00B031AA" w:rsidRDefault="00F42309" w:rsidP="00F42309">
            <w:pPr>
              <w:keepNext/>
              <w:spacing w:line="23" w:lineRule="atLeast"/>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Pr>
                <w:color w:val="000000"/>
                <w:sz w:val="18"/>
                <w:szCs w:val="18"/>
                <w:lang w:val="en-US"/>
              </w:rPr>
              <w:t xml:space="preserve">            0.563   (&lt;30)</w:t>
            </w:r>
            <w:r w:rsidRPr="005A0F27">
              <w:rPr>
                <w:color w:val="000000"/>
                <w:sz w:val="18"/>
                <w:szCs w:val="18"/>
                <w:lang w:val="en-US"/>
              </w:rPr>
              <w:t xml:space="preserve">  </w:t>
            </w:r>
          </w:p>
        </w:tc>
        <w:tc>
          <w:tcPr>
            <w:cnfStyle w:val="000010000000" w:firstRow="0" w:lastRow="0" w:firstColumn="0" w:lastColumn="0" w:oddVBand="1" w:evenVBand="0" w:oddHBand="0" w:evenHBand="0" w:firstRowFirstColumn="0" w:firstRowLastColumn="0" w:lastRowFirstColumn="0" w:lastRowLastColumn="0"/>
            <w:tcW w:w="1654" w:type="pct"/>
          </w:tcPr>
          <w:p w:rsidR="00F42309" w:rsidRPr="00B031AA" w:rsidRDefault="00F42309" w:rsidP="00F42309">
            <w:pPr>
              <w:keepNext/>
              <w:spacing w:line="23" w:lineRule="atLeast"/>
              <w:rPr>
                <w:color w:val="000000"/>
                <w:sz w:val="18"/>
                <w:szCs w:val="18"/>
                <w:lang w:val="en-US"/>
              </w:rPr>
            </w:pPr>
            <w:r w:rsidRPr="00B031AA">
              <w:rPr>
                <w:color w:val="000000"/>
                <w:sz w:val="18"/>
                <w:szCs w:val="18"/>
                <w:lang w:val="en-US"/>
              </w:rPr>
              <w:t>Bet</w:t>
            </w:r>
            <w:r>
              <w:rPr>
                <w:color w:val="000000"/>
                <w:sz w:val="18"/>
                <w:szCs w:val="18"/>
                <w:lang w:val="en-US"/>
              </w:rPr>
              <w:t>a distributions using the SE estimated</w:t>
            </w:r>
            <w:r w:rsidR="00E47E5F">
              <w:rPr>
                <w:color w:val="000000"/>
                <w:sz w:val="18"/>
                <w:szCs w:val="18"/>
                <w:lang w:val="en-US"/>
              </w:rPr>
              <w:t xml:space="preserve"> from the KN189</w:t>
            </w:r>
            <w:r w:rsidRPr="00B031AA">
              <w:rPr>
                <w:color w:val="000000"/>
                <w:sz w:val="18"/>
                <w:szCs w:val="18"/>
                <w:lang w:val="en-US"/>
              </w:rPr>
              <w:t xml:space="preserve"> trial </w:t>
            </w:r>
          </w:p>
        </w:tc>
      </w:tr>
      <w:tr w:rsidR="00F42309" w:rsidRPr="002F108D" w:rsidTr="00F42309">
        <w:trPr>
          <w:trHeight w:val="510"/>
        </w:trPr>
        <w:tc>
          <w:tcPr>
            <w:cnfStyle w:val="000010000000" w:firstRow="0" w:lastRow="0" w:firstColumn="0" w:lastColumn="0" w:oddVBand="1" w:evenVBand="0" w:oddHBand="0" w:evenHBand="0" w:firstRowFirstColumn="0" w:firstRowLastColumn="0" w:lastRowFirstColumn="0" w:lastRowLastColumn="0"/>
            <w:tcW w:w="1983" w:type="pct"/>
            <w:gridSpan w:val="2"/>
          </w:tcPr>
          <w:p w:rsidR="00F42309" w:rsidRPr="00B031AA" w:rsidRDefault="00F42309" w:rsidP="00F42309">
            <w:pPr>
              <w:keepNext/>
              <w:spacing w:line="23" w:lineRule="atLeast"/>
              <w:rPr>
                <w:color w:val="000000"/>
                <w:sz w:val="18"/>
                <w:szCs w:val="18"/>
                <w:lang w:val="en-US"/>
              </w:rPr>
            </w:pPr>
            <w:r w:rsidRPr="00B031AA">
              <w:rPr>
                <w:color w:val="000000"/>
                <w:sz w:val="18"/>
                <w:szCs w:val="18"/>
                <w:lang w:val="en-US"/>
              </w:rPr>
              <w:t xml:space="preserve">Disease management cost in PF </w:t>
            </w:r>
            <w:r>
              <w:rPr>
                <w:color w:val="000000"/>
                <w:sz w:val="18"/>
                <w:szCs w:val="18"/>
                <w:lang w:val="en-US"/>
              </w:rPr>
              <w:t xml:space="preserve">state </w:t>
            </w:r>
          </w:p>
        </w:tc>
        <w:tc>
          <w:tcPr>
            <w:tcW w:w="1363" w:type="pct"/>
          </w:tcPr>
          <w:p w:rsidR="00F42309" w:rsidRPr="00A15194" w:rsidRDefault="00F42309" w:rsidP="00F42309">
            <w:pPr>
              <w:keepNext/>
              <w:keepLines/>
              <w:spacing w:line="23" w:lineRule="atLeas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Year 1 -   $1,232/week</w:t>
            </w:r>
          </w:p>
          <w:p w:rsidR="00F42309" w:rsidRPr="00A15194" w:rsidRDefault="00F42309" w:rsidP="00F42309">
            <w:pPr>
              <w:keepNext/>
              <w:keepLines/>
              <w:spacing w:line="23" w:lineRule="atLeas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Year 2-       $567/week</w:t>
            </w:r>
          </w:p>
          <w:p w:rsidR="00F42309" w:rsidRPr="00A15194" w:rsidRDefault="00F42309" w:rsidP="00F42309">
            <w:pPr>
              <w:keepNext/>
              <w:keepLines/>
              <w:spacing w:line="23" w:lineRule="atLeas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Year 3-       $478/week</w:t>
            </w:r>
          </w:p>
          <w:p w:rsidR="00F42309" w:rsidRPr="00A15194" w:rsidRDefault="00F42309" w:rsidP="00F42309">
            <w:pPr>
              <w:keepNext/>
              <w:keepLines/>
              <w:spacing w:line="23" w:lineRule="atLeas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Years 4-5 - $388/week</w:t>
            </w:r>
          </w:p>
          <w:p w:rsidR="00F42309" w:rsidRPr="002F108D" w:rsidRDefault="00F42309" w:rsidP="00F42309">
            <w:pPr>
              <w:keepNext/>
              <w:spacing w:line="23" w:lineRule="atLeas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Years 6+ -  $144/week</w:t>
            </w:r>
          </w:p>
        </w:tc>
        <w:tc>
          <w:tcPr>
            <w:cnfStyle w:val="000010000000" w:firstRow="0" w:lastRow="0" w:firstColumn="0" w:lastColumn="0" w:oddVBand="1" w:evenVBand="0" w:oddHBand="0" w:evenHBand="0" w:firstRowFirstColumn="0" w:firstRowLastColumn="0" w:lastRowFirstColumn="0" w:lastRowLastColumn="0"/>
            <w:tcW w:w="1654" w:type="pct"/>
          </w:tcPr>
          <w:p w:rsidR="00F42309" w:rsidRPr="00B031AA" w:rsidRDefault="00F42309" w:rsidP="00F42309">
            <w:pPr>
              <w:keepNext/>
              <w:spacing w:line="23" w:lineRule="atLeast"/>
              <w:rPr>
                <w:color w:val="000000"/>
                <w:sz w:val="18"/>
                <w:szCs w:val="18"/>
                <w:lang w:val="en-US"/>
              </w:rPr>
            </w:pPr>
            <w:r w:rsidRPr="00B031AA">
              <w:rPr>
                <w:color w:val="000000"/>
                <w:sz w:val="18"/>
                <w:szCs w:val="18"/>
                <w:lang w:val="en-US"/>
              </w:rPr>
              <w:t>Lognormal distribution with the SE set at 20% of the base-case value</w:t>
            </w:r>
          </w:p>
        </w:tc>
      </w:tr>
      <w:tr w:rsidR="00F42309" w:rsidRPr="002F108D" w:rsidTr="00F42309">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983" w:type="pct"/>
            <w:gridSpan w:val="2"/>
          </w:tcPr>
          <w:p w:rsidR="00F42309" w:rsidRPr="00B031AA" w:rsidRDefault="00F42309" w:rsidP="00F42309">
            <w:pPr>
              <w:keepNext/>
              <w:spacing w:line="23" w:lineRule="atLeast"/>
              <w:rPr>
                <w:color w:val="000000"/>
                <w:sz w:val="18"/>
                <w:szCs w:val="18"/>
                <w:lang w:val="en-US"/>
              </w:rPr>
            </w:pPr>
            <w:r w:rsidRPr="00B031AA">
              <w:rPr>
                <w:color w:val="000000"/>
                <w:sz w:val="18"/>
                <w:szCs w:val="18"/>
                <w:lang w:val="en-US"/>
              </w:rPr>
              <w:t>Disease management cost in PD</w:t>
            </w:r>
            <w:r>
              <w:rPr>
                <w:color w:val="000000"/>
                <w:sz w:val="18"/>
                <w:szCs w:val="18"/>
                <w:lang w:val="en-US"/>
              </w:rPr>
              <w:t xml:space="preserve"> state</w:t>
            </w:r>
          </w:p>
        </w:tc>
        <w:tc>
          <w:tcPr>
            <w:tcW w:w="1363" w:type="pct"/>
          </w:tcPr>
          <w:p w:rsidR="00F42309" w:rsidRPr="00A15194" w:rsidRDefault="00F42309" w:rsidP="00F42309">
            <w:pPr>
              <w:keepNext/>
              <w:keepLines/>
              <w:spacing w:line="23" w:lineRule="atLeas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Year 1 -   $1,236/week</w:t>
            </w:r>
          </w:p>
          <w:p w:rsidR="00F42309" w:rsidRPr="00A15194" w:rsidRDefault="00F42309" w:rsidP="00F42309">
            <w:pPr>
              <w:keepNext/>
              <w:keepLines/>
              <w:spacing w:line="23" w:lineRule="atLeas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Year 2-       $969/week</w:t>
            </w:r>
          </w:p>
          <w:p w:rsidR="00F42309" w:rsidRPr="00A15194" w:rsidRDefault="00F42309" w:rsidP="00F42309">
            <w:pPr>
              <w:keepNext/>
              <w:keepLines/>
              <w:spacing w:line="23" w:lineRule="atLeas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Year 3-       $856/week</w:t>
            </w:r>
          </w:p>
          <w:p w:rsidR="00F42309" w:rsidRPr="00A15194" w:rsidRDefault="00F42309" w:rsidP="00F42309">
            <w:pPr>
              <w:keepNext/>
              <w:keepLines/>
              <w:spacing w:line="23" w:lineRule="atLeas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Years 4-5 - $804/week</w:t>
            </w:r>
          </w:p>
          <w:p w:rsidR="00F42309" w:rsidRPr="002F108D" w:rsidRDefault="00F42309" w:rsidP="00F42309">
            <w:pPr>
              <w:keepNext/>
              <w:spacing w:line="23" w:lineRule="atLeas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Years 6+ -  $802/week</w:t>
            </w:r>
          </w:p>
        </w:tc>
        <w:tc>
          <w:tcPr>
            <w:cnfStyle w:val="000010000000" w:firstRow="0" w:lastRow="0" w:firstColumn="0" w:lastColumn="0" w:oddVBand="1" w:evenVBand="0" w:oddHBand="0" w:evenHBand="0" w:firstRowFirstColumn="0" w:firstRowLastColumn="0" w:lastRowFirstColumn="0" w:lastRowLastColumn="0"/>
            <w:tcW w:w="1654" w:type="pct"/>
          </w:tcPr>
          <w:p w:rsidR="00F42309" w:rsidRPr="00B031AA" w:rsidRDefault="00F42309" w:rsidP="00F42309">
            <w:pPr>
              <w:keepNext/>
              <w:spacing w:line="23" w:lineRule="atLeast"/>
              <w:rPr>
                <w:color w:val="000000"/>
                <w:sz w:val="18"/>
                <w:szCs w:val="18"/>
                <w:lang w:val="en-US"/>
              </w:rPr>
            </w:pPr>
            <w:r w:rsidRPr="00B031AA">
              <w:rPr>
                <w:color w:val="000000"/>
                <w:sz w:val="18"/>
                <w:szCs w:val="18"/>
                <w:lang w:val="en-US"/>
              </w:rPr>
              <w:t>Lognormal distribution with the SE set at 20% of the base-case value</w:t>
            </w:r>
          </w:p>
        </w:tc>
      </w:tr>
      <w:tr w:rsidR="00F42309" w:rsidRPr="002F108D" w:rsidTr="00F42309">
        <w:trPr>
          <w:trHeight w:val="510"/>
        </w:trPr>
        <w:tc>
          <w:tcPr>
            <w:cnfStyle w:val="000010000000" w:firstRow="0" w:lastRow="0" w:firstColumn="0" w:lastColumn="0" w:oddVBand="1" w:evenVBand="0" w:oddHBand="0" w:evenHBand="0" w:firstRowFirstColumn="0" w:firstRowLastColumn="0" w:lastRowFirstColumn="0" w:lastRowLastColumn="0"/>
            <w:tcW w:w="1983" w:type="pct"/>
            <w:gridSpan w:val="2"/>
          </w:tcPr>
          <w:p w:rsidR="00F42309" w:rsidRPr="00B031AA" w:rsidRDefault="00F42309" w:rsidP="00F42309">
            <w:pPr>
              <w:keepNext/>
              <w:spacing w:line="23" w:lineRule="atLeast"/>
              <w:rPr>
                <w:color w:val="000000"/>
                <w:sz w:val="18"/>
                <w:szCs w:val="18"/>
                <w:lang w:val="en-US"/>
              </w:rPr>
            </w:pPr>
            <w:r w:rsidRPr="00B031AA">
              <w:rPr>
                <w:color w:val="000000"/>
                <w:sz w:val="18"/>
                <w:szCs w:val="18"/>
                <w:lang w:val="en-US"/>
              </w:rPr>
              <w:t xml:space="preserve">Cost of subsequent active therapies </w:t>
            </w:r>
            <w:r>
              <w:rPr>
                <w:color w:val="000000"/>
                <w:sz w:val="18"/>
                <w:szCs w:val="18"/>
                <w:lang w:val="en-US"/>
              </w:rPr>
              <w:t>–</w:t>
            </w:r>
            <w:r w:rsidRPr="00B031AA">
              <w:rPr>
                <w:color w:val="000000"/>
                <w:sz w:val="18"/>
                <w:szCs w:val="18"/>
                <w:lang w:val="en-US"/>
              </w:rPr>
              <w:t xml:space="preserve"> pembrolizumab</w:t>
            </w:r>
            <w:r>
              <w:rPr>
                <w:color w:val="000000"/>
                <w:sz w:val="18"/>
                <w:szCs w:val="18"/>
                <w:lang w:val="en-US"/>
              </w:rPr>
              <w:t xml:space="preserve"> + chemotherapy</w:t>
            </w:r>
          </w:p>
        </w:tc>
        <w:tc>
          <w:tcPr>
            <w:tcW w:w="1363" w:type="pct"/>
          </w:tcPr>
          <w:p w:rsidR="00F42309" w:rsidRPr="002F108D" w:rsidRDefault="00F42309" w:rsidP="00F42309">
            <w:pPr>
              <w:keepNext/>
              <w:spacing w:line="23" w:lineRule="atLeast"/>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sz w:val="18"/>
                <w:szCs w:val="18"/>
              </w:rPr>
              <w:t>$12,831</w:t>
            </w:r>
          </w:p>
        </w:tc>
        <w:tc>
          <w:tcPr>
            <w:cnfStyle w:val="000010000000" w:firstRow="0" w:lastRow="0" w:firstColumn="0" w:lastColumn="0" w:oddVBand="1" w:evenVBand="0" w:oddHBand="0" w:evenHBand="0" w:firstRowFirstColumn="0" w:firstRowLastColumn="0" w:lastRowFirstColumn="0" w:lastRowLastColumn="0"/>
            <w:tcW w:w="1654" w:type="pct"/>
          </w:tcPr>
          <w:p w:rsidR="00F42309" w:rsidRPr="00B031AA" w:rsidRDefault="00F42309" w:rsidP="00F42309">
            <w:pPr>
              <w:keepNext/>
              <w:spacing w:line="23" w:lineRule="atLeast"/>
              <w:rPr>
                <w:color w:val="000000"/>
                <w:sz w:val="18"/>
                <w:szCs w:val="18"/>
                <w:lang w:val="en-US"/>
              </w:rPr>
            </w:pPr>
            <w:r w:rsidRPr="00B031AA">
              <w:rPr>
                <w:color w:val="000000"/>
                <w:sz w:val="18"/>
                <w:szCs w:val="18"/>
                <w:lang w:val="en-US"/>
              </w:rPr>
              <w:t>Lognormal distribution with the SE set at 20% of the base-case value</w:t>
            </w:r>
          </w:p>
        </w:tc>
      </w:tr>
      <w:tr w:rsidR="00F42309" w:rsidRPr="002F108D" w:rsidTr="00F42309">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983" w:type="pct"/>
            <w:gridSpan w:val="2"/>
          </w:tcPr>
          <w:p w:rsidR="00F42309" w:rsidRPr="00B031AA" w:rsidRDefault="00F42309" w:rsidP="00F42309">
            <w:pPr>
              <w:keepNext/>
              <w:spacing w:line="23" w:lineRule="atLeast"/>
              <w:rPr>
                <w:color w:val="000000"/>
                <w:sz w:val="18"/>
                <w:szCs w:val="18"/>
                <w:lang w:val="en-US"/>
              </w:rPr>
            </w:pPr>
            <w:r w:rsidRPr="00B031AA">
              <w:rPr>
                <w:color w:val="000000"/>
                <w:sz w:val="18"/>
                <w:szCs w:val="18"/>
                <w:lang w:val="en-US"/>
              </w:rPr>
              <w:t xml:space="preserve">Cost of subsequent active therapies - </w:t>
            </w:r>
            <w:r w:rsidRPr="002C79C4">
              <w:rPr>
                <w:color w:val="000000"/>
                <w:sz w:val="18"/>
                <w:szCs w:val="18"/>
                <w:lang w:val="en-US"/>
              </w:rPr>
              <w:t>chemotherapy</w:t>
            </w:r>
          </w:p>
        </w:tc>
        <w:tc>
          <w:tcPr>
            <w:tcW w:w="1363" w:type="pct"/>
          </w:tcPr>
          <w:p w:rsidR="00F42309" w:rsidRPr="002F108D" w:rsidRDefault="00F42309" w:rsidP="00F42309">
            <w:pPr>
              <w:keepNext/>
              <w:spacing w:line="23" w:lineRule="atLeast"/>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sz w:val="18"/>
                <w:szCs w:val="18"/>
              </w:rPr>
              <w:t>$40,325</w:t>
            </w:r>
          </w:p>
        </w:tc>
        <w:tc>
          <w:tcPr>
            <w:cnfStyle w:val="000010000000" w:firstRow="0" w:lastRow="0" w:firstColumn="0" w:lastColumn="0" w:oddVBand="1" w:evenVBand="0" w:oddHBand="0" w:evenHBand="0" w:firstRowFirstColumn="0" w:firstRowLastColumn="0" w:lastRowFirstColumn="0" w:lastRowLastColumn="0"/>
            <w:tcW w:w="1654" w:type="pct"/>
          </w:tcPr>
          <w:p w:rsidR="00F42309" w:rsidRPr="00B031AA" w:rsidRDefault="00F42309" w:rsidP="00F42309">
            <w:pPr>
              <w:keepNext/>
              <w:spacing w:line="23" w:lineRule="atLeast"/>
              <w:rPr>
                <w:color w:val="000000"/>
                <w:sz w:val="18"/>
                <w:szCs w:val="18"/>
                <w:lang w:val="en-US"/>
              </w:rPr>
            </w:pPr>
            <w:r w:rsidRPr="00B031AA">
              <w:rPr>
                <w:color w:val="000000"/>
                <w:sz w:val="18"/>
                <w:szCs w:val="18"/>
                <w:lang w:val="en-US"/>
              </w:rPr>
              <w:t>Lognormal distribution with the SE set at 20% of the base-case value</w:t>
            </w:r>
          </w:p>
        </w:tc>
      </w:tr>
      <w:tr w:rsidR="00F42309" w:rsidRPr="002F108D" w:rsidTr="00F42309">
        <w:trPr>
          <w:trHeight w:val="510"/>
        </w:trPr>
        <w:tc>
          <w:tcPr>
            <w:cnfStyle w:val="000010000000" w:firstRow="0" w:lastRow="0" w:firstColumn="0" w:lastColumn="0" w:oddVBand="1" w:evenVBand="0" w:oddHBand="0" w:evenHBand="0" w:firstRowFirstColumn="0" w:firstRowLastColumn="0" w:lastRowFirstColumn="0" w:lastRowLastColumn="0"/>
            <w:tcW w:w="1983" w:type="pct"/>
            <w:gridSpan w:val="2"/>
          </w:tcPr>
          <w:p w:rsidR="00F42309" w:rsidRPr="002F108D" w:rsidRDefault="00F42309" w:rsidP="00F42309">
            <w:pPr>
              <w:keepNext/>
              <w:spacing w:line="23" w:lineRule="atLeast"/>
              <w:rPr>
                <w:color w:val="000000"/>
                <w:sz w:val="18"/>
                <w:szCs w:val="18"/>
              </w:rPr>
            </w:pPr>
            <w:r>
              <w:rPr>
                <w:color w:val="000000"/>
                <w:sz w:val="18"/>
                <w:szCs w:val="18"/>
              </w:rPr>
              <w:t>Terminal care</w:t>
            </w:r>
            <w:r w:rsidRPr="002F108D">
              <w:rPr>
                <w:color w:val="000000"/>
                <w:sz w:val="18"/>
                <w:szCs w:val="18"/>
              </w:rPr>
              <w:t xml:space="preserve"> cost</w:t>
            </w:r>
          </w:p>
        </w:tc>
        <w:tc>
          <w:tcPr>
            <w:tcW w:w="1363" w:type="pct"/>
          </w:tcPr>
          <w:p w:rsidR="00F42309" w:rsidRPr="002F108D" w:rsidRDefault="00F42309" w:rsidP="00F42309">
            <w:pPr>
              <w:keepNext/>
              <w:spacing w:line="23" w:lineRule="atLeast"/>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$14,633</w:t>
            </w:r>
          </w:p>
        </w:tc>
        <w:tc>
          <w:tcPr>
            <w:cnfStyle w:val="000010000000" w:firstRow="0" w:lastRow="0" w:firstColumn="0" w:lastColumn="0" w:oddVBand="1" w:evenVBand="0" w:oddHBand="0" w:evenHBand="0" w:firstRowFirstColumn="0" w:firstRowLastColumn="0" w:lastRowFirstColumn="0" w:lastRowLastColumn="0"/>
            <w:tcW w:w="1654" w:type="pct"/>
          </w:tcPr>
          <w:p w:rsidR="00F42309" w:rsidRPr="00B031AA" w:rsidRDefault="00F42309" w:rsidP="00F42309">
            <w:pPr>
              <w:keepNext/>
              <w:spacing w:line="23" w:lineRule="atLeast"/>
              <w:rPr>
                <w:color w:val="000000"/>
                <w:sz w:val="18"/>
                <w:szCs w:val="18"/>
                <w:lang w:val="en-US"/>
              </w:rPr>
            </w:pPr>
            <w:r w:rsidRPr="00B031AA">
              <w:rPr>
                <w:color w:val="000000"/>
                <w:sz w:val="18"/>
                <w:szCs w:val="18"/>
                <w:lang w:val="en-US"/>
              </w:rPr>
              <w:t>Lognormal distribution with the SE set at 20% of the base-case value</w:t>
            </w:r>
          </w:p>
        </w:tc>
      </w:tr>
      <w:tr w:rsidR="00F42309" w:rsidRPr="002F108D" w:rsidTr="00F42309">
        <w:trPr>
          <w:cnfStyle w:val="000000100000" w:firstRow="0" w:lastRow="0" w:firstColumn="0" w:lastColumn="0" w:oddVBand="0" w:evenVBand="0" w:oddHBand="1" w:evenHBand="0" w:firstRowFirstColumn="0" w:firstRowLastColumn="0" w:lastRowFirstColumn="0" w:lastRowLastColumn="0"/>
          <w:trHeight w:val="571"/>
        </w:trPr>
        <w:tc>
          <w:tcPr>
            <w:cnfStyle w:val="000010000000" w:firstRow="0" w:lastRow="0" w:firstColumn="0" w:lastColumn="0" w:oddVBand="1" w:evenVBand="0" w:oddHBand="0" w:evenHBand="0" w:firstRowFirstColumn="0" w:firstRowLastColumn="0" w:lastRowFirstColumn="0" w:lastRowLastColumn="0"/>
            <w:tcW w:w="1983" w:type="pct"/>
            <w:gridSpan w:val="2"/>
          </w:tcPr>
          <w:p w:rsidR="00F42309" w:rsidRPr="002F108D" w:rsidRDefault="00F42309" w:rsidP="00F42309">
            <w:pPr>
              <w:keepNext/>
              <w:spacing w:line="23" w:lineRule="atLeast"/>
              <w:rPr>
                <w:color w:val="000000"/>
                <w:sz w:val="18"/>
                <w:szCs w:val="18"/>
              </w:rPr>
            </w:pPr>
            <w:r w:rsidRPr="002F108D">
              <w:rPr>
                <w:color w:val="000000"/>
                <w:sz w:val="18"/>
                <w:szCs w:val="18"/>
              </w:rPr>
              <w:t xml:space="preserve">AE management cost </w:t>
            </w:r>
            <w:r>
              <w:rPr>
                <w:color w:val="000000"/>
                <w:sz w:val="18"/>
                <w:szCs w:val="18"/>
              </w:rPr>
              <w:t>–</w:t>
            </w:r>
            <w:r w:rsidRPr="002F108D">
              <w:rPr>
                <w:color w:val="000000"/>
                <w:sz w:val="18"/>
                <w:szCs w:val="18"/>
              </w:rPr>
              <w:t xml:space="preserve"> pembrolizumab</w:t>
            </w:r>
            <w:r>
              <w:rPr>
                <w:color w:val="000000"/>
                <w:sz w:val="18"/>
                <w:szCs w:val="18"/>
              </w:rPr>
              <w:t xml:space="preserve"> + chemotherapy</w:t>
            </w:r>
          </w:p>
        </w:tc>
        <w:tc>
          <w:tcPr>
            <w:tcW w:w="1363" w:type="pct"/>
          </w:tcPr>
          <w:p w:rsidR="00F42309" w:rsidRPr="002F108D" w:rsidRDefault="00F42309" w:rsidP="00F42309">
            <w:pPr>
              <w:keepNext/>
              <w:spacing w:line="23" w:lineRule="atLeast"/>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2F108D">
              <w:rPr>
                <w:color w:val="000000"/>
                <w:sz w:val="18"/>
                <w:szCs w:val="18"/>
              </w:rPr>
              <w:t>$</w:t>
            </w:r>
            <w:r>
              <w:rPr>
                <w:color w:val="000000"/>
                <w:sz w:val="18"/>
                <w:szCs w:val="18"/>
              </w:rPr>
              <w:t>2,020</w:t>
            </w:r>
          </w:p>
        </w:tc>
        <w:tc>
          <w:tcPr>
            <w:cnfStyle w:val="000010000000" w:firstRow="0" w:lastRow="0" w:firstColumn="0" w:lastColumn="0" w:oddVBand="1" w:evenVBand="0" w:oddHBand="0" w:evenHBand="0" w:firstRowFirstColumn="0" w:firstRowLastColumn="0" w:lastRowFirstColumn="0" w:lastRowLastColumn="0"/>
            <w:tcW w:w="1654" w:type="pct"/>
          </w:tcPr>
          <w:p w:rsidR="00F42309" w:rsidRPr="00B031AA" w:rsidRDefault="00F42309" w:rsidP="00F42309">
            <w:pPr>
              <w:keepNext/>
              <w:spacing w:line="23" w:lineRule="atLeast"/>
              <w:rPr>
                <w:color w:val="000000"/>
                <w:sz w:val="18"/>
                <w:szCs w:val="18"/>
                <w:lang w:val="en-US"/>
              </w:rPr>
            </w:pPr>
            <w:r w:rsidRPr="00B031AA">
              <w:rPr>
                <w:color w:val="000000"/>
                <w:sz w:val="18"/>
                <w:szCs w:val="18"/>
                <w:lang w:val="en-US"/>
              </w:rPr>
              <w:t>Lognormal distribution with the SE set at 20% of the base-case value</w:t>
            </w:r>
          </w:p>
        </w:tc>
      </w:tr>
      <w:tr w:rsidR="00F42309" w:rsidRPr="002F108D" w:rsidTr="00F42309">
        <w:trPr>
          <w:trHeight w:val="403"/>
        </w:trPr>
        <w:tc>
          <w:tcPr>
            <w:cnfStyle w:val="000010000000" w:firstRow="0" w:lastRow="0" w:firstColumn="0" w:lastColumn="0" w:oddVBand="1" w:evenVBand="0" w:oddHBand="0" w:evenHBand="0" w:firstRowFirstColumn="0" w:firstRowLastColumn="0" w:lastRowFirstColumn="0" w:lastRowLastColumn="0"/>
            <w:tcW w:w="1983" w:type="pct"/>
            <w:gridSpan w:val="2"/>
          </w:tcPr>
          <w:p w:rsidR="00F42309" w:rsidRPr="002F108D" w:rsidRDefault="00F42309" w:rsidP="00F42309">
            <w:pPr>
              <w:keepNext/>
              <w:spacing w:line="23" w:lineRule="atLeast"/>
              <w:rPr>
                <w:color w:val="000000"/>
                <w:sz w:val="18"/>
                <w:szCs w:val="18"/>
              </w:rPr>
            </w:pPr>
            <w:r w:rsidRPr="002F108D">
              <w:rPr>
                <w:color w:val="000000"/>
                <w:sz w:val="18"/>
                <w:szCs w:val="18"/>
              </w:rPr>
              <w:t xml:space="preserve">AE management cost - </w:t>
            </w:r>
            <w:r>
              <w:rPr>
                <w:color w:val="000000"/>
                <w:sz w:val="18"/>
                <w:szCs w:val="18"/>
              </w:rPr>
              <w:t>chemotherapy</w:t>
            </w:r>
          </w:p>
        </w:tc>
        <w:tc>
          <w:tcPr>
            <w:tcW w:w="1363" w:type="pct"/>
          </w:tcPr>
          <w:p w:rsidR="00F42309" w:rsidRPr="002F108D" w:rsidRDefault="00F42309" w:rsidP="00F42309">
            <w:pPr>
              <w:keepNext/>
              <w:spacing w:line="23" w:lineRule="atLeast"/>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2F108D">
              <w:rPr>
                <w:color w:val="000000"/>
                <w:sz w:val="18"/>
                <w:szCs w:val="18"/>
              </w:rPr>
              <w:t>$</w:t>
            </w:r>
            <w:r>
              <w:rPr>
                <w:color w:val="000000"/>
                <w:sz w:val="18"/>
                <w:szCs w:val="18"/>
              </w:rPr>
              <w:t>2,573</w:t>
            </w:r>
          </w:p>
        </w:tc>
        <w:tc>
          <w:tcPr>
            <w:cnfStyle w:val="000010000000" w:firstRow="0" w:lastRow="0" w:firstColumn="0" w:lastColumn="0" w:oddVBand="1" w:evenVBand="0" w:oddHBand="0" w:evenHBand="0" w:firstRowFirstColumn="0" w:firstRowLastColumn="0" w:lastRowFirstColumn="0" w:lastRowLastColumn="0"/>
            <w:tcW w:w="1654" w:type="pct"/>
          </w:tcPr>
          <w:p w:rsidR="00F42309" w:rsidRPr="00B031AA" w:rsidRDefault="00F42309" w:rsidP="00F42309">
            <w:pPr>
              <w:keepNext/>
              <w:spacing w:line="23" w:lineRule="atLeast"/>
              <w:rPr>
                <w:color w:val="000000"/>
                <w:sz w:val="18"/>
                <w:szCs w:val="18"/>
                <w:lang w:val="en-US"/>
              </w:rPr>
            </w:pPr>
            <w:r w:rsidRPr="00B031AA">
              <w:rPr>
                <w:color w:val="000000"/>
                <w:sz w:val="18"/>
                <w:szCs w:val="18"/>
                <w:lang w:val="en-US"/>
              </w:rPr>
              <w:t>Lognormal distribution with the SE set at 20% of the base-case value</w:t>
            </w:r>
          </w:p>
        </w:tc>
      </w:tr>
      <w:tr w:rsidR="00F42309" w:rsidRPr="002F108D" w:rsidTr="00F42309">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5000" w:type="pct"/>
            <w:gridSpan w:val="4"/>
            <w:shd w:val="pct15" w:color="auto" w:fill="auto"/>
          </w:tcPr>
          <w:p w:rsidR="00F42309" w:rsidRDefault="00F42309" w:rsidP="00F42309">
            <w:pPr>
              <w:keepNext/>
              <w:spacing w:line="23" w:lineRule="atLeast"/>
              <w:rPr>
                <w:b/>
                <w:color w:val="000000"/>
                <w:sz w:val="18"/>
                <w:szCs w:val="18"/>
              </w:rPr>
            </w:pPr>
          </w:p>
          <w:p w:rsidR="00F42309" w:rsidRPr="00B031AA" w:rsidRDefault="00F42309" w:rsidP="00F42309">
            <w:pPr>
              <w:keepNext/>
              <w:spacing w:line="23" w:lineRule="atLeast"/>
              <w:rPr>
                <w:color w:val="000000"/>
                <w:sz w:val="18"/>
                <w:szCs w:val="18"/>
              </w:rPr>
            </w:pPr>
            <w:r>
              <w:rPr>
                <w:b/>
                <w:color w:val="000000"/>
                <w:sz w:val="18"/>
                <w:szCs w:val="18"/>
              </w:rPr>
              <w:t>Parameters Specific to Indirect Treatment Comparison to Pembrolizumab Monotherapy</w:t>
            </w:r>
          </w:p>
        </w:tc>
      </w:tr>
      <w:tr w:rsidR="00F42309" w:rsidRPr="002F108D" w:rsidTr="00F42309">
        <w:trPr>
          <w:trHeight w:val="268"/>
        </w:trPr>
        <w:tc>
          <w:tcPr>
            <w:cnfStyle w:val="000010000000" w:firstRow="0" w:lastRow="0" w:firstColumn="0" w:lastColumn="0" w:oddVBand="1" w:evenVBand="0" w:oddHBand="0" w:evenHBand="0" w:firstRowFirstColumn="0" w:firstRowLastColumn="0" w:lastRowFirstColumn="0" w:lastRowLastColumn="0"/>
            <w:tcW w:w="1983" w:type="pct"/>
            <w:gridSpan w:val="2"/>
          </w:tcPr>
          <w:p w:rsidR="00F42309" w:rsidRDefault="00F42309" w:rsidP="00F42309">
            <w:pPr>
              <w:keepNext/>
              <w:spacing w:line="23" w:lineRule="atLeast"/>
              <w:rPr>
                <w:color w:val="000000"/>
                <w:sz w:val="18"/>
                <w:szCs w:val="18"/>
              </w:rPr>
            </w:pPr>
            <w:r>
              <w:rPr>
                <w:color w:val="000000"/>
                <w:sz w:val="18"/>
                <w:szCs w:val="18"/>
              </w:rPr>
              <w:t>Utility ratios for pembrolizumab monotherapy compared to chemotherapy</w:t>
            </w:r>
          </w:p>
        </w:tc>
        <w:tc>
          <w:tcPr>
            <w:tcW w:w="1363" w:type="pct"/>
          </w:tcPr>
          <w:p w:rsidR="00F42309" w:rsidRDefault="00F42309" w:rsidP="00F42309">
            <w:pPr>
              <w:keepNext/>
              <w:keepLines/>
              <w:spacing w:line="23" w:lineRule="atLeast"/>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Pr>
                <w:color w:val="000000"/>
                <w:sz w:val="18"/>
                <w:szCs w:val="18"/>
                <w:lang w:val="en-US"/>
              </w:rPr>
              <w:t>By time to death (days)</w:t>
            </w:r>
          </w:p>
          <w:p w:rsidR="00F42309" w:rsidRPr="005A0F27" w:rsidRDefault="00F42309" w:rsidP="00F42309">
            <w:pPr>
              <w:keepNext/>
              <w:keepLines/>
              <w:spacing w:line="23" w:lineRule="atLeast"/>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Pr>
                <w:color w:val="000000"/>
                <w:sz w:val="18"/>
                <w:szCs w:val="18"/>
                <w:lang w:val="en-US"/>
              </w:rPr>
              <w:t xml:space="preserve">              1.041</w:t>
            </w:r>
            <w:r w:rsidRPr="005A0F27">
              <w:rPr>
                <w:color w:val="000000"/>
                <w:sz w:val="18"/>
                <w:szCs w:val="18"/>
                <w:lang w:val="en-US"/>
              </w:rPr>
              <w:t xml:space="preserve"> </w:t>
            </w:r>
            <w:r>
              <w:rPr>
                <w:color w:val="000000"/>
                <w:sz w:val="18"/>
                <w:szCs w:val="18"/>
                <w:lang w:val="en-US"/>
              </w:rPr>
              <w:t xml:space="preserve"> (</w:t>
            </w:r>
            <w:r>
              <w:rPr>
                <w:rFonts w:cs="Arial"/>
                <w:color w:val="000000"/>
                <w:sz w:val="18"/>
                <w:szCs w:val="18"/>
                <w:lang w:val="en-US"/>
              </w:rPr>
              <w:t>≥</w:t>
            </w:r>
            <w:r>
              <w:rPr>
                <w:color w:val="000000"/>
                <w:sz w:val="18"/>
                <w:szCs w:val="18"/>
                <w:lang w:val="en-US"/>
              </w:rPr>
              <w:t xml:space="preserve"> 360)</w:t>
            </w:r>
            <w:r w:rsidRPr="005A0F27">
              <w:rPr>
                <w:color w:val="000000"/>
                <w:sz w:val="18"/>
                <w:szCs w:val="18"/>
                <w:lang w:val="en-US"/>
              </w:rPr>
              <w:t xml:space="preserve"> </w:t>
            </w:r>
          </w:p>
          <w:p w:rsidR="00F42309" w:rsidRPr="005A0F27" w:rsidRDefault="00F42309" w:rsidP="00F42309">
            <w:pPr>
              <w:keepNext/>
              <w:keepLines/>
              <w:spacing w:line="23" w:lineRule="atLeast"/>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Pr>
                <w:color w:val="000000"/>
                <w:sz w:val="18"/>
                <w:szCs w:val="18"/>
                <w:lang w:val="en-US"/>
              </w:rPr>
              <w:t xml:space="preserve">      1.021</w:t>
            </w:r>
            <w:r w:rsidRPr="005A0F27">
              <w:rPr>
                <w:color w:val="000000"/>
                <w:sz w:val="18"/>
                <w:szCs w:val="18"/>
                <w:lang w:val="en-US"/>
              </w:rPr>
              <w:t xml:space="preserve"> </w:t>
            </w:r>
            <w:r>
              <w:rPr>
                <w:color w:val="000000"/>
                <w:sz w:val="18"/>
                <w:szCs w:val="18"/>
                <w:lang w:val="en-US"/>
              </w:rPr>
              <w:t xml:space="preserve"> (180-360)</w:t>
            </w:r>
          </w:p>
          <w:p w:rsidR="00F42309" w:rsidRPr="005A0F27" w:rsidRDefault="00F42309" w:rsidP="00F42309">
            <w:pPr>
              <w:keepNext/>
              <w:keepLines/>
              <w:spacing w:line="23" w:lineRule="atLeast"/>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Pr>
                <w:color w:val="000000"/>
                <w:sz w:val="18"/>
                <w:szCs w:val="18"/>
                <w:lang w:val="en-US"/>
              </w:rPr>
              <w:t xml:space="preserve">     0.965</w:t>
            </w:r>
            <w:r w:rsidRPr="005A0F27">
              <w:rPr>
                <w:color w:val="000000"/>
                <w:sz w:val="18"/>
                <w:szCs w:val="18"/>
                <w:lang w:val="en-US"/>
              </w:rPr>
              <w:t xml:space="preserve"> </w:t>
            </w:r>
            <w:r>
              <w:rPr>
                <w:color w:val="000000"/>
                <w:sz w:val="18"/>
                <w:szCs w:val="18"/>
                <w:lang w:val="en-US"/>
              </w:rPr>
              <w:t xml:space="preserve"> (30-180)</w:t>
            </w:r>
            <w:r w:rsidRPr="005A0F27">
              <w:rPr>
                <w:color w:val="000000"/>
                <w:sz w:val="18"/>
                <w:szCs w:val="18"/>
                <w:lang w:val="en-US"/>
              </w:rPr>
              <w:t xml:space="preserve"> </w:t>
            </w:r>
          </w:p>
          <w:p w:rsidR="00F42309" w:rsidRDefault="00F42309" w:rsidP="00F42309">
            <w:pPr>
              <w:keepNext/>
              <w:spacing w:line="23" w:lineRule="atLeast"/>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lang w:val="en-US"/>
              </w:rPr>
              <w:t xml:space="preserve"> 1.187   (&lt;30)</w:t>
            </w:r>
            <w:r w:rsidRPr="005A0F27">
              <w:rPr>
                <w:color w:val="000000"/>
                <w:sz w:val="18"/>
                <w:szCs w:val="18"/>
                <w:lang w:val="en-US"/>
              </w:rPr>
              <w:t xml:space="preserve">  </w:t>
            </w:r>
          </w:p>
        </w:tc>
        <w:tc>
          <w:tcPr>
            <w:cnfStyle w:val="000010000000" w:firstRow="0" w:lastRow="0" w:firstColumn="0" w:lastColumn="0" w:oddVBand="1" w:evenVBand="0" w:oddHBand="0" w:evenHBand="0" w:firstRowFirstColumn="0" w:firstRowLastColumn="0" w:lastRowFirstColumn="0" w:lastRowLastColumn="0"/>
            <w:tcW w:w="1654" w:type="pct"/>
          </w:tcPr>
          <w:p w:rsidR="00F42309" w:rsidRDefault="00F42309" w:rsidP="00F42309">
            <w:pPr>
              <w:keepNext/>
              <w:spacing w:line="23" w:lineRule="atLeast"/>
              <w:rPr>
                <w:color w:val="000000"/>
                <w:sz w:val="18"/>
                <w:szCs w:val="18"/>
              </w:rPr>
            </w:pPr>
            <w:r w:rsidRPr="00B031AA">
              <w:rPr>
                <w:color w:val="000000"/>
                <w:sz w:val="18"/>
                <w:szCs w:val="18"/>
                <w:lang w:val="en-US"/>
              </w:rPr>
              <w:t>Lognormal distribution with the SE set at 20% of the base-case value</w:t>
            </w:r>
          </w:p>
        </w:tc>
      </w:tr>
      <w:tr w:rsidR="00F42309" w:rsidRPr="002F108D" w:rsidTr="00F42309">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1983" w:type="pct"/>
            <w:gridSpan w:val="2"/>
          </w:tcPr>
          <w:p w:rsidR="00F42309" w:rsidRDefault="00F42309" w:rsidP="00F42309">
            <w:pPr>
              <w:keepNext/>
              <w:spacing w:line="23" w:lineRule="atLeast"/>
              <w:rPr>
                <w:color w:val="000000"/>
                <w:sz w:val="18"/>
                <w:szCs w:val="18"/>
              </w:rPr>
            </w:pPr>
            <w:r w:rsidRPr="00B031AA">
              <w:rPr>
                <w:color w:val="000000"/>
                <w:sz w:val="18"/>
                <w:szCs w:val="18"/>
                <w:lang w:val="en-US"/>
              </w:rPr>
              <w:t xml:space="preserve">Cost of subsequent active therapies </w:t>
            </w:r>
            <w:r>
              <w:rPr>
                <w:color w:val="000000"/>
                <w:sz w:val="18"/>
                <w:szCs w:val="18"/>
                <w:lang w:val="en-US"/>
              </w:rPr>
              <w:t>–</w:t>
            </w:r>
            <w:r w:rsidRPr="00B031AA">
              <w:rPr>
                <w:color w:val="000000"/>
                <w:sz w:val="18"/>
                <w:szCs w:val="18"/>
                <w:lang w:val="en-US"/>
              </w:rPr>
              <w:t xml:space="preserve"> pembrolizumab</w:t>
            </w:r>
            <w:r>
              <w:rPr>
                <w:color w:val="000000"/>
                <w:sz w:val="18"/>
                <w:szCs w:val="18"/>
                <w:lang w:val="en-US"/>
              </w:rPr>
              <w:t xml:space="preserve"> + monotherapy</w:t>
            </w:r>
          </w:p>
        </w:tc>
        <w:tc>
          <w:tcPr>
            <w:tcW w:w="1363" w:type="pct"/>
          </w:tcPr>
          <w:p w:rsidR="00F42309" w:rsidRDefault="00F57C48" w:rsidP="00F42309">
            <w:pPr>
              <w:keepNext/>
              <w:spacing w:line="23" w:lineRule="atLeast"/>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$12,283</w:t>
            </w:r>
          </w:p>
        </w:tc>
        <w:tc>
          <w:tcPr>
            <w:cnfStyle w:val="000010000000" w:firstRow="0" w:lastRow="0" w:firstColumn="0" w:lastColumn="0" w:oddVBand="1" w:evenVBand="0" w:oddHBand="0" w:evenHBand="0" w:firstRowFirstColumn="0" w:firstRowLastColumn="0" w:lastRowFirstColumn="0" w:lastRowLastColumn="0"/>
            <w:tcW w:w="1654" w:type="pct"/>
          </w:tcPr>
          <w:p w:rsidR="00F42309" w:rsidRDefault="00F42309" w:rsidP="00F42309">
            <w:pPr>
              <w:keepNext/>
              <w:spacing w:line="23" w:lineRule="atLeast"/>
              <w:rPr>
                <w:color w:val="000000"/>
                <w:sz w:val="18"/>
                <w:szCs w:val="18"/>
              </w:rPr>
            </w:pPr>
            <w:r w:rsidRPr="00B031AA">
              <w:rPr>
                <w:color w:val="000000"/>
                <w:sz w:val="18"/>
                <w:szCs w:val="18"/>
                <w:lang w:val="en-US"/>
              </w:rPr>
              <w:t>Lognormal distribution with the SE set at 20% of the base-case value</w:t>
            </w:r>
          </w:p>
        </w:tc>
      </w:tr>
      <w:tr w:rsidR="00F42309" w:rsidRPr="002F108D" w:rsidTr="00F42309">
        <w:trPr>
          <w:trHeight w:val="268"/>
        </w:trPr>
        <w:tc>
          <w:tcPr>
            <w:cnfStyle w:val="000010000000" w:firstRow="0" w:lastRow="0" w:firstColumn="0" w:lastColumn="0" w:oddVBand="1" w:evenVBand="0" w:oddHBand="0" w:evenHBand="0" w:firstRowFirstColumn="0" w:firstRowLastColumn="0" w:lastRowFirstColumn="0" w:lastRowLastColumn="0"/>
            <w:tcW w:w="1983" w:type="pct"/>
            <w:gridSpan w:val="2"/>
          </w:tcPr>
          <w:p w:rsidR="00F42309" w:rsidRPr="002F108D" w:rsidRDefault="00F57C48" w:rsidP="00F57C48">
            <w:pPr>
              <w:keepNext/>
              <w:spacing w:line="23" w:lineRule="atLeast"/>
              <w:rPr>
                <w:color w:val="000000"/>
                <w:sz w:val="18"/>
                <w:szCs w:val="18"/>
              </w:rPr>
            </w:pPr>
            <w:r>
              <w:rPr>
                <w:color w:val="000000"/>
                <w:sz w:val="18"/>
                <w:szCs w:val="18"/>
              </w:rPr>
              <w:t>PF</w:t>
            </w:r>
            <w:r w:rsidR="00F42309">
              <w:rPr>
                <w:color w:val="000000"/>
                <w:sz w:val="18"/>
                <w:szCs w:val="18"/>
              </w:rPr>
              <w:t>S</w:t>
            </w:r>
            <w:r>
              <w:rPr>
                <w:color w:val="000000"/>
                <w:sz w:val="18"/>
                <w:szCs w:val="18"/>
              </w:rPr>
              <w:t xml:space="preserve"> </w:t>
            </w:r>
            <w:r w:rsidR="00F42309">
              <w:rPr>
                <w:color w:val="000000"/>
                <w:sz w:val="18"/>
                <w:szCs w:val="18"/>
              </w:rPr>
              <w:t>-</w:t>
            </w:r>
            <w:r>
              <w:rPr>
                <w:color w:val="000000"/>
                <w:sz w:val="18"/>
                <w:szCs w:val="18"/>
              </w:rPr>
              <w:t xml:space="preserve"> HR</w:t>
            </w:r>
          </w:p>
        </w:tc>
        <w:tc>
          <w:tcPr>
            <w:tcW w:w="1363" w:type="pct"/>
          </w:tcPr>
          <w:p w:rsidR="00F42309" w:rsidRPr="002F108D" w:rsidRDefault="00F57C48" w:rsidP="00F42309">
            <w:pPr>
              <w:keepNext/>
              <w:spacing w:line="23" w:lineRule="atLeast"/>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1.45</w:t>
            </w:r>
          </w:p>
        </w:tc>
        <w:tc>
          <w:tcPr>
            <w:cnfStyle w:val="000010000000" w:firstRow="0" w:lastRow="0" w:firstColumn="0" w:lastColumn="0" w:oddVBand="1" w:evenVBand="0" w:oddHBand="0" w:evenHBand="0" w:firstRowFirstColumn="0" w:firstRowLastColumn="0" w:lastRowFirstColumn="0" w:lastRowLastColumn="0"/>
            <w:tcW w:w="1654" w:type="pct"/>
          </w:tcPr>
          <w:p w:rsidR="00F42309" w:rsidRPr="00B031AA" w:rsidRDefault="00F57C48" w:rsidP="00F42309">
            <w:pPr>
              <w:keepNext/>
              <w:spacing w:line="23" w:lineRule="atLeast"/>
              <w:rPr>
                <w:color w:val="000000"/>
                <w:sz w:val="18"/>
                <w:szCs w:val="18"/>
              </w:rPr>
            </w:pPr>
            <w:r>
              <w:rPr>
                <w:color w:val="000000"/>
                <w:sz w:val="18"/>
                <w:szCs w:val="18"/>
              </w:rPr>
              <w:t>Log</w:t>
            </w:r>
            <w:r w:rsidR="00F42309">
              <w:rPr>
                <w:color w:val="000000"/>
                <w:sz w:val="18"/>
                <w:szCs w:val="18"/>
              </w:rPr>
              <w:t>normal</w:t>
            </w:r>
          </w:p>
        </w:tc>
      </w:tr>
      <w:tr w:rsidR="00F42309" w:rsidRPr="002F108D" w:rsidTr="00F42309">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1983" w:type="pct"/>
            <w:gridSpan w:val="2"/>
          </w:tcPr>
          <w:p w:rsidR="00F42309" w:rsidRPr="002F108D" w:rsidRDefault="00F57C48" w:rsidP="00F42309">
            <w:pPr>
              <w:keepNext/>
              <w:spacing w:line="23" w:lineRule="atLeast"/>
              <w:rPr>
                <w:color w:val="000000"/>
                <w:sz w:val="18"/>
                <w:szCs w:val="18"/>
              </w:rPr>
            </w:pPr>
            <w:r>
              <w:rPr>
                <w:color w:val="000000"/>
                <w:sz w:val="18"/>
                <w:szCs w:val="18"/>
              </w:rPr>
              <w:t>OS - HR</w:t>
            </w:r>
          </w:p>
        </w:tc>
        <w:tc>
          <w:tcPr>
            <w:tcW w:w="1363" w:type="pct"/>
          </w:tcPr>
          <w:p w:rsidR="00F42309" w:rsidRPr="002F108D" w:rsidRDefault="00F57C48" w:rsidP="00F42309">
            <w:pPr>
              <w:keepNext/>
              <w:spacing w:line="23" w:lineRule="atLeast"/>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1.54</w:t>
            </w:r>
          </w:p>
        </w:tc>
        <w:tc>
          <w:tcPr>
            <w:cnfStyle w:val="000010000000" w:firstRow="0" w:lastRow="0" w:firstColumn="0" w:lastColumn="0" w:oddVBand="1" w:evenVBand="0" w:oddHBand="0" w:evenHBand="0" w:firstRowFirstColumn="0" w:firstRowLastColumn="0" w:lastRowFirstColumn="0" w:lastRowLastColumn="0"/>
            <w:tcW w:w="1654" w:type="pct"/>
          </w:tcPr>
          <w:p w:rsidR="00F42309" w:rsidRPr="00B031AA" w:rsidRDefault="00F57C48" w:rsidP="00F42309">
            <w:pPr>
              <w:keepNext/>
              <w:spacing w:line="23" w:lineRule="atLeast"/>
              <w:rPr>
                <w:color w:val="000000"/>
                <w:sz w:val="18"/>
                <w:szCs w:val="18"/>
              </w:rPr>
            </w:pPr>
            <w:r>
              <w:rPr>
                <w:color w:val="000000"/>
                <w:sz w:val="18"/>
                <w:szCs w:val="18"/>
              </w:rPr>
              <w:t>Log</w:t>
            </w:r>
            <w:r w:rsidR="00F42309">
              <w:rPr>
                <w:color w:val="000000"/>
                <w:sz w:val="18"/>
                <w:szCs w:val="18"/>
              </w:rPr>
              <w:t>normal</w:t>
            </w:r>
          </w:p>
        </w:tc>
      </w:tr>
      <w:tr w:rsidR="00F42309" w:rsidRPr="002F108D" w:rsidTr="00F42309">
        <w:trPr>
          <w:trHeight w:val="259"/>
        </w:trPr>
        <w:tc>
          <w:tcPr>
            <w:cnfStyle w:val="000010000000" w:firstRow="0" w:lastRow="0" w:firstColumn="0" w:lastColumn="0" w:oddVBand="1" w:evenVBand="0" w:oddHBand="0" w:evenHBand="0" w:firstRowFirstColumn="0" w:firstRowLastColumn="0" w:lastRowFirstColumn="0" w:lastRowLastColumn="0"/>
            <w:tcW w:w="1983" w:type="pct"/>
            <w:gridSpan w:val="2"/>
          </w:tcPr>
          <w:p w:rsidR="00F42309" w:rsidRDefault="00F42309" w:rsidP="00F42309">
            <w:pPr>
              <w:keepNext/>
              <w:spacing w:line="23" w:lineRule="atLeast"/>
              <w:rPr>
                <w:color w:val="000000"/>
                <w:sz w:val="18"/>
                <w:szCs w:val="18"/>
              </w:rPr>
            </w:pPr>
            <w:r>
              <w:rPr>
                <w:color w:val="000000"/>
                <w:sz w:val="18"/>
                <w:szCs w:val="18"/>
              </w:rPr>
              <w:t>ToT for pembrolizumab monotherapy (variation from base case KM value)</w:t>
            </w:r>
          </w:p>
        </w:tc>
        <w:tc>
          <w:tcPr>
            <w:tcW w:w="1363" w:type="pct"/>
          </w:tcPr>
          <w:p w:rsidR="00F42309" w:rsidRDefault="00F42309" w:rsidP="00F42309">
            <w:pPr>
              <w:keepNext/>
              <w:spacing w:line="23" w:lineRule="atLeast"/>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rFonts w:cs="Arial"/>
                <w:color w:val="000000"/>
                <w:sz w:val="18"/>
                <w:szCs w:val="18"/>
              </w:rPr>
              <w:t>±</w:t>
            </w:r>
            <w:r>
              <w:rPr>
                <w:color w:val="000000"/>
                <w:sz w:val="18"/>
                <w:szCs w:val="18"/>
              </w:rPr>
              <w:t>10%</w:t>
            </w:r>
          </w:p>
        </w:tc>
        <w:tc>
          <w:tcPr>
            <w:cnfStyle w:val="000010000000" w:firstRow="0" w:lastRow="0" w:firstColumn="0" w:lastColumn="0" w:oddVBand="1" w:evenVBand="0" w:oddHBand="0" w:evenHBand="0" w:firstRowFirstColumn="0" w:firstRowLastColumn="0" w:lastRowFirstColumn="0" w:lastRowLastColumn="0"/>
            <w:tcW w:w="1654" w:type="pct"/>
          </w:tcPr>
          <w:p w:rsidR="00F42309" w:rsidRPr="00B031AA" w:rsidRDefault="00F42309" w:rsidP="00F42309">
            <w:pPr>
              <w:keepNext/>
              <w:spacing w:line="23" w:lineRule="atLeast"/>
              <w:rPr>
                <w:color w:val="000000"/>
                <w:sz w:val="18"/>
                <w:szCs w:val="18"/>
              </w:rPr>
            </w:pPr>
            <w:r>
              <w:rPr>
                <w:color w:val="000000"/>
                <w:sz w:val="18"/>
                <w:szCs w:val="18"/>
              </w:rPr>
              <w:t>Normal</w:t>
            </w:r>
          </w:p>
        </w:tc>
      </w:tr>
      <w:tr w:rsidR="00F42309" w:rsidRPr="002F108D" w:rsidTr="00F42309">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1983" w:type="pct"/>
            <w:gridSpan w:val="2"/>
          </w:tcPr>
          <w:p w:rsidR="00F42309" w:rsidRDefault="00F57C48" w:rsidP="00F57C48">
            <w:pPr>
              <w:keepNext/>
              <w:spacing w:line="23" w:lineRule="atLeast"/>
              <w:rPr>
                <w:color w:val="000000"/>
                <w:sz w:val="18"/>
                <w:szCs w:val="18"/>
              </w:rPr>
            </w:pPr>
            <w:r>
              <w:rPr>
                <w:color w:val="000000"/>
                <w:sz w:val="18"/>
                <w:szCs w:val="18"/>
              </w:rPr>
              <w:t>AE management cost – pembrolizumab monotherapy</w:t>
            </w:r>
          </w:p>
        </w:tc>
        <w:tc>
          <w:tcPr>
            <w:tcW w:w="1363" w:type="pct"/>
          </w:tcPr>
          <w:p w:rsidR="00F42309" w:rsidRDefault="00F57C48" w:rsidP="00F42309">
            <w:pPr>
              <w:keepNext/>
              <w:spacing w:line="23" w:lineRule="atLeast"/>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$807</w:t>
            </w:r>
          </w:p>
        </w:tc>
        <w:tc>
          <w:tcPr>
            <w:cnfStyle w:val="000010000000" w:firstRow="0" w:lastRow="0" w:firstColumn="0" w:lastColumn="0" w:oddVBand="1" w:evenVBand="0" w:oddHBand="0" w:evenHBand="0" w:firstRowFirstColumn="0" w:firstRowLastColumn="0" w:lastRowFirstColumn="0" w:lastRowLastColumn="0"/>
            <w:tcW w:w="1654" w:type="pct"/>
          </w:tcPr>
          <w:p w:rsidR="00F42309" w:rsidRDefault="00F42309" w:rsidP="00F42309">
            <w:pPr>
              <w:keepNext/>
              <w:spacing w:line="23" w:lineRule="atLeast"/>
              <w:rPr>
                <w:color w:val="000000"/>
                <w:sz w:val="18"/>
                <w:szCs w:val="18"/>
              </w:rPr>
            </w:pPr>
            <w:r w:rsidRPr="00B031AA">
              <w:rPr>
                <w:color w:val="000000"/>
                <w:sz w:val="18"/>
                <w:szCs w:val="18"/>
                <w:lang w:val="en-US"/>
              </w:rPr>
              <w:t>Lognormal distribution with the SE set at 20% of the base-case value</w:t>
            </w:r>
          </w:p>
        </w:tc>
      </w:tr>
    </w:tbl>
    <w:p w:rsidR="00F42309" w:rsidRDefault="00F42309" w:rsidP="00F42309">
      <w:pPr>
        <w:spacing w:line="240" w:lineRule="auto"/>
        <w:rPr>
          <w:sz w:val="18"/>
          <w:szCs w:val="18"/>
        </w:rPr>
      </w:pPr>
      <w:r w:rsidRPr="005E7B72">
        <w:rPr>
          <w:sz w:val="18"/>
          <w:szCs w:val="18"/>
        </w:rPr>
        <w:t xml:space="preserve">AE = adverse event; CI = confidence interval; </w:t>
      </w:r>
      <w:r w:rsidR="00F57C48">
        <w:rPr>
          <w:sz w:val="18"/>
          <w:szCs w:val="18"/>
        </w:rPr>
        <w:t xml:space="preserve">HR = hazard ratio; </w:t>
      </w:r>
      <w:r w:rsidRPr="005E7B72">
        <w:rPr>
          <w:sz w:val="18"/>
          <w:szCs w:val="18"/>
        </w:rPr>
        <w:t xml:space="preserve">KM = Kaplan-Meier; OS = overall survival; PFS = progression-free survival; </w:t>
      </w:r>
      <w:r w:rsidR="00F57C48">
        <w:rPr>
          <w:sz w:val="18"/>
          <w:szCs w:val="18"/>
        </w:rPr>
        <w:t>P</w:t>
      </w:r>
      <w:r w:rsidR="00F57C48" w:rsidRPr="005E7B72">
        <w:rPr>
          <w:sz w:val="18"/>
          <w:szCs w:val="18"/>
        </w:rPr>
        <w:t xml:space="preserve">SA = </w:t>
      </w:r>
      <w:r w:rsidR="00F57C48">
        <w:rPr>
          <w:sz w:val="18"/>
          <w:szCs w:val="18"/>
        </w:rPr>
        <w:t>probabili</w:t>
      </w:r>
      <w:r w:rsidR="00F57C48" w:rsidRPr="005E7B72">
        <w:rPr>
          <w:sz w:val="18"/>
          <w:szCs w:val="18"/>
        </w:rPr>
        <w:t xml:space="preserve">stic sensitivity analysis; </w:t>
      </w:r>
      <w:r w:rsidRPr="005E7B72">
        <w:rPr>
          <w:sz w:val="18"/>
          <w:szCs w:val="18"/>
        </w:rPr>
        <w:t xml:space="preserve">SE = standard error; ToT = time on treatment </w:t>
      </w:r>
    </w:p>
    <w:p w:rsidR="0044200F" w:rsidRDefault="0044200F" w:rsidP="00FC67AD"/>
    <w:p w:rsidR="009727C1" w:rsidRPr="009727C1" w:rsidRDefault="009727C1" w:rsidP="009727C1">
      <w:pPr>
        <w:pStyle w:val="Caption"/>
        <w:rPr>
          <w:rFonts w:cstheme="minorHAnsi"/>
          <w:b w:val="0"/>
          <w:color w:val="auto"/>
          <w:sz w:val="22"/>
          <w:szCs w:val="22"/>
        </w:rPr>
      </w:pPr>
      <w:bookmarkStart w:id="15" w:name="_Ref424416615"/>
      <w:bookmarkStart w:id="16" w:name="_Toc297229658"/>
      <w:bookmarkStart w:id="17" w:name="_Toc424561030"/>
      <w:r w:rsidRPr="009727C1">
        <w:rPr>
          <w:b w:val="0"/>
          <w:color w:val="auto"/>
          <w:sz w:val="22"/>
          <w:szCs w:val="22"/>
        </w:rPr>
        <w:t xml:space="preserve">Table </w:t>
      </w:r>
      <w:bookmarkEnd w:id="15"/>
      <w:r w:rsidRPr="009727C1">
        <w:rPr>
          <w:b w:val="0"/>
          <w:color w:val="auto"/>
          <w:sz w:val="22"/>
          <w:szCs w:val="22"/>
        </w:rPr>
        <w:t>S12</w:t>
      </w:r>
      <w:r w:rsidRPr="009727C1">
        <w:rPr>
          <w:b w:val="0"/>
          <w:noProof/>
          <w:color w:val="auto"/>
          <w:sz w:val="22"/>
          <w:szCs w:val="22"/>
        </w:rPr>
        <w:t xml:space="preserve"> -</w:t>
      </w:r>
      <w:r w:rsidRPr="009727C1">
        <w:rPr>
          <w:rFonts w:cstheme="minorHAnsi"/>
          <w:b w:val="0"/>
          <w:color w:val="auto"/>
          <w:sz w:val="22"/>
          <w:szCs w:val="22"/>
        </w:rPr>
        <w:t xml:space="preserve"> ICERs </w:t>
      </w:r>
      <w:bookmarkEnd w:id="16"/>
      <w:bookmarkEnd w:id="17"/>
      <w:r w:rsidRPr="009727C1">
        <w:rPr>
          <w:rFonts w:cstheme="minorHAnsi"/>
          <w:b w:val="0"/>
          <w:color w:val="auto"/>
          <w:sz w:val="22"/>
          <w:szCs w:val="22"/>
        </w:rPr>
        <w:t>Varying Distributions for Modeling of OS, PFS and ToT</w:t>
      </w:r>
    </w:p>
    <w:tbl>
      <w:tblPr>
        <w:tblStyle w:val="LightList-Accent1"/>
        <w:tblW w:w="0" w:type="auto"/>
        <w:tblLook w:val="04A0" w:firstRow="1" w:lastRow="0" w:firstColumn="1" w:lastColumn="0" w:noHBand="0" w:noVBand="1"/>
      </w:tblPr>
      <w:tblGrid>
        <w:gridCol w:w="3258"/>
        <w:gridCol w:w="4410"/>
        <w:gridCol w:w="1662"/>
      </w:tblGrid>
      <w:tr w:rsidR="009727C1" w:rsidRPr="002F108D" w:rsidTr="00095A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9727C1" w:rsidRPr="002F108D" w:rsidRDefault="009727C1" w:rsidP="00095A52">
            <w:r>
              <w:t>Analysis</w:t>
            </w:r>
          </w:p>
        </w:tc>
        <w:tc>
          <w:tcPr>
            <w:tcW w:w="4410" w:type="dxa"/>
          </w:tcPr>
          <w:p w:rsidR="009727C1" w:rsidRPr="002F108D" w:rsidRDefault="009727C1" w:rsidP="00095A52">
            <w:pPr>
              <w:cnfStyle w:val="100000000000" w:firstRow="1" w:lastRow="0" w:firstColumn="0" w:lastColumn="0" w:oddVBand="0" w:evenVBand="0" w:oddHBand="0" w:evenHBand="0" w:firstRowFirstColumn="0" w:firstRowLastColumn="0" w:lastRowFirstColumn="0" w:lastRowLastColumn="0"/>
            </w:pPr>
            <w:r>
              <w:t>Distribution Modeled</w:t>
            </w:r>
          </w:p>
        </w:tc>
        <w:tc>
          <w:tcPr>
            <w:tcW w:w="1662" w:type="dxa"/>
          </w:tcPr>
          <w:p w:rsidR="009727C1" w:rsidRPr="002F108D" w:rsidRDefault="009727C1" w:rsidP="00095A52">
            <w:pPr>
              <w:jc w:val="center"/>
              <w:cnfStyle w:val="100000000000" w:firstRow="1" w:lastRow="0" w:firstColumn="0" w:lastColumn="0" w:oddVBand="0" w:evenVBand="0" w:oddHBand="0" w:evenHBand="0" w:firstRowFirstColumn="0" w:firstRowLastColumn="0" w:lastRowFirstColumn="0" w:lastRowLastColumn="0"/>
            </w:pPr>
            <w:r w:rsidRPr="002F108D">
              <w:rPr>
                <w:rFonts w:cstheme="minorHAnsi"/>
              </w:rPr>
              <w:t>ICER (US$/QALY)</w:t>
            </w:r>
          </w:p>
        </w:tc>
      </w:tr>
      <w:tr w:rsidR="009727C1" w:rsidRPr="002F108D" w:rsidTr="00095A52">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258" w:type="dxa"/>
          </w:tcPr>
          <w:p w:rsidR="009727C1" w:rsidRPr="0072463A" w:rsidRDefault="009727C1" w:rsidP="00095A52">
            <w:pPr>
              <w:rPr>
                <w:rFonts w:cs="Arial"/>
                <w:b w:val="0"/>
                <w:sz w:val="20"/>
                <w:szCs w:val="20"/>
              </w:rPr>
            </w:pPr>
            <w:r w:rsidRPr="0072463A">
              <w:rPr>
                <w:rFonts w:cs="Arial"/>
                <w:b w:val="0"/>
                <w:sz w:val="20"/>
                <w:szCs w:val="20"/>
              </w:rPr>
              <w:t>Base Case</w:t>
            </w:r>
          </w:p>
        </w:tc>
        <w:tc>
          <w:tcPr>
            <w:tcW w:w="4410" w:type="dxa"/>
          </w:tcPr>
          <w:p w:rsidR="009727C1" w:rsidRPr="0072463A" w:rsidRDefault="009727C1" w:rsidP="00095A52">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KM in year 1, followed by SEER mortality risks, with RR applied for Pembro + Chemo to year 5 (OS), KM 39 + Weibull (PFS-Pembro + Chemo), KM 21 + Weibull (PFS-Chemo), Exponential (</w:t>
            </w:r>
            <w:r w:rsidRPr="0072463A">
              <w:rPr>
                <w:rFonts w:cs="Arial"/>
                <w:sz w:val="20"/>
                <w:szCs w:val="20"/>
              </w:rPr>
              <w:t>ToT</w:t>
            </w:r>
            <w:r>
              <w:rPr>
                <w:rFonts w:cs="Arial"/>
                <w:sz w:val="20"/>
                <w:szCs w:val="20"/>
              </w:rPr>
              <w:t>-Pembro + Chemo</w:t>
            </w:r>
            <w:r w:rsidRPr="0072463A">
              <w:rPr>
                <w:rFonts w:cs="Arial"/>
                <w:sz w:val="20"/>
                <w:szCs w:val="20"/>
              </w:rPr>
              <w:t>)</w:t>
            </w:r>
            <w:r>
              <w:rPr>
                <w:rFonts w:cs="Arial"/>
                <w:sz w:val="20"/>
                <w:szCs w:val="20"/>
              </w:rPr>
              <w:t>, Gompertz (ToT-Chemo)</w:t>
            </w:r>
          </w:p>
        </w:tc>
        <w:tc>
          <w:tcPr>
            <w:tcW w:w="1662" w:type="dxa"/>
          </w:tcPr>
          <w:p w:rsidR="009727C1" w:rsidRPr="0072463A" w:rsidRDefault="009727C1" w:rsidP="00095A52">
            <w:pPr>
              <w:jc w:val="center"/>
              <w:cnfStyle w:val="000000100000" w:firstRow="0" w:lastRow="0" w:firstColumn="0" w:lastColumn="0" w:oddVBand="0" w:evenVBand="0" w:oddHBand="1" w:evenHBand="0" w:firstRowFirstColumn="0" w:firstRowLastColumn="0" w:lastRowFirstColumn="0" w:lastRowLastColumn="0"/>
              <w:rPr>
                <w:rFonts w:cs="Arial"/>
                <w:b/>
                <w:bCs/>
                <w:color w:val="000000"/>
                <w:sz w:val="20"/>
                <w:szCs w:val="20"/>
              </w:rPr>
            </w:pPr>
            <w:r>
              <w:rPr>
                <w:rFonts w:cs="Arial"/>
                <w:b/>
                <w:bCs/>
                <w:color w:val="000000"/>
                <w:sz w:val="20"/>
                <w:szCs w:val="20"/>
              </w:rPr>
              <w:t>$1</w:t>
            </w:r>
            <w:r w:rsidR="003F5F12">
              <w:rPr>
                <w:rFonts w:cs="Arial"/>
                <w:b/>
                <w:bCs/>
                <w:color w:val="000000"/>
                <w:sz w:val="20"/>
                <w:szCs w:val="20"/>
              </w:rPr>
              <w:t>04,823</w:t>
            </w:r>
          </w:p>
        </w:tc>
      </w:tr>
      <w:tr w:rsidR="009727C1" w:rsidRPr="002F108D" w:rsidTr="00095A52">
        <w:trPr>
          <w:trHeight w:val="286"/>
        </w:trPr>
        <w:tc>
          <w:tcPr>
            <w:cnfStyle w:val="001000000000" w:firstRow="0" w:lastRow="0" w:firstColumn="1" w:lastColumn="0" w:oddVBand="0" w:evenVBand="0" w:oddHBand="0" w:evenHBand="0" w:firstRowFirstColumn="0" w:firstRowLastColumn="0" w:lastRowFirstColumn="0" w:lastRowLastColumn="0"/>
            <w:tcW w:w="3258" w:type="dxa"/>
          </w:tcPr>
          <w:p w:rsidR="009727C1" w:rsidRPr="0072463A" w:rsidRDefault="009727C1" w:rsidP="00095A52">
            <w:pPr>
              <w:rPr>
                <w:rFonts w:cs="Arial"/>
                <w:b w:val="0"/>
                <w:sz w:val="20"/>
                <w:szCs w:val="20"/>
              </w:rPr>
            </w:pPr>
            <w:r>
              <w:rPr>
                <w:rFonts w:cs="Arial"/>
                <w:b w:val="0"/>
                <w:sz w:val="20"/>
                <w:szCs w:val="20"/>
              </w:rPr>
              <w:t>OS (Both trial comparators)</w:t>
            </w:r>
          </w:p>
        </w:tc>
        <w:tc>
          <w:tcPr>
            <w:tcW w:w="4410" w:type="dxa"/>
          </w:tcPr>
          <w:p w:rsidR="009727C1" w:rsidRPr="0072463A" w:rsidRDefault="009727C1" w:rsidP="00095A52">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KM 31 + </w:t>
            </w:r>
            <w:r w:rsidRPr="0072463A">
              <w:rPr>
                <w:rFonts w:cs="Arial"/>
                <w:sz w:val="20"/>
                <w:szCs w:val="20"/>
              </w:rPr>
              <w:t>Exponential</w:t>
            </w:r>
            <w:r>
              <w:rPr>
                <w:rFonts w:cs="Arial"/>
                <w:sz w:val="20"/>
                <w:szCs w:val="20"/>
              </w:rPr>
              <w:t xml:space="preserve"> to year 5, followed by SEER mortality risks </w:t>
            </w:r>
          </w:p>
        </w:tc>
        <w:tc>
          <w:tcPr>
            <w:tcW w:w="1662" w:type="dxa"/>
          </w:tcPr>
          <w:p w:rsidR="009727C1" w:rsidRPr="0072463A" w:rsidRDefault="009727C1" w:rsidP="00095A52">
            <w:pPr>
              <w:jc w:val="center"/>
              <w:cnfStyle w:val="000000000000" w:firstRow="0" w:lastRow="0" w:firstColumn="0" w:lastColumn="0" w:oddVBand="0" w:evenVBand="0" w:oddHBand="0" w:evenHBand="0" w:firstRowFirstColumn="0" w:firstRowLastColumn="0" w:lastRowFirstColumn="0" w:lastRowLastColumn="0"/>
              <w:rPr>
                <w:rFonts w:cs="Arial"/>
                <w:bCs/>
                <w:color w:val="000000"/>
                <w:sz w:val="20"/>
                <w:szCs w:val="20"/>
              </w:rPr>
            </w:pPr>
            <w:r>
              <w:rPr>
                <w:rFonts w:cs="Arial"/>
                <w:color w:val="000000"/>
                <w:sz w:val="20"/>
                <w:szCs w:val="20"/>
              </w:rPr>
              <w:t>$1</w:t>
            </w:r>
            <w:r w:rsidR="001A61AE">
              <w:rPr>
                <w:rFonts w:cs="Arial"/>
                <w:color w:val="000000"/>
                <w:sz w:val="20"/>
                <w:szCs w:val="20"/>
              </w:rPr>
              <w:t>40,019</w:t>
            </w:r>
          </w:p>
        </w:tc>
      </w:tr>
      <w:tr w:rsidR="009727C1" w:rsidRPr="002F108D" w:rsidTr="00095A52">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258" w:type="dxa"/>
          </w:tcPr>
          <w:p w:rsidR="009727C1" w:rsidRPr="0072463A" w:rsidRDefault="009727C1" w:rsidP="00095A52">
            <w:pPr>
              <w:rPr>
                <w:rFonts w:cs="Arial"/>
                <w:b w:val="0"/>
                <w:sz w:val="20"/>
                <w:szCs w:val="20"/>
              </w:rPr>
            </w:pPr>
            <w:r w:rsidRPr="0072463A">
              <w:rPr>
                <w:rFonts w:cs="Arial"/>
                <w:b w:val="0"/>
                <w:sz w:val="20"/>
                <w:szCs w:val="20"/>
              </w:rPr>
              <w:t>PFS Pembrolizumab plus chemo</w:t>
            </w:r>
          </w:p>
        </w:tc>
        <w:tc>
          <w:tcPr>
            <w:tcW w:w="4410" w:type="dxa"/>
          </w:tcPr>
          <w:p w:rsidR="009727C1" w:rsidRPr="0072463A" w:rsidRDefault="009727C1" w:rsidP="00095A52">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2463A">
              <w:rPr>
                <w:rFonts w:cs="Arial"/>
                <w:sz w:val="20"/>
                <w:szCs w:val="20"/>
              </w:rPr>
              <w:t xml:space="preserve">KM </w:t>
            </w:r>
            <w:r>
              <w:rPr>
                <w:rFonts w:cs="Arial"/>
                <w:sz w:val="20"/>
                <w:szCs w:val="20"/>
              </w:rPr>
              <w:t xml:space="preserve">39 </w:t>
            </w:r>
            <w:r w:rsidRPr="0072463A">
              <w:rPr>
                <w:rFonts w:cs="Arial"/>
                <w:sz w:val="20"/>
                <w:szCs w:val="20"/>
              </w:rPr>
              <w:t>+ Log normal</w:t>
            </w:r>
            <w:r>
              <w:rPr>
                <w:rFonts w:cs="Arial"/>
                <w:sz w:val="20"/>
                <w:szCs w:val="20"/>
              </w:rPr>
              <w:t xml:space="preserve"> (Pembro + Chemo), KM 21 + Generalized Gamma (Chemo)</w:t>
            </w:r>
          </w:p>
        </w:tc>
        <w:tc>
          <w:tcPr>
            <w:tcW w:w="1662" w:type="dxa"/>
          </w:tcPr>
          <w:p w:rsidR="009727C1" w:rsidRPr="0072463A" w:rsidRDefault="009727C1" w:rsidP="00095A52">
            <w:pPr>
              <w:jc w:val="center"/>
              <w:cnfStyle w:val="000000100000" w:firstRow="0" w:lastRow="0" w:firstColumn="0" w:lastColumn="0" w:oddVBand="0" w:evenVBand="0" w:oddHBand="1" w:evenHBand="0" w:firstRowFirstColumn="0" w:firstRowLastColumn="0" w:lastRowFirstColumn="0" w:lastRowLastColumn="0"/>
              <w:rPr>
                <w:rFonts w:cs="Arial"/>
                <w:bCs/>
                <w:color w:val="000000"/>
                <w:sz w:val="20"/>
                <w:szCs w:val="20"/>
              </w:rPr>
            </w:pPr>
            <w:r>
              <w:rPr>
                <w:rFonts w:cs="Arial"/>
                <w:color w:val="000000"/>
                <w:sz w:val="20"/>
                <w:szCs w:val="20"/>
              </w:rPr>
              <w:t>$</w:t>
            </w:r>
            <w:r w:rsidR="003F5F12">
              <w:rPr>
                <w:rFonts w:cs="Arial"/>
                <w:color w:val="000000"/>
                <w:sz w:val="20"/>
                <w:szCs w:val="20"/>
              </w:rPr>
              <w:t>87,879</w:t>
            </w:r>
          </w:p>
        </w:tc>
      </w:tr>
      <w:tr w:rsidR="009727C1" w:rsidRPr="002F108D" w:rsidTr="00095A52">
        <w:trPr>
          <w:trHeight w:val="286"/>
        </w:trPr>
        <w:tc>
          <w:tcPr>
            <w:cnfStyle w:val="001000000000" w:firstRow="0" w:lastRow="0" w:firstColumn="1" w:lastColumn="0" w:oddVBand="0" w:evenVBand="0" w:oddHBand="0" w:evenHBand="0" w:firstRowFirstColumn="0" w:firstRowLastColumn="0" w:lastRowFirstColumn="0" w:lastRowLastColumn="0"/>
            <w:tcW w:w="3258" w:type="dxa"/>
          </w:tcPr>
          <w:p w:rsidR="009727C1" w:rsidRPr="0072463A" w:rsidRDefault="009727C1" w:rsidP="00095A52">
            <w:pPr>
              <w:rPr>
                <w:rFonts w:cs="Arial"/>
                <w:b w:val="0"/>
                <w:sz w:val="20"/>
                <w:szCs w:val="20"/>
              </w:rPr>
            </w:pPr>
            <w:r w:rsidRPr="0072463A">
              <w:rPr>
                <w:rFonts w:cs="Arial"/>
                <w:b w:val="0"/>
                <w:sz w:val="20"/>
                <w:szCs w:val="20"/>
              </w:rPr>
              <w:t xml:space="preserve">ToT </w:t>
            </w:r>
            <w:r>
              <w:rPr>
                <w:rFonts w:cs="Arial"/>
                <w:b w:val="0"/>
                <w:sz w:val="20"/>
                <w:szCs w:val="20"/>
              </w:rPr>
              <w:t>(Both trial comparators)</w:t>
            </w:r>
          </w:p>
        </w:tc>
        <w:tc>
          <w:tcPr>
            <w:tcW w:w="4410" w:type="dxa"/>
          </w:tcPr>
          <w:p w:rsidR="009727C1" w:rsidRPr="0072463A" w:rsidRDefault="009727C1" w:rsidP="00095A52">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Weibull</w:t>
            </w:r>
          </w:p>
        </w:tc>
        <w:tc>
          <w:tcPr>
            <w:tcW w:w="1662" w:type="dxa"/>
          </w:tcPr>
          <w:p w:rsidR="009727C1" w:rsidRPr="0072463A" w:rsidRDefault="003F5F12" w:rsidP="00095A52">
            <w:pPr>
              <w:jc w:val="center"/>
              <w:cnfStyle w:val="000000000000" w:firstRow="0" w:lastRow="0" w:firstColumn="0" w:lastColumn="0" w:oddVBand="0" w:evenVBand="0" w:oddHBand="0" w:evenHBand="0" w:firstRowFirstColumn="0" w:firstRowLastColumn="0" w:lastRowFirstColumn="0" w:lastRowLastColumn="0"/>
              <w:rPr>
                <w:rFonts w:cs="Arial"/>
                <w:bCs/>
                <w:color w:val="000000"/>
                <w:sz w:val="20"/>
                <w:szCs w:val="20"/>
              </w:rPr>
            </w:pPr>
            <w:r>
              <w:rPr>
                <w:rFonts w:cs="Arial"/>
                <w:bCs/>
                <w:color w:val="000000"/>
                <w:sz w:val="20"/>
                <w:szCs w:val="20"/>
              </w:rPr>
              <w:t>$111,129</w:t>
            </w:r>
          </w:p>
        </w:tc>
      </w:tr>
    </w:tbl>
    <w:p w:rsidR="009727C1" w:rsidRDefault="009727C1" w:rsidP="009727C1">
      <w:pPr>
        <w:rPr>
          <w:rFonts w:eastAsiaTheme="majorEastAsia" w:cstheme="minorHAnsi"/>
          <w:bCs/>
          <w:sz w:val="20"/>
          <w:szCs w:val="20"/>
        </w:rPr>
      </w:pPr>
      <w:r w:rsidRPr="00C97E72">
        <w:rPr>
          <w:rFonts w:eastAsiaTheme="majorEastAsia" w:cstheme="minorHAnsi"/>
          <w:bCs/>
          <w:sz w:val="20"/>
          <w:szCs w:val="20"/>
        </w:rPr>
        <w:t>KM = Kaplan-Meier; OS = overall survival; PFS = progression-free survival; ToT = time on treatment</w:t>
      </w:r>
    </w:p>
    <w:p w:rsidR="0044200F" w:rsidRDefault="0044200F" w:rsidP="00FC67AD"/>
    <w:p w:rsidR="0044200F" w:rsidRDefault="0044200F" w:rsidP="00FC67AD"/>
    <w:p w:rsidR="00B14C5B" w:rsidRDefault="00B14C5B" w:rsidP="00FC67AD"/>
    <w:p w:rsidR="0044200F" w:rsidRDefault="0044200F" w:rsidP="00FC67AD"/>
    <w:p w:rsidR="009727C1" w:rsidRDefault="009727C1" w:rsidP="00FC67AD"/>
    <w:p w:rsidR="009727C1" w:rsidRDefault="009727C1" w:rsidP="00FC67AD"/>
    <w:p w:rsidR="009727C1" w:rsidRDefault="009727C1" w:rsidP="00FC67AD"/>
    <w:p w:rsidR="009727C1" w:rsidRDefault="009727C1" w:rsidP="00FC67AD"/>
    <w:p w:rsidR="009727C1" w:rsidRDefault="009727C1" w:rsidP="00FC67AD"/>
    <w:p w:rsidR="009727C1" w:rsidRDefault="009727C1" w:rsidP="00FC67AD"/>
    <w:p w:rsidR="009727C1" w:rsidRDefault="009727C1" w:rsidP="00FC67AD"/>
    <w:p w:rsidR="009727C1" w:rsidRDefault="009727C1" w:rsidP="00FC67AD"/>
    <w:p w:rsidR="009727C1" w:rsidRDefault="009727C1" w:rsidP="00FC67AD"/>
    <w:p w:rsidR="00D458BD" w:rsidRPr="00A17D7F" w:rsidRDefault="00FC67AD" w:rsidP="00D458BD">
      <w:pPr>
        <w:pStyle w:val="Caption"/>
      </w:pPr>
      <w:r w:rsidRPr="00D458BD">
        <w:rPr>
          <w:b w:val="0"/>
          <w:color w:val="auto"/>
          <w:sz w:val="22"/>
          <w:szCs w:val="22"/>
        </w:rPr>
        <w:t>Figure S1 –</w:t>
      </w:r>
      <w:r w:rsidR="00D458BD" w:rsidRPr="00D458BD">
        <w:rPr>
          <w:b w:val="0"/>
          <w:color w:val="auto"/>
          <w:sz w:val="22"/>
          <w:szCs w:val="22"/>
        </w:rPr>
        <w:t xml:space="preserve"> KM Data and Extrapolated ToT Based On Weibull Distribution for Chemotherapy Trial Arm (Not modeled</w:t>
      </w:r>
      <w:r w:rsidR="00D458BD">
        <w:rPr>
          <w:b w:val="0"/>
          <w:color w:val="auto"/>
          <w:sz w:val="22"/>
          <w:szCs w:val="22"/>
        </w:rPr>
        <w:t xml:space="preserve"> in base case</w:t>
      </w:r>
      <w:r w:rsidR="00D458BD" w:rsidRPr="00D458BD">
        <w:rPr>
          <w:b w:val="0"/>
          <w:color w:val="auto"/>
          <w:sz w:val="22"/>
          <w:szCs w:val="22"/>
        </w:rPr>
        <w:t>)</w:t>
      </w:r>
    </w:p>
    <w:p w:rsidR="00D458BD" w:rsidRDefault="00D458BD" w:rsidP="00D458BD">
      <w:r>
        <w:rPr>
          <w:noProof/>
        </w:rPr>
        <w:drawing>
          <wp:inline distT="0" distB="0" distL="0" distR="0" wp14:anchorId="655CA55E" wp14:editId="2E40F944">
            <wp:extent cx="5353050" cy="348523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6719" cy="3487627"/>
                    </a:xfrm>
                    <a:prstGeom prst="rect">
                      <a:avLst/>
                    </a:prstGeom>
                    <a:noFill/>
                  </pic:spPr>
                </pic:pic>
              </a:graphicData>
            </a:graphic>
          </wp:inline>
        </w:drawing>
      </w:r>
    </w:p>
    <w:p w:rsidR="00D458BD" w:rsidRDefault="00D458BD" w:rsidP="00D458BD">
      <w:r>
        <w:t>Figure S2</w:t>
      </w:r>
      <w:r w:rsidRPr="00D458BD">
        <w:t xml:space="preserve"> – KM Data and Extrapolated ToT Based On </w:t>
      </w:r>
      <w:r>
        <w:t>Gompertz</w:t>
      </w:r>
      <w:r w:rsidRPr="00D458BD">
        <w:t xml:space="preserve"> Distribution for Chemotherapy Trial Arm (base case</w:t>
      </w:r>
      <w:r>
        <w:t xml:space="preserve"> distributional assumption</w:t>
      </w:r>
      <w:r w:rsidRPr="00D458BD">
        <w:t>)</w:t>
      </w:r>
    </w:p>
    <w:p w:rsidR="00D458BD" w:rsidRDefault="00D458BD" w:rsidP="00D458BD">
      <w:r>
        <w:rPr>
          <w:noProof/>
        </w:rPr>
        <w:drawing>
          <wp:inline distT="0" distB="0" distL="0" distR="0" wp14:anchorId="0DA771AF" wp14:editId="6BC10117">
            <wp:extent cx="5353050" cy="348524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9714" cy="3496089"/>
                    </a:xfrm>
                    <a:prstGeom prst="rect">
                      <a:avLst/>
                    </a:prstGeom>
                    <a:noFill/>
                  </pic:spPr>
                </pic:pic>
              </a:graphicData>
            </a:graphic>
          </wp:inline>
        </w:drawing>
      </w:r>
    </w:p>
    <w:p w:rsidR="00FC67AD" w:rsidRDefault="005214BA" w:rsidP="00FC67AD">
      <w:r>
        <w:t xml:space="preserve">Figure S3 - </w:t>
      </w:r>
      <w:r w:rsidR="00FC67AD">
        <w:t>Chow test plot of PFS (BICR) for pembrolizumab + chemotherapy</w:t>
      </w:r>
    </w:p>
    <w:p w:rsidR="00FC67AD" w:rsidRDefault="00FC67AD" w:rsidP="00FC67AD">
      <w:r>
        <w:rPr>
          <w:noProof/>
        </w:rPr>
        <w:drawing>
          <wp:inline distT="0" distB="0" distL="0" distR="0" wp14:anchorId="032CEB8F" wp14:editId="6D557901">
            <wp:extent cx="3493698" cy="349369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4184" cy="3494184"/>
                    </a:xfrm>
                    <a:prstGeom prst="rect">
                      <a:avLst/>
                    </a:prstGeom>
                    <a:noFill/>
                  </pic:spPr>
                </pic:pic>
              </a:graphicData>
            </a:graphic>
          </wp:inline>
        </w:drawing>
      </w:r>
    </w:p>
    <w:p w:rsidR="00FC67AD" w:rsidRDefault="00FC67AD" w:rsidP="00FC67AD"/>
    <w:p w:rsidR="00FC67AD" w:rsidRDefault="00FC67AD" w:rsidP="00FC67AD">
      <w:r>
        <w:t>Figure S</w:t>
      </w:r>
      <w:r w:rsidR="005214BA">
        <w:t>4</w:t>
      </w:r>
      <w:r>
        <w:t xml:space="preserve"> – Chow test plot of PFS (BICR) for chemotherapy</w:t>
      </w:r>
    </w:p>
    <w:p w:rsidR="00FC67AD" w:rsidRDefault="00FC67AD" w:rsidP="00FC67AD">
      <w:r>
        <w:rPr>
          <w:noProof/>
        </w:rPr>
        <w:drawing>
          <wp:inline distT="0" distB="0" distL="0" distR="0" wp14:anchorId="03101414" wp14:editId="1ADEFF49">
            <wp:extent cx="3338423" cy="333842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8423" cy="3338423"/>
                    </a:xfrm>
                    <a:prstGeom prst="rect">
                      <a:avLst/>
                    </a:prstGeom>
                    <a:noFill/>
                  </pic:spPr>
                </pic:pic>
              </a:graphicData>
            </a:graphic>
          </wp:inline>
        </w:drawing>
      </w:r>
    </w:p>
    <w:p w:rsidR="00FC67AD" w:rsidRPr="00C556E3" w:rsidRDefault="00FC67AD" w:rsidP="00FC67AD">
      <w:r>
        <w:t>Figure S</w:t>
      </w:r>
      <w:r w:rsidR="005214BA">
        <w:t>5</w:t>
      </w:r>
      <w:r>
        <w:t xml:space="preserve"> – </w:t>
      </w:r>
      <w:r w:rsidRPr="00C556E3">
        <w:t xml:space="preserve">Cumulative hazard plot for PFS (BICR) </w:t>
      </w:r>
    </w:p>
    <w:p w:rsidR="00FC67AD" w:rsidRDefault="00FC67AD" w:rsidP="00FC67AD">
      <w:r w:rsidRPr="00C556E3">
        <w:rPr>
          <w:rFonts w:ascii="Cambria" w:eastAsia="Cambria" w:hAnsi="Cambria" w:cs="Times New Roman"/>
          <w:noProof/>
          <w:sz w:val="24"/>
          <w:szCs w:val="24"/>
        </w:rPr>
        <w:drawing>
          <wp:inline distT="0" distB="0" distL="0" distR="0" wp14:anchorId="77F459F4" wp14:editId="742BCC97">
            <wp:extent cx="3950898" cy="3079631"/>
            <wp:effectExtent l="0" t="0" r="0" b="6985"/>
            <wp:docPr id="301" name="Picture"/>
            <wp:cNvGraphicFramePr/>
            <a:graphic xmlns:a="http://schemas.openxmlformats.org/drawingml/2006/main">
              <a:graphicData uri="http://schemas.openxmlformats.org/drawingml/2006/picture">
                <pic:pic xmlns:pic="http://schemas.openxmlformats.org/drawingml/2006/picture">
                  <pic:nvPicPr>
                    <pic:cNvPr id="0" name="Picture" descr="Plots_KN189_v2_files/figure-docx/unnamed-chunk-5-1.png"/>
                    <pic:cNvPicPr>
                      <a:picLocks noChangeAspect="1" noChangeArrowheads="1"/>
                    </pic:cNvPicPr>
                  </pic:nvPicPr>
                  <pic:blipFill>
                    <a:blip r:embed="rId12"/>
                    <a:stretch>
                      <a:fillRect/>
                    </a:stretch>
                  </pic:blipFill>
                  <pic:spPr bwMode="auto">
                    <a:xfrm>
                      <a:off x="0" y="0"/>
                      <a:ext cx="3955173" cy="3082963"/>
                    </a:xfrm>
                    <a:prstGeom prst="rect">
                      <a:avLst/>
                    </a:prstGeom>
                    <a:noFill/>
                    <a:ln w="9525">
                      <a:noFill/>
                      <a:headEnd/>
                      <a:tailEnd/>
                    </a:ln>
                  </pic:spPr>
                </pic:pic>
              </a:graphicData>
            </a:graphic>
          </wp:inline>
        </w:drawing>
      </w:r>
    </w:p>
    <w:p w:rsidR="00FC67AD" w:rsidRDefault="00FC67AD" w:rsidP="00FC67AD">
      <w:r>
        <w:t>Figure S</w:t>
      </w:r>
      <w:r w:rsidR="0079789D">
        <w:t>6</w:t>
      </w:r>
      <w:r>
        <w:t xml:space="preserve"> – Chow test plot of OS for pembrolizumab + chemotherapy</w:t>
      </w:r>
    </w:p>
    <w:p w:rsidR="00FC67AD" w:rsidRDefault="00FC67AD" w:rsidP="00FC67AD">
      <w:r>
        <w:rPr>
          <w:noProof/>
        </w:rPr>
        <w:drawing>
          <wp:inline distT="0" distB="0" distL="0" distR="0" wp14:anchorId="4F54ACB9" wp14:editId="7E731663">
            <wp:extent cx="3416060" cy="34160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6534" cy="3416534"/>
                    </a:xfrm>
                    <a:prstGeom prst="rect">
                      <a:avLst/>
                    </a:prstGeom>
                    <a:noFill/>
                  </pic:spPr>
                </pic:pic>
              </a:graphicData>
            </a:graphic>
          </wp:inline>
        </w:drawing>
      </w:r>
    </w:p>
    <w:p w:rsidR="00FC67AD" w:rsidRDefault="00FC67AD" w:rsidP="00FC67AD"/>
    <w:p w:rsidR="00FC67AD" w:rsidRDefault="00FC67AD" w:rsidP="00FC67AD"/>
    <w:p w:rsidR="00FC67AD" w:rsidRDefault="00FC67AD" w:rsidP="00FC67AD">
      <w:r>
        <w:t>Figure S</w:t>
      </w:r>
      <w:r w:rsidR="0079789D">
        <w:t>7</w:t>
      </w:r>
      <w:r>
        <w:t xml:space="preserve"> – Chow test plot of OS for chemotherapy </w:t>
      </w:r>
    </w:p>
    <w:p w:rsidR="00FC67AD" w:rsidRDefault="00FC67AD" w:rsidP="00FC67AD">
      <w:r>
        <w:rPr>
          <w:noProof/>
        </w:rPr>
        <w:drawing>
          <wp:inline distT="0" distB="0" distL="0" distR="0" wp14:anchorId="202EC45C" wp14:editId="3D2FC295">
            <wp:extent cx="3364302" cy="3364302"/>
            <wp:effectExtent l="0" t="0" r="762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4769" cy="3364769"/>
                    </a:xfrm>
                    <a:prstGeom prst="rect">
                      <a:avLst/>
                    </a:prstGeom>
                    <a:noFill/>
                  </pic:spPr>
                </pic:pic>
              </a:graphicData>
            </a:graphic>
          </wp:inline>
        </w:drawing>
      </w:r>
    </w:p>
    <w:p w:rsidR="008A784F" w:rsidRDefault="008A784F" w:rsidP="00FC67AD">
      <w:pPr>
        <w:tabs>
          <w:tab w:val="left" w:pos="2085"/>
        </w:tabs>
        <w:rPr>
          <w:sz w:val="28"/>
          <w:szCs w:val="28"/>
        </w:rPr>
      </w:pPr>
    </w:p>
    <w:p w:rsidR="008A784F" w:rsidRDefault="008A784F" w:rsidP="00FC67AD">
      <w:pPr>
        <w:tabs>
          <w:tab w:val="left" w:pos="2085"/>
        </w:tabs>
        <w:rPr>
          <w:sz w:val="28"/>
          <w:szCs w:val="28"/>
        </w:rPr>
      </w:pPr>
    </w:p>
    <w:p w:rsidR="00951913" w:rsidRPr="0054258D" w:rsidRDefault="008A784F" w:rsidP="00951913">
      <w:pPr>
        <w:jc w:val="center"/>
        <w:rPr>
          <w:rFonts w:ascii="Calibri" w:hAnsi="Calibri"/>
          <w:b/>
          <w:szCs w:val="28"/>
          <w:u w:val="single"/>
        </w:rPr>
      </w:pPr>
      <w:r>
        <w:rPr>
          <w:sz w:val="28"/>
          <w:szCs w:val="28"/>
        </w:rPr>
        <w:fldChar w:fldCharType="begin"/>
      </w:r>
      <w:r>
        <w:rPr>
          <w:sz w:val="28"/>
          <w:szCs w:val="28"/>
        </w:rPr>
        <w:instrText xml:space="preserve"> ADDIN REFMGR.REFLIST </w:instrText>
      </w:r>
      <w:r>
        <w:rPr>
          <w:sz w:val="28"/>
          <w:szCs w:val="28"/>
        </w:rPr>
        <w:fldChar w:fldCharType="separate"/>
      </w:r>
      <w:r w:rsidR="00951913" w:rsidRPr="0054258D">
        <w:rPr>
          <w:rFonts w:ascii="Calibri" w:hAnsi="Calibri"/>
          <w:b/>
          <w:szCs w:val="28"/>
          <w:u w:val="single"/>
        </w:rPr>
        <w:t>Reference List</w:t>
      </w:r>
    </w:p>
    <w:p w:rsidR="00951913" w:rsidRPr="00951913" w:rsidRDefault="00951913" w:rsidP="00951913">
      <w:pPr>
        <w:jc w:val="center"/>
        <w:rPr>
          <w:rFonts w:ascii="Calibri" w:hAnsi="Calibri"/>
          <w:szCs w:val="28"/>
        </w:rPr>
      </w:pPr>
    </w:p>
    <w:p w:rsidR="00951913" w:rsidRDefault="00951913" w:rsidP="0054258D">
      <w:pPr>
        <w:tabs>
          <w:tab w:val="right" w:pos="360"/>
          <w:tab w:val="left" w:pos="540"/>
        </w:tabs>
        <w:spacing w:after="0" w:line="240" w:lineRule="auto"/>
        <w:ind w:left="540" w:hanging="540"/>
        <w:rPr>
          <w:rFonts w:ascii="Calibri" w:hAnsi="Calibri"/>
          <w:szCs w:val="28"/>
        </w:rPr>
      </w:pPr>
      <w:r w:rsidRPr="00951913">
        <w:rPr>
          <w:rFonts w:ascii="Calibri" w:hAnsi="Calibri"/>
          <w:szCs w:val="28"/>
        </w:rPr>
        <w:tab/>
        <w:t xml:space="preserve">1. </w:t>
      </w:r>
      <w:r w:rsidRPr="00951913">
        <w:rPr>
          <w:rFonts w:ascii="Calibri" w:hAnsi="Calibri"/>
          <w:szCs w:val="28"/>
        </w:rPr>
        <w:tab/>
      </w:r>
      <w:hyperlink r:id="rId15" w:history="1">
        <w:r w:rsidRPr="00951913">
          <w:rPr>
            <w:rStyle w:val="Hyperlink"/>
            <w:rFonts w:ascii="Calibri" w:hAnsi="Calibri"/>
            <w:szCs w:val="28"/>
          </w:rPr>
          <w:t>www.analysource.com,</w:t>
        </w:r>
      </w:hyperlink>
      <w:r w:rsidRPr="00951913">
        <w:rPr>
          <w:rFonts w:ascii="Calibri" w:hAnsi="Calibri"/>
          <w:szCs w:val="28"/>
        </w:rPr>
        <w:t xml:space="preserve"> February 2018.  </w:t>
      </w:r>
    </w:p>
    <w:p w:rsidR="0054258D" w:rsidRPr="00951913" w:rsidRDefault="0054258D" w:rsidP="0054258D">
      <w:pPr>
        <w:tabs>
          <w:tab w:val="right" w:pos="360"/>
          <w:tab w:val="left" w:pos="540"/>
        </w:tabs>
        <w:spacing w:after="0" w:line="240" w:lineRule="auto"/>
        <w:ind w:left="540" w:hanging="540"/>
        <w:rPr>
          <w:rFonts w:ascii="Calibri" w:hAnsi="Calibri"/>
          <w:szCs w:val="28"/>
        </w:rPr>
      </w:pPr>
    </w:p>
    <w:p w:rsidR="00951913" w:rsidRPr="00951913" w:rsidRDefault="00951913" w:rsidP="00951913">
      <w:pPr>
        <w:tabs>
          <w:tab w:val="right" w:pos="360"/>
          <w:tab w:val="left" w:pos="540"/>
        </w:tabs>
        <w:spacing w:after="0" w:line="240" w:lineRule="auto"/>
        <w:ind w:left="540" w:hanging="540"/>
        <w:rPr>
          <w:rFonts w:ascii="Calibri" w:hAnsi="Calibri"/>
          <w:szCs w:val="28"/>
        </w:rPr>
      </w:pPr>
      <w:r w:rsidRPr="00951913">
        <w:rPr>
          <w:rFonts w:ascii="Calibri" w:hAnsi="Calibri"/>
          <w:szCs w:val="28"/>
        </w:rPr>
        <w:tab/>
        <w:t xml:space="preserve">2. </w:t>
      </w:r>
      <w:r w:rsidRPr="00951913">
        <w:rPr>
          <w:rFonts w:ascii="Calibri" w:hAnsi="Calibri"/>
          <w:szCs w:val="28"/>
        </w:rPr>
        <w:tab/>
        <w:t>Langer CJ, Gadgeel SM, Borghaei H et al. Carboplatin and pemetrexed with or without pembrolizumab for advanced, non-squamous non-small-cell lung cancer: a randomised, phase 2 cohort of the open-label KEYNOTE-021 study. Lancet Oncol 2016;17(11):1497-1508.</w:t>
      </w:r>
    </w:p>
    <w:p w:rsidR="00951913" w:rsidRPr="00951913" w:rsidRDefault="00951913" w:rsidP="00951913">
      <w:pPr>
        <w:tabs>
          <w:tab w:val="right" w:pos="360"/>
          <w:tab w:val="left" w:pos="540"/>
        </w:tabs>
        <w:spacing w:after="0" w:line="240" w:lineRule="auto"/>
        <w:ind w:left="540" w:hanging="540"/>
        <w:rPr>
          <w:rFonts w:ascii="Calibri" w:hAnsi="Calibri"/>
          <w:szCs w:val="28"/>
        </w:rPr>
      </w:pPr>
    </w:p>
    <w:p w:rsidR="00F516AC" w:rsidRPr="00FC67AD" w:rsidRDefault="008A784F" w:rsidP="00951913">
      <w:pPr>
        <w:tabs>
          <w:tab w:val="right" w:pos="360"/>
          <w:tab w:val="left" w:pos="540"/>
        </w:tabs>
        <w:spacing w:after="0" w:line="240" w:lineRule="auto"/>
        <w:ind w:left="540" w:hanging="540"/>
        <w:rPr>
          <w:sz w:val="28"/>
          <w:szCs w:val="28"/>
        </w:rPr>
      </w:pPr>
      <w:r>
        <w:rPr>
          <w:sz w:val="28"/>
          <w:szCs w:val="28"/>
        </w:rPr>
        <w:fldChar w:fldCharType="end"/>
      </w:r>
    </w:p>
    <w:sectPr w:rsidR="00F516AC" w:rsidRPr="00FC67A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309" w:rsidRDefault="00F42309" w:rsidP="00FC67AD">
      <w:pPr>
        <w:spacing w:after="0" w:line="240" w:lineRule="auto"/>
      </w:pPr>
      <w:r>
        <w:separator/>
      </w:r>
    </w:p>
  </w:endnote>
  <w:endnote w:type="continuationSeparator" w:id="0">
    <w:p w:rsidR="00F42309" w:rsidRDefault="00F42309" w:rsidP="00FC6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8C" w:rsidRDefault="007C1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81359"/>
      <w:docPartObj>
        <w:docPartGallery w:val="Page Numbers (Bottom of Page)"/>
        <w:docPartUnique/>
      </w:docPartObj>
    </w:sdtPr>
    <w:sdtEndPr>
      <w:rPr>
        <w:noProof/>
      </w:rPr>
    </w:sdtEndPr>
    <w:sdtContent>
      <w:p w:rsidR="009727C1" w:rsidRDefault="009727C1">
        <w:pPr>
          <w:pStyle w:val="Footer"/>
          <w:jc w:val="center"/>
        </w:pPr>
        <w:r>
          <w:fldChar w:fldCharType="begin"/>
        </w:r>
        <w:r>
          <w:instrText xml:space="preserve"> PAGE   \* MERGEFORMAT </w:instrText>
        </w:r>
        <w:r>
          <w:fldChar w:fldCharType="separate"/>
        </w:r>
        <w:r w:rsidR="007C1B8C">
          <w:rPr>
            <w:noProof/>
          </w:rPr>
          <w:t>12</w:t>
        </w:r>
        <w:r>
          <w:rPr>
            <w:noProof/>
          </w:rPr>
          <w:fldChar w:fldCharType="end"/>
        </w:r>
      </w:p>
    </w:sdtContent>
  </w:sdt>
  <w:p w:rsidR="00F42309" w:rsidRDefault="007C1B8C">
    <w:pPr>
      <w:pStyle w:val="Foote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-153035</wp:posOffset>
          </wp:positionV>
          <wp:extent cx="811033" cy="326004"/>
          <wp:effectExtent l="0" t="0" r="8255" b="0"/>
          <wp:wrapNone/>
          <wp:docPr id="1"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033" cy="326004"/>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8C" w:rsidRDefault="007C1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309" w:rsidRDefault="00F42309" w:rsidP="00FC67AD">
      <w:pPr>
        <w:spacing w:after="0" w:line="240" w:lineRule="auto"/>
      </w:pPr>
      <w:r>
        <w:separator/>
      </w:r>
    </w:p>
  </w:footnote>
  <w:footnote w:type="continuationSeparator" w:id="0">
    <w:p w:rsidR="00F42309" w:rsidRDefault="00F42309" w:rsidP="00FC6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8C" w:rsidRDefault="007C1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8C" w:rsidRDefault="007C1B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8C" w:rsidRDefault="007C1B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1&lt;/Enabled&gt;&lt;ScanUnformatted&gt;1&lt;/ScanUnformatted&gt;&lt;ScanChanges&gt;1&lt;/ScanChanges&gt;&lt;/InstantFormat&gt;"/>
    <w:docVar w:name="REFMGR.Libraries" w:val="&lt;Databases&gt;&lt;Libraries&gt;&lt;item&gt;nsclc&lt;/item&gt;&lt;/Libraries&gt;&lt;/Databases&gt;"/>
  </w:docVars>
  <w:rsids>
    <w:rsidRoot w:val="00FC67AD"/>
    <w:rsid w:val="001A61AE"/>
    <w:rsid w:val="002F66AB"/>
    <w:rsid w:val="003F5F12"/>
    <w:rsid w:val="0044200F"/>
    <w:rsid w:val="005214BA"/>
    <w:rsid w:val="0054258D"/>
    <w:rsid w:val="006E09A1"/>
    <w:rsid w:val="0079789D"/>
    <w:rsid w:val="007C1B8C"/>
    <w:rsid w:val="007C2BA6"/>
    <w:rsid w:val="00824A1A"/>
    <w:rsid w:val="008A784F"/>
    <w:rsid w:val="00951913"/>
    <w:rsid w:val="009727C1"/>
    <w:rsid w:val="00AF680B"/>
    <w:rsid w:val="00B14C5B"/>
    <w:rsid w:val="00D458BD"/>
    <w:rsid w:val="00E16209"/>
    <w:rsid w:val="00E47E5F"/>
    <w:rsid w:val="00E7752A"/>
    <w:rsid w:val="00F42309"/>
    <w:rsid w:val="00F516AC"/>
    <w:rsid w:val="00F57C48"/>
    <w:rsid w:val="00FC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7AD"/>
  </w:style>
  <w:style w:type="paragraph" w:styleId="Footer">
    <w:name w:val="footer"/>
    <w:basedOn w:val="Normal"/>
    <w:link w:val="FooterChar"/>
    <w:uiPriority w:val="99"/>
    <w:unhideWhenUsed/>
    <w:rsid w:val="00FC6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7AD"/>
  </w:style>
  <w:style w:type="paragraph" w:styleId="BalloonText">
    <w:name w:val="Balloon Text"/>
    <w:basedOn w:val="Normal"/>
    <w:link w:val="BalloonTextChar"/>
    <w:uiPriority w:val="99"/>
    <w:semiHidden/>
    <w:unhideWhenUsed/>
    <w:rsid w:val="00FC6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7AD"/>
    <w:rPr>
      <w:rFonts w:ascii="Tahoma" w:hAnsi="Tahoma" w:cs="Tahoma"/>
      <w:sz w:val="16"/>
      <w:szCs w:val="16"/>
    </w:rPr>
  </w:style>
  <w:style w:type="paragraph" w:styleId="Caption">
    <w:name w:val="caption"/>
    <w:aliases w:val="- H17,Caption 3,TableCaption,Table caption"/>
    <w:basedOn w:val="Normal"/>
    <w:next w:val="Normal"/>
    <w:link w:val="CaptionChar"/>
    <w:unhideWhenUsed/>
    <w:qFormat/>
    <w:rsid w:val="00D458BD"/>
    <w:pPr>
      <w:spacing w:line="240" w:lineRule="auto"/>
    </w:pPr>
    <w:rPr>
      <w:b/>
      <w:bCs/>
      <w:color w:val="4F81BD" w:themeColor="accent1"/>
      <w:sz w:val="18"/>
      <w:szCs w:val="18"/>
    </w:rPr>
  </w:style>
  <w:style w:type="character" w:customStyle="1" w:styleId="CaptionChar">
    <w:name w:val="Caption Char"/>
    <w:aliases w:val="- H17 Char,Caption 3 Char,TableCaption Char,Table caption Char"/>
    <w:link w:val="Caption"/>
    <w:locked/>
    <w:rsid w:val="00D458BD"/>
    <w:rPr>
      <w:b/>
      <w:bCs/>
      <w:color w:val="4F81BD" w:themeColor="accent1"/>
      <w:sz w:val="18"/>
      <w:szCs w:val="18"/>
    </w:rPr>
  </w:style>
  <w:style w:type="character" w:styleId="Hyperlink">
    <w:name w:val="Hyperlink"/>
    <w:basedOn w:val="DefaultParagraphFont"/>
    <w:uiPriority w:val="99"/>
    <w:unhideWhenUsed/>
    <w:rsid w:val="008A784F"/>
    <w:rPr>
      <w:color w:val="0000FF" w:themeColor="hyperlink"/>
      <w:u w:val="single"/>
    </w:rPr>
  </w:style>
  <w:style w:type="paragraph" w:styleId="CommentText">
    <w:name w:val="annotation text"/>
    <w:basedOn w:val="Normal"/>
    <w:link w:val="CommentTextChar"/>
    <w:unhideWhenUsed/>
    <w:rsid w:val="00E7752A"/>
    <w:pPr>
      <w:spacing w:after="0" w:line="240" w:lineRule="auto"/>
    </w:pPr>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rsid w:val="00E7752A"/>
    <w:rPr>
      <w:rFonts w:ascii="Times New Roman" w:eastAsia="MS Mincho" w:hAnsi="Times New Roman" w:cs="Times New Roman"/>
      <w:sz w:val="20"/>
      <w:szCs w:val="20"/>
      <w:lang w:eastAsia="ja-JP"/>
    </w:rPr>
  </w:style>
  <w:style w:type="table" w:styleId="TableGrid">
    <w:name w:val="Table Grid"/>
    <w:basedOn w:val="TableNormal"/>
    <w:rsid w:val="00E7752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B14C5B"/>
    <w:pPr>
      <w:spacing w:after="0" w:line="240" w:lineRule="auto"/>
    </w:pPr>
    <w:rPr>
      <w:rFonts w:ascii="Arial" w:eastAsiaTheme="minorEastAsia" w:hAnsi="Arial"/>
      <w:sz w:val="24"/>
      <w:szCs w:val="24"/>
      <w:lang w:val="fr-FR"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9727C1"/>
    <w:pPr>
      <w:spacing w:after="0" w:line="240" w:lineRule="auto"/>
    </w:pPr>
    <w:rPr>
      <w:rFonts w:ascii="Arial" w:eastAsiaTheme="minorEastAsia" w:hAnsi="Arial"/>
      <w:sz w:val="24"/>
      <w:szCs w:val="24"/>
      <w:lang w:val="fr-FR"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7AD"/>
  </w:style>
  <w:style w:type="paragraph" w:styleId="Footer">
    <w:name w:val="footer"/>
    <w:basedOn w:val="Normal"/>
    <w:link w:val="FooterChar"/>
    <w:uiPriority w:val="99"/>
    <w:unhideWhenUsed/>
    <w:rsid w:val="00FC6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7AD"/>
  </w:style>
  <w:style w:type="paragraph" w:styleId="BalloonText">
    <w:name w:val="Balloon Text"/>
    <w:basedOn w:val="Normal"/>
    <w:link w:val="BalloonTextChar"/>
    <w:uiPriority w:val="99"/>
    <w:semiHidden/>
    <w:unhideWhenUsed/>
    <w:rsid w:val="00FC6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7AD"/>
    <w:rPr>
      <w:rFonts w:ascii="Tahoma" w:hAnsi="Tahoma" w:cs="Tahoma"/>
      <w:sz w:val="16"/>
      <w:szCs w:val="16"/>
    </w:rPr>
  </w:style>
  <w:style w:type="paragraph" w:styleId="Caption">
    <w:name w:val="caption"/>
    <w:aliases w:val="- H17,Caption 3,TableCaption,Table caption"/>
    <w:basedOn w:val="Normal"/>
    <w:next w:val="Normal"/>
    <w:link w:val="CaptionChar"/>
    <w:unhideWhenUsed/>
    <w:qFormat/>
    <w:rsid w:val="00D458BD"/>
    <w:pPr>
      <w:spacing w:line="240" w:lineRule="auto"/>
    </w:pPr>
    <w:rPr>
      <w:b/>
      <w:bCs/>
      <w:color w:val="4F81BD" w:themeColor="accent1"/>
      <w:sz w:val="18"/>
      <w:szCs w:val="18"/>
    </w:rPr>
  </w:style>
  <w:style w:type="character" w:customStyle="1" w:styleId="CaptionChar">
    <w:name w:val="Caption Char"/>
    <w:aliases w:val="- H17 Char,Caption 3 Char,TableCaption Char,Table caption Char"/>
    <w:link w:val="Caption"/>
    <w:locked/>
    <w:rsid w:val="00D458BD"/>
    <w:rPr>
      <w:b/>
      <w:bCs/>
      <w:color w:val="4F81BD" w:themeColor="accent1"/>
      <w:sz w:val="18"/>
      <w:szCs w:val="18"/>
    </w:rPr>
  </w:style>
  <w:style w:type="character" w:styleId="Hyperlink">
    <w:name w:val="Hyperlink"/>
    <w:basedOn w:val="DefaultParagraphFont"/>
    <w:uiPriority w:val="99"/>
    <w:unhideWhenUsed/>
    <w:rsid w:val="008A784F"/>
    <w:rPr>
      <w:color w:val="0000FF" w:themeColor="hyperlink"/>
      <w:u w:val="single"/>
    </w:rPr>
  </w:style>
  <w:style w:type="paragraph" w:styleId="CommentText">
    <w:name w:val="annotation text"/>
    <w:basedOn w:val="Normal"/>
    <w:link w:val="CommentTextChar"/>
    <w:unhideWhenUsed/>
    <w:rsid w:val="00E7752A"/>
    <w:pPr>
      <w:spacing w:after="0" w:line="240" w:lineRule="auto"/>
    </w:pPr>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rsid w:val="00E7752A"/>
    <w:rPr>
      <w:rFonts w:ascii="Times New Roman" w:eastAsia="MS Mincho" w:hAnsi="Times New Roman" w:cs="Times New Roman"/>
      <w:sz w:val="20"/>
      <w:szCs w:val="20"/>
      <w:lang w:eastAsia="ja-JP"/>
    </w:rPr>
  </w:style>
  <w:style w:type="table" w:styleId="TableGrid">
    <w:name w:val="Table Grid"/>
    <w:basedOn w:val="TableNormal"/>
    <w:rsid w:val="00E7752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B14C5B"/>
    <w:pPr>
      <w:spacing w:after="0" w:line="240" w:lineRule="auto"/>
    </w:pPr>
    <w:rPr>
      <w:rFonts w:ascii="Arial" w:eastAsiaTheme="minorEastAsia" w:hAnsi="Arial"/>
      <w:sz w:val="24"/>
      <w:szCs w:val="24"/>
      <w:lang w:val="fr-FR"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9727C1"/>
    <w:pPr>
      <w:spacing w:after="0" w:line="240" w:lineRule="auto"/>
    </w:pPr>
    <w:rPr>
      <w:rFonts w:ascii="Arial" w:eastAsiaTheme="minorEastAsia" w:hAnsi="Arial"/>
      <w:sz w:val="24"/>
      <w:szCs w:val="24"/>
      <w:lang w:val="fr-FR"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analysource.co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id_classification_eusecret" value=""/>
  <element uid="cefbaa69-3bfa-4b56-8d22-6839cb7b06d0" value=""/>
</sisl>
</file>

<file path=customXml/itemProps1.xml><?xml version="1.0" encoding="utf-8"?>
<ds:datastoreItem xmlns:ds="http://schemas.openxmlformats.org/officeDocument/2006/customXml" ds:itemID="{80009A95-523F-4DDB-8C4B-089ECF7FD0F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12</Pages>
  <Words>2967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19841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Insinga</dc:creator>
  <cp:lastModifiedBy>Ralph Insinga</cp:lastModifiedBy>
  <cp:revision>19</cp:revision>
  <dcterms:created xsi:type="dcterms:W3CDTF">2018-06-11T17:41:00Z</dcterms:created>
  <dcterms:modified xsi:type="dcterms:W3CDTF">2018-08-22T12:08:00Z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f9f84413-314c-46c9-b279-d682e3012663</vt:lpwstr>
  </property>
  <property fmtid="{D5CDD505-2E9C-101B-9397-08002B2CF9AE}" pid="3" name="bjSaver">
    <vt:lpwstr>xZr1gAPAbdpaDLgtFyo+8sa/Hupoxh/h</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uid="id_classification_eusecret" value="" /&gt;&lt;element uid="cefbaa69-3bfa-4b56-8d22-6839cb7b06d0" value="" /&gt;&lt;/sisl&gt;</vt:lpwstr>
  </property>
  <property fmtid="{D5CDD505-2E9C-101B-9397-08002B2CF9AE}" pid="6" name="bjDocumentSecurityLabel">
    <vt:lpwstr>Confidential</vt:lpwstr>
  </property>
  <property fmtid="{D5CDD505-2E9C-101B-9397-08002B2CF9AE}" pid="7" name="MerckMetadataExchange">
    <vt:lpwstr>!$MRK@Confidential-Footer-Left</vt:lpwstr>
  </property>
  <property fmtid="{D5CDD505-2E9C-101B-9397-08002B2CF9AE}" pid="8" name="_AdHocReviewCycleID">
    <vt:i4>1521930067</vt:i4>
  </property>
  <property fmtid="{D5CDD505-2E9C-101B-9397-08002B2CF9AE}" pid="9" name="_NewReviewCycle">
    <vt:lpwstr/>
  </property>
  <property fmtid="{D5CDD505-2E9C-101B-9397-08002B2CF9AE}" pid="10" name="_EmailSubject">
    <vt:lpwstr>Manuscript ID JME-2018-0118-FT IMPORTANT Two Editorial Team Questions for Authors</vt:lpwstr>
  </property>
  <property fmtid="{D5CDD505-2E9C-101B-9397-08002B2CF9AE}" pid="11" name="_AuthorEmail">
    <vt:lpwstr>ralph_insinga@merck.com</vt:lpwstr>
  </property>
  <property fmtid="{D5CDD505-2E9C-101B-9397-08002B2CF9AE}" pid="12" name="_AuthorEmailDisplayName">
    <vt:lpwstr>Insinga, Ralph P.</vt:lpwstr>
  </property>
</Properties>
</file>