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CF" w:rsidRPr="00BA0CE0" w:rsidRDefault="00AF4ACF" w:rsidP="003D7C48">
      <w:pPr>
        <w:autoSpaceDE w:val="0"/>
        <w:autoSpaceDN w:val="0"/>
        <w:adjustRightInd w:val="0"/>
        <w:spacing w:before="0" w:line="360" w:lineRule="auto"/>
        <w:rPr>
          <w:rFonts w:eastAsia="Calibri" w:cs="Times New Roman"/>
          <w:b/>
          <w:bCs/>
          <w:szCs w:val="24"/>
        </w:rPr>
      </w:pPr>
      <w:r w:rsidRPr="00BA0CE0">
        <w:rPr>
          <w:rFonts w:eastAsia="Calibri" w:cs="Times New Roman"/>
          <w:b/>
          <w:bCs/>
          <w:szCs w:val="24"/>
        </w:rPr>
        <w:t>Supporting Information</w:t>
      </w:r>
    </w:p>
    <w:p w:rsidR="00AD7D43" w:rsidRPr="00BA0CE0" w:rsidRDefault="00AD7D43" w:rsidP="00AD7D43">
      <w:pPr>
        <w:rPr>
          <w:bCs/>
        </w:rPr>
      </w:pPr>
      <w:r w:rsidRPr="00BA0CE0">
        <w:rPr>
          <w:b/>
          <w:sz w:val="32"/>
          <w:szCs w:val="32"/>
        </w:rPr>
        <w:t>Kinetics, Thermodynamics and Metal Separation Studies of Transition (Co</w:t>
      </w:r>
      <w:r w:rsidRPr="00BA0CE0">
        <w:rPr>
          <w:b/>
          <w:sz w:val="32"/>
          <w:szCs w:val="32"/>
          <w:vertAlign w:val="superscript"/>
        </w:rPr>
        <w:t>2+</w:t>
      </w:r>
      <w:r w:rsidRPr="00BA0CE0">
        <w:rPr>
          <w:b/>
          <w:sz w:val="32"/>
          <w:szCs w:val="32"/>
        </w:rPr>
        <w:t>, Ni</w:t>
      </w:r>
      <w:r w:rsidRPr="00BA0CE0">
        <w:rPr>
          <w:b/>
          <w:sz w:val="32"/>
          <w:szCs w:val="32"/>
          <w:vertAlign w:val="superscript"/>
        </w:rPr>
        <w:t>2+</w:t>
      </w:r>
      <w:r w:rsidRPr="00BA0CE0">
        <w:rPr>
          <w:b/>
          <w:sz w:val="32"/>
          <w:szCs w:val="32"/>
        </w:rPr>
        <w:t>, Cu</w:t>
      </w:r>
      <w:r w:rsidRPr="00BA0CE0">
        <w:rPr>
          <w:b/>
          <w:sz w:val="32"/>
          <w:szCs w:val="32"/>
          <w:vertAlign w:val="superscript"/>
        </w:rPr>
        <w:t>2+</w:t>
      </w:r>
      <w:r w:rsidRPr="00BA0CE0">
        <w:rPr>
          <w:b/>
          <w:sz w:val="32"/>
          <w:szCs w:val="32"/>
        </w:rPr>
        <w:t>, Zn</w:t>
      </w:r>
      <w:r w:rsidRPr="00BA0CE0">
        <w:rPr>
          <w:b/>
          <w:sz w:val="32"/>
          <w:szCs w:val="32"/>
          <w:vertAlign w:val="superscript"/>
        </w:rPr>
        <w:t>2+</w:t>
      </w:r>
      <w:r w:rsidRPr="00BA0CE0">
        <w:rPr>
          <w:b/>
          <w:sz w:val="32"/>
          <w:szCs w:val="32"/>
        </w:rPr>
        <w:t>)  and Heavy Metal ions       (Cd</w:t>
      </w:r>
      <w:r w:rsidRPr="00BA0CE0">
        <w:rPr>
          <w:b/>
          <w:sz w:val="32"/>
          <w:szCs w:val="32"/>
          <w:vertAlign w:val="superscript"/>
        </w:rPr>
        <w:t>2+</w:t>
      </w:r>
      <w:r w:rsidRPr="00BA0CE0">
        <w:rPr>
          <w:b/>
          <w:sz w:val="32"/>
          <w:szCs w:val="32"/>
        </w:rPr>
        <w:t>, Hg</w:t>
      </w:r>
      <w:r w:rsidRPr="00BA0CE0">
        <w:rPr>
          <w:b/>
          <w:sz w:val="32"/>
          <w:szCs w:val="32"/>
          <w:vertAlign w:val="superscript"/>
        </w:rPr>
        <w:t>2+</w:t>
      </w:r>
      <w:r w:rsidRPr="00BA0CE0">
        <w:rPr>
          <w:b/>
          <w:sz w:val="32"/>
          <w:szCs w:val="32"/>
        </w:rPr>
        <w:t>, Pb</w:t>
      </w:r>
      <w:r w:rsidRPr="00BA0CE0">
        <w:rPr>
          <w:b/>
          <w:sz w:val="32"/>
          <w:szCs w:val="32"/>
          <w:vertAlign w:val="superscript"/>
        </w:rPr>
        <w:t>2+</w:t>
      </w:r>
      <w:r w:rsidRPr="00BA0CE0">
        <w:rPr>
          <w:b/>
          <w:sz w:val="32"/>
          <w:szCs w:val="32"/>
        </w:rPr>
        <w:t>) Using Novel Hybrid Ion Exchanger- Zirconium Amino tris methylene phosphonic acid</w:t>
      </w:r>
    </w:p>
    <w:p w:rsidR="00FA1690" w:rsidRPr="00BA0CE0" w:rsidRDefault="00FA1690" w:rsidP="003D7C48">
      <w:pPr>
        <w:spacing w:before="0" w:line="360" w:lineRule="auto"/>
        <w:ind w:right="-54"/>
        <w:rPr>
          <w:vertAlign w:val="superscript"/>
        </w:rPr>
      </w:pPr>
      <w:r w:rsidRPr="00BA0CE0">
        <w:rPr>
          <w:bCs/>
          <w:szCs w:val="24"/>
        </w:rPr>
        <w:t>Brijesh Shah</w:t>
      </w:r>
      <w:r w:rsidRPr="00BA0CE0">
        <w:rPr>
          <w:vertAlign w:val="superscript"/>
        </w:rPr>
        <w:t>#</w:t>
      </w:r>
      <w:r w:rsidRPr="00BA0CE0">
        <w:rPr>
          <w:bCs/>
          <w:szCs w:val="24"/>
        </w:rPr>
        <w:t xml:space="preserve"> and Uma chudasama</w:t>
      </w:r>
      <w:r w:rsidRPr="00BA0CE0">
        <w:rPr>
          <w:bCs/>
          <w:szCs w:val="24"/>
          <w:vertAlign w:val="superscript"/>
        </w:rPr>
        <w:t>*</w:t>
      </w:r>
    </w:p>
    <w:p w:rsidR="00FA1690" w:rsidRPr="00BA0CE0" w:rsidRDefault="00FA1690" w:rsidP="006432F7">
      <w:pPr>
        <w:pStyle w:val="WW-Default"/>
        <w:spacing w:line="276" w:lineRule="auto"/>
        <w:jc w:val="center"/>
        <w:rPr>
          <w:iCs/>
        </w:rPr>
      </w:pPr>
      <w:r w:rsidRPr="00BA0CE0">
        <w:rPr>
          <w:vertAlign w:val="superscript"/>
        </w:rPr>
        <w:t>*</w:t>
      </w:r>
      <w:r w:rsidRPr="00BA0CE0">
        <w:t xml:space="preserve">Applied Chemistry Department,  Faculty of Technology and Engineering,  The M. S. University of Baroda, Post Box No. 51, Kalabhavan,  Vadodara - 390 001, Gujarat, India.  Email: </w:t>
      </w:r>
      <w:hyperlink r:id="rId7" w:history="1">
        <w:r w:rsidRPr="00BA0CE0">
          <w:rPr>
            <w:rStyle w:val="Hyperlink"/>
          </w:rPr>
          <w:t>uvcres@gmail.com</w:t>
        </w:r>
      </w:hyperlink>
      <w:r w:rsidRPr="00BA0CE0">
        <w:t xml:space="preserve"> </w:t>
      </w:r>
    </w:p>
    <w:p w:rsidR="00FA1690" w:rsidRPr="00BA0CE0" w:rsidRDefault="00FA1690" w:rsidP="006432F7">
      <w:pPr>
        <w:spacing w:before="0" w:line="276" w:lineRule="auto"/>
        <w:rPr>
          <w:szCs w:val="24"/>
        </w:rPr>
      </w:pPr>
      <w:r w:rsidRPr="00BA0CE0">
        <w:rPr>
          <w:szCs w:val="24"/>
          <w:vertAlign w:val="superscript"/>
        </w:rPr>
        <w:t>#</w:t>
      </w:r>
      <w:r w:rsidRPr="00BA0CE0">
        <w:rPr>
          <w:szCs w:val="24"/>
        </w:rPr>
        <w:t>Present Address - School of Liberal Studies and Edu</w:t>
      </w:r>
      <w:r w:rsidR="00DC10A9" w:rsidRPr="00BA0CE0">
        <w:rPr>
          <w:szCs w:val="24"/>
        </w:rPr>
        <w:t>cations, Navrachana University,</w:t>
      </w:r>
      <w:r w:rsidRPr="00BA0CE0">
        <w:rPr>
          <w:szCs w:val="24"/>
        </w:rPr>
        <w:t xml:space="preserve">Vadodara 391 410, Gujarat, India  Email id: </w:t>
      </w:r>
      <w:hyperlink r:id="rId8" w:history="1">
        <w:r w:rsidRPr="00BA0CE0">
          <w:rPr>
            <w:rStyle w:val="Hyperlink"/>
            <w:szCs w:val="24"/>
          </w:rPr>
          <w:t>brijeshkumars@nuv.ac.in</w:t>
        </w:r>
      </w:hyperlink>
      <w:r w:rsidRPr="00BA0CE0">
        <w:rPr>
          <w:szCs w:val="24"/>
        </w:rPr>
        <w:t xml:space="preserve">  &amp; </w:t>
      </w:r>
      <w:hyperlink r:id="rId9" w:history="1">
        <w:r w:rsidRPr="00BA0CE0">
          <w:rPr>
            <w:rStyle w:val="Hyperlink"/>
            <w:szCs w:val="24"/>
          </w:rPr>
          <w:t>brijeshshah27@gmail.com</w:t>
        </w:r>
      </w:hyperlink>
    </w:p>
    <w:p w:rsidR="005045E6" w:rsidRPr="00BA0CE0" w:rsidRDefault="005045E6" w:rsidP="00DB6D52">
      <w:pPr>
        <w:spacing w:before="0" w:line="360" w:lineRule="auto"/>
        <w:rPr>
          <w:b/>
          <w:i/>
          <w:u w:val="single"/>
        </w:rPr>
      </w:pPr>
      <w:r w:rsidRPr="00BA0CE0">
        <w:rPr>
          <w:b/>
          <w:i/>
          <w:u w:val="single"/>
        </w:rPr>
        <w:t>Section-1 Table Captions</w:t>
      </w:r>
    </w:p>
    <w:p w:rsidR="002230EE" w:rsidRPr="00BA0CE0" w:rsidRDefault="00533B41" w:rsidP="002230EE">
      <w:pPr>
        <w:spacing w:line="360" w:lineRule="auto"/>
        <w:jc w:val="both"/>
      </w:pPr>
      <w:r w:rsidRPr="00BA0CE0">
        <w:rPr>
          <w:b/>
        </w:rPr>
        <w:t>Table-S1</w:t>
      </w:r>
      <w:r w:rsidRPr="00BA0CE0">
        <w:t>:</w:t>
      </w:r>
      <w:r w:rsidRPr="00BA0CE0">
        <w:rPr>
          <w:color w:val="FF0000"/>
        </w:rPr>
        <w:t xml:space="preserve"> </w:t>
      </w:r>
      <w:r w:rsidR="002230EE" w:rsidRPr="00BA0CE0">
        <w:t>Parameters optimized for synthesis of Zr</w:t>
      </w:r>
      <w:r w:rsidR="0084077C" w:rsidRPr="00BA0CE0">
        <w:t>-</w:t>
      </w:r>
      <w:r w:rsidR="002230EE" w:rsidRPr="00BA0CE0">
        <w:t>ATMP</w:t>
      </w:r>
      <w:r w:rsidR="00B67254" w:rsidRPr="00BA0CE0">
        <w:t xml:space="preserve"> [</w:t>
      </w:r>
      <w:r w:rsidR="0005314C" w:rsidRPr="00BA0CE0">
        <w:t>Shah et al. 2012</w:t>
      </w:r>
      <w:r w:rsidR="00B67254" w:rsidRPr="00BA0CE0">
        <w:t>]</w:t>
      </w:r>
    </w:p>
    <w:tbl>
      <w:tblPr>
        <w:tblStyle w:val="TableGrid"/>
        <w:tblW w:w="5218"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72" w:type="dxa"/>
          <w:right w:w="72" w:type="dxa"/>
        </w:tblCellMar>
        <w:tblLook w:val="01E0"/>
      </w:tblPr>
      <w:tblGrid>
        <w:gridCol w:w="1632"/>
        <w:gridCol w:w="567"/>
        <w:gridCol w:w="1560"/>
        <w:gridCol w:w="1558"/>
        <w:gridCol w:w="1418"/>
        <w:gridCol w:w="991"/>
        <w:gridCol w:w="854"/>
        <w:gridCol w:w="990"/>
      </w:tblGrid>
      <w:tr w:rsidR="002230EE" w:rsidRPr="00BA0CE0" w:rsidTr="006C3D6A">
        <w:trPr>
          <w:trHeight w:val="746"/>
        </w:trPr>
        <w:tc>
          <w:tcPr>
            <w:tcW w:w="853"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Parameters</w:t>
            </w:r>
          </w:p>
        </w:tc>
        <w:tc>
          <w:tcPr>
            <w:tcW w:w="296"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No</w:t>
            </w:r>
          </w:p>
        </w:tc>
        <w:tc>
          <w:tcPr>
            <w:tcW w:w="815"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Mole ratio</w:t>
            </w: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Metal: Anion</w:t>
            </w: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(M)</w:t>
            </w:r>
          </w:p>
        </w:tc>
        <w:tc>
          <w:tcPr>
            <w:tcW w:w="814"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Volume ratio</w:t>
            </w: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Metal: Anion</w:t>
            </w: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(mL)</w:t>
            </w:r>
          </w:p>
        </w:tc>
        <w:tc>
          <w:tcPr>
            <w:tcW w:w="741"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Temperature</w:t>
            </w:r>
          </w:p>
          <w:p w:rsidR="002230EE" w:rsidRPr="00BA0CE0" w:rsidRDefault="002230EE" w:rsidP="00A96009">
            <w:pPr>
              <w:spacing w:line="360" w:lineRule="auto"/>
              <w:jc w:val="center"/>
              <w:rPr>
                <w:rFonts w:ascii="Times New Roman" w:hAnsi="Times New Roman" w:cs="Times New Roman"/>
                <w:sz w:val="24"/>
                <w:szCs w:val="24"/>
              </w:rPr>
            </w:pP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(ºC)</w:t>
            </w:r>
          </w:p>
        </w:tc>
        <w:tc>
          <w:tcPr>
            <w:tcW w:w="518"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Stirring Time</w:t>
            </w: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(h)</w:t>
            </w:r>
          </w:p>
        </w:tc>
        <w:tc>
          <w:tcPr>
            <w:tcW w:w="446"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Aging Time</w:t>
            </w: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(h)</w:t>
            </w:r>
          </w:p>
        </w:tc>
        <w:tc>
          <w:tcPr>
            <w:tcW w:w="517" w:type="pct"/>
            <w:tcBorders>
              <w:top w:val="single" w:sz="4" w:space="0" w:color="auto"/>
              <w:bottom w:val="single" w:sz="4" w:space="0" w:color="auto"/>
            </w:tcBorders>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IEC</w:t>
            </w:r>
          </w:p>
          <w:p w:rsidR="002230EE" w:rsidRPr="00BA0CE0" w:rsidRDefault="002230EE" w:rsidP="00A96009">
            <w:pPr>
              <w:spacing w:line="360" w:lineRule="auto"/>
              <w:jc w:val="center"/>
              <w:rPr>
                <w:rFonts w:ascii="Times New Roman" w:hAnsi="Times New Roman" w:cs="Times New Roman"/>
                <w:sz w:val="24"/>
                <w:szCs w:val="24"/>
              </w:rPr>
            </w:pPr>
          </w:p>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(meq/g)</w:t>
            </w:r>
          </w:p>
        </w:tc>
      </w:tr>
      <w:tr w:rsidR="002230EE" w:rsidRPr="00BA0CE0" w:rsidTr="006C3D6A">
        <w:tc>
          <w:tcPr>
            <w:tcW w:w="853"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Concentration</w:t>
            </w:r>
          </w:p>
        </w:tc>
        <w:tc>
          <w:tcPr>
            <w:tcW w:w="296"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w:t>
            </w:r>
          </w:p>
        </w:tc>
        <w:tc>
          <w:tcPr>
            <w:tcW w:w="815"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0.1-0.1</w:t>
            </w:r>
          </w:p>
        </w:tc>
        <w:tc>
          <w:tcPr>
            <w:tcW w:w="814"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 : 50</w:t>
            </w:r>
          </w:p>
        </w:tc>
        <w:tc>
          <w:tcPr>
            <w:tcW w:w="741" w:type="pct"/>
            <w:tcBorders>
              <w:top w:val="single" w:sz="4" w:space="0" w:color="auto"/>
            </w:tcBorders>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517" w:type="pct"/>
            <w:tcBorders>
              <w:top w:val="single" w:sz="4" w:space="0" w:color="auto"/>
            </w:tcBorders>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3.19</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b/>
                <w:sz w:val="24"/>
                <w:szCs w:val="24"/>
              </w:rPr>
            </w:pPr>
          </w:p>
        </w:tc>
        <w:tc>
          <w:tcPr>
            <w:tcW w:w="296" w:type="pct"/>
            <w:vAlign w:val="center"/>
          </w:tcPr>
          <w:p w:rsidR="002230EE" w:rsidRPr="00BA0CE0" w:rsidRDefault="002230EE" w:rsidP="00A96009">
            <w:pPr>
              <w:pStyle w:val="NoSpacing"/>
              <w:spacing w:line="360" w:lineRule="auto"/>
              <w:jc w:val="center"/>
              <w:rPr>
                <w:rFonts w:ascii="Times New Roman" w:hAnsi="Times New Roman"/>
                <w:b/>
                <w:sz w:val="24"/>
                <w:szCs w:val="24"/>
              </w:rPr>
            </w:pPr>
            <w:r w:rsidRPr="00BA0CE0">
              <w:rPr>
                <w:rFonts w:ascii="Times New Roman" w:hAnsi="Times New Roman"/>
                <w:b/>
                <w:sz w:val="24"/>
                <w:szCs w:val="24"/>
              </w:rPr>
              <w:t>2</w:t>
            </w:r>
          </w:p>
        </w:tc>
        <w:tc>
          <w:tcPr>
            <w:tcW w:w="815" w:type="pct"/>
            <w:vAlign w:val="center"/>
          </w:tcPr>
          <w:p w:rsidR="002230EE" w:rsidRPr="00BA0CE0" w:rsidRDefault="002230EE" w:rsidP="00A96009">
            <w:pPr>
              <w:pStyle w:val="NoSpacing"/>
              <w:spacing w:line="360" w:lineRule="auto"/>
              <w:jc w:val="center"/>
              <w:rPr>
                <w:rFonts w:ascii="Times New Roman" w:hAnsi="Times New Roman"/>
                <w:b/>
                <w:sz w:val="24"/>
                <w:szCs w:val="24"/>
              </w:rPr>
            </w:pPr>
            <w:r w:rsidRPr="00BA0CE0">
              <w:rPr>
                <w:rFonts w:ascii="Times New Roman" w:hAnsi="Times New Roman"/>
                <w:b/>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b/>
                <w:sz w:val="24"/>
                <w:szCs w:val="24"/>
              </w:rPr>
            </w:pPr>
            <w:r w:rsidRPr="00BA0CE0">
              <w:rPr>
                <w:rFonts w:ascii="Times New Roman" w:hAnsi="Times New Roman"/>
                <w:b/>
                <w:sz w:val="24"/>
                <w:szCs w:val="24"/>
              </w:rPr>
              <w:t>50 : 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b/>
                <w:sz w:val="24"/>
                <w:szCs w:val="24"/>
              </w:rPr>
            </w:pPr>
            <w:r w:rsidRPr="00BA0CE0">
              <w:rPr>
                <w:rFonts w:ascii="Times New Roman" w:hAnsi="Times New Roman"/>
                <w:b/>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b/>
                <w:sz w:val="24"/>
                <w:szCs w:val="24"/>
              </w:rPr>
            </w:pPr>
            <w:r w:rsidRPr="00BA0CE0">
              <w:rPr>
                <w:rFonts w:ascii="Times New Roman" w:hAnsi="Times New Roman"/>
                <w:b/>
                <w:sz w:val="24"/>
                <w:szCs w:val="24"/>
              </w:rPr>
              <w:t>1 hr</w:t>
            </w:r>
          </w:p>
        </w:tc>
        <w:tc>
          <w:tcPr>
            <w:tcW w:w="517" w:type="pct"/>
            <w:vAlign w:val="center"/>
          </w:tcPr>
          <w:p w:rsidR="002230EE" w:rsidRPr="00BA0CE0" w:rsidRDefault="002230EE" w:rsidP="00A96009">
            <w:pPr>
              <w:pStyle w:val="NoSpacing"/>
              <w:spacing w:line="360" w:lineRule="auto"/>
              <w:jc w:val="center"/>
              <w:rPr>
                <w:rFonts w:ascii="Times New Roman" w:hAnsi="Times New Roman"/>
                <w:b/>
                <w:sz w:val="24"/>
                <w:szCs w:val="24"/>
              </w:rPr>
            </w:pPr>
            <w:r w:rsidRPr="00BA0CE0">
              <w:rPr>
                <w:rFonts w:ascii="Times New Roman" w:hAnsi="Times New Roman"/>
                <w:b/>
                <w:sz w:val="24"/>
                <w:szCs w:val="24"/>
              </w:rPr>
              <w:t>3.61</w:t>
            </w:r>
            <w:r w:rsidRPr="00BA0CE0">
              <w:rPr>
                <w:rFonts w:ascii="Times New Roman" w:hAnsi="Times New Roman"/>
                <w:sz w:val="24"/>
                <w:szCs w:val="24"/>
                <w:vertAlign w:val="superscript"/>
              </w:rPr>
              <w:t>*</w:t>
            </w:r>
            <w:r w:rsidRPr="00BA0CE0">
              <w:rPr>
                <w:rFonts w:ascii="Times New Roman" w:hAnsi="Times New Roman"/>
                <w:i/>
                <w:sz w:val="24"/>
                <w:szCs w:val="24"/>
                <w:vertAlign w:val="superscript"/>
              </w:rPr>
              <w:t>*</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0.2-0.1</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 : 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2.68</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Volume</w:t>
            </w: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4</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 : 100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2.46</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100 : 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2.24</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Temperature</w:t>
            </w: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6</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70</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3.19</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Aging Time</w:t>
            </w: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7</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15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2.99</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8</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2.84</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Stirring Time</w:t>
            </w: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9</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2.61</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10</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 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2.94</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pH</w:t>
            </w:r>
            <w:r w:rsidR="006F1311" w:rsidRPr="00BA0CE0">
              <w:rPr>
                <w:rFonts w:ascii="Times New Roman" w:hAnsi="Times New Roman"/>
                <w:sz w:val="24"/>
                <w:szCs w:val="24"/>
              </w:rPr>
              <w:t>=1</w:t>
            </w: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11</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 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3.09</w:t>
            </w:r>
          </w:p>
        </w:tc>
      </w:tr>
      <w:tr w:rsidR="002230EE" w:rsidRPr="00BA0CE0" w:rsidTr="006C3D6A">
        <w:tc>
          <w:tcPr>
            <w:tcW w:w="853"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Mode of addition</w:t>
            </w:r>
          </w:p>
        </w:tc>
        <w:tc>
          <w:tcPr>
            <w:tcW w:w="29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12</w:t>
            </w:r>
          </w:p>
        </w:tc>
        <w:tc>
          <w:tcPr>
            <w:tcW w:w="815"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0.1: 0.2</w:t>
            </w:r>
          </w:p>
        </w:tc>
        <w:tc>
          <w:tcPr>
            <w:tcW w:w="814"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50:50</w:t>
            </w:r>
          </w:p>
        </w:tc>
        <w:tc>
          <w:tcPr>
            <w:tcW w:w="741" w:type="pct"/>
            <w:vAlign w:val="center"/>
          </w:tcPr>
          <w:p w:rsidR="002230EE" w:rsidRPr="00BA0CE0" w:rsidRDefault="002230EE" w:rsidP="00A96009">
            <w:pPr>
              <w:spacing w:line="360" w:lineRule="auto"/>
              <w:jc w:val="center"/>
              <w:rPr>
                <w:rFonts w:ascii="Times New Roman" w:hAnsi="Times New Roman" w:cs="Times New Roman"/>
                <w:sz w:val="24"/>
                <w:szCs w:val="24"/>
              </w:rPr>
            </w:pPr>
            <w:r w:rsidRPr="00BA0CE0">
              <w:rPr>
                <w:rFonts w:ascii="Times New Roman" w:hAnsi="Times New Roman" w:cs="Times New Roman"/>
                <w:sz w:val="24"/>
                <w:szCs w:val="24"/>
              </w:rPr>
              <w:t>RT</w:t>
            </w:r>
          </w:p>
        </w:tc>
        <w:tc>
          <w:tcPr>
            <w:tcW w:w="518"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 hr</w:t>
            </w:r>
          </w:p>
        </w:tc>
        <w:tc>
          <w:tcPr>
            <w:tcW w:w="446"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1hr</w:t>
            </w:r>
          </w:p>
        </w:tc>
        <w:tc>
          <w:tcPr>
            <w:tcW w:w="517" w:type="pct"/>
            <w:vAlign w:val="center"/>
          </w:tcPr>
          <w:p w:rsidR="002230EE" w:rsidRPr="00BA0CE0" w:rsidRDefault="002230EE" w:rsidP="00A96009">
            <w:pPr>
              <w:pStyle w:val="NoSpacing"/>
              <w:spacing w:line="360" w:lineRule="auto"/>
              <w:jc w:val="center"/>
              <w:rPr>
                <w:rFonts w:ascii="Times New Roman" w:hAnsi="Times New Roman"/>
                <w:sz w:val="24"/>
                <w:szCs w:val="24"/>
              </w:rPr>
            </w:pPr>
            <w:r w:rsidRPr="00BA0CE0">
              <w:rPr>
                <w:rFonts w:ascii="Times New Roman" w:hAnsi="Times New Roman"/>
                <w:sz w:val="24"/>
                <w:szCs w:val="24"/>
              </w:rPr>
              <w:t>3.12*</w:t>
            </w:r>
          </w:p>
        </w:tc>
      </w:tr>
    </w:tbl>
    <w:p w:rsidR="002230EE" w:rsidRPr="00BA0CE0" w:rsidRDefault="002230EE" w:rsidP="002230EE">
      <w:pPr>
        <w:spacing w:before="0" w:line="240" w:lineRule="auto"/>
        <w:jc w:val="both"/>
        <w:rPr>
          <w:i/>
          <w:sz w:val="20"/>
        </w:rPr>
      </w:pPr>
      <w:r w:rsidRPr="00BA0CE0">
        <w:rPr>
          <w:i/>
          <w:sz w:val="20"/>
        </w:rPr>
        <w:t>*Change in mode of addition-ZrOCl</w:t>
      </w:r>
      <w:r w:rsidRPr="00BA0CE0">
        <w:rPr>
          <w:i/>
          <w:sz w:val="20"/>
          <w:vertAlign w:val="subscript"/>
        </w:rPr>
        <w:t>2</w:t>
      </w:r>
      <w:r w:rsidRPr="00BA0CE0">
        <w:rPr>
          <w:i/>
          <w:sz w:val="20"/>
        </w:rPr>
        <w:t xml:space="preserve"> to ATMP, RT = Room Temperature (25 ºC) </w:t>
      </w:r>
    </w:p>
    <w:p w:rsidR="00533B41" w:rsidRPr="00BA0CE0" w:rsidRDefault="002230EE" w:rsidP="002230EE">
      <w:pPr>
        <w:spacing w:before="0" w:line="240" w:lineRule="auto"/>
        <w:jc w:val="both"/>
        <w:rPr>
          <w:rFonts w:cs="Times New Roman"/>
          <w:b/>
          <w:i/>
          <w:sz w:val="20"/>
        </w:rPr>
      </w:pPr>
      <w:r w:rsidRPr="00BA0CE0">
        <w:rPr>
          <w:sz w:val="20"/>
        </w:rPr>
        <w:t>*</w:t>
      </w:r>
      <w:r w:rsidR="00533B41" w:rsidRPr="00BA0CE0">
        <w:rPr>
          <w:rFonts w:cs="Times New Roman"/>
          <w:i/>
          <w:sz w:val="20"/>
        </w:rPr>
        <w:t>*Optimum condition</w:t>
      </w:r>
    </w:p>
    <w:p w:rsidR="00533B41" w:rsidRPr="00BA0CE0" w:rsidRDefault="00533B41" w:rsidP="002230EE">
      <w:pPr>
        <w:spacing w:after="200" w:line="276" w:lineRule="auto"/>
        <w:jc w:val="both"/>
      </w:pPr>
      <w:r w:rsidRPr="00BA0CE0">
        <w:rPr>
          <w:b/>
        </w:rPr>
        <w:lastRenderedPageBreak/>
        <w:t>Table S2:</w:t>
      </w:r>
      <w:r w:rsidRPr="00BA0CE0">
        <w:t xml:space="preserve"> </w:t>
      </w:r>
      <w:r w:rsidR="002230EE" w:rsidRPr="00BA0CE0">
        <w:t>Physical and ion exchange characteristics</w:t>
      </w:r>
      <w:r w:rsidR="00B67254" w:rsidRPr="00BA0CE0">
        <w:t xml:space="preserve"> [</w:t>
      </w:r>
      <w:r w:rsidR="00DC10A9" w:rsidRPr="00BA0CE0">
        <w:t>31</w:t>
      </w:r>
      <w:r w:rsidR="00B67254" w:rsidRPr="00BA0CE0">
        <w:t>]</w:t>
      </w:r>
    </w:p>
    <w:tbl>
      <w:tblPr>
        <w:tblW w:w="4531" w:type="pct"/>
        <w:jc w:val="center"/>
        <w:tblInd w:w="1044" w:type="dxa"/>
        <w:tblLook w:val="0000"/>
      </w:tblPr>
      <w:tblGrid>
        <w:gridCol w:w="4285"/>
        <w:gridCol w:w="4090"/>
      </w:tblGrid>
      <w:tr w:rsidR="002230EE" w:rsidRPr="00BA0CE0" w:rsidTr="006C3D6A">
        <w:trPr>
          <w:trHeight w:val="262"/>
          <w:jc w:val="center"/>
        </w:trPr>
        <w:tc>
          <w:tcPr>
            <w:tcW w:w="2558" w:type="pct"/>
            <w:tcBorders>
              <w:top w:val="single" w:sz="4" w:space="0" w:color="auto"/>
              <w:bottom w:val="single" w:sz="4" w:space="0" w:color="auto"/>
            </w:tcBorders>
          </w:tcPr>
          <w:p w:rsidR="002230EE" w:rsidRPr="00BA0CE0" w:rsidRDefault="002230EE" w:rsidP="007B1BA8">
            <w:pPr>
              <w:spacing w:before="0" w:line="360" w:lineRule="auto"/>
              <w:jc w:val="left"/>
              <w:rPr>
                <w:rFonts w:cs="Times New Roman"/>
                <w:bCs/>
              </w:rPr>
            </w:pPr>
            <w:r w:rsidRPr="00BA0CE0">
              <w:rPr>
                <w:rFonts w:cs="Times New Roman"/>
                <w:bCs/>
              </w:rPr>
              <w:t>Characteristics</w:t>
            </w:r>
          </w:p>
        </w:tc>
        <w:tc>
          <w:tcPr>
            <w:tcW w:w="2442" w:type="pct"/>
            <w:tcBorders>
              <w:top w:val="single" w:sz="4" w:space="0" w:color="auto"/>
              <w:bottom w:val="single" w:sz="4" w:space="0" w:color="auto"/>
            </w:tcBorders>
          </w:tcPr>
          <w:p w:rsidR="002230EE" w:rsidRPr="00BA0CE0" w:rsidRDefault="002230EE" w:rsidP="007B1BA8">
            <w:pPr>
              <w:spacing w:before="0" w:line="360" w:lineRule="auto"/>
              <w:rPr>
                <w:rFonts w:cs="Times New Roman"/>
                <w:bCs/>
              </w:rPr>
            </w:pPr>
            <w:r w:rsidRPr="00BA0CE0">
              <w:rPr>
                <w:rFonts w:cs="Times New Roman"/>
                <w:bCs/>
              </w:rPr>
              <w:t>Observation</w:t>
            </w:r>
          </w:p>
        </w:tc>
      </w:tr>
      <w:tr w:rsidR="002230EE" w:rsidRPr="00BA0CE0" w:rsidTr="006C3D6A">
        <w:trPr>
          <w:trHeight w:val="262"/>
          <w:jc w:val="center"/>
        </w:trPr>
        <w:tc>
          <w:tcPr>
            <w:tcW w:w="2558" w:type="pct"/>
            <w:tcBorders>
              <w:top w:val="single" w:sz="4" w:space="0" w:color="auto"/>
            </w:tcBorders>
          </w:tcPr>
          <w:p w:rsidR="002230EE" w:rsidRPr="00BA0CE0" w:rsidRDefault="002230EE" w:rsidP="007B1BA8">
            <w:pPr>
              <w:spacing w:before="0" w:line="360" w:lineRule="auto"/>
              <w:jc w:val="left"/>
              <w:rPr>
                <w:rFonts w:cs="Times New Roman"/>
              </w:rPr>
            </w:pPr>
            <w:r w:rsidRPr="00BA0CE0">
              <w:rPr>
                <w:rFonts w:cs="Times New Roman"/>
              </w:rPr>
              <w:t>Appearance</w:t>
            </w:r>
          </w:p>
        </w:tc>
        <w:tc>
          <w:tcPr>
            <w:tcW w:w="2442" w:type="pct"/>
            <w:tcBorders>
              <w:top w:val="single" w:sz="4" w:space="0" w:color="auto"/>
            </w:tcBorders>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White hard granules</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Particle size(range)</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250-590 µm</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 Moisture content</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6.49 %</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True density</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1.78 g∙mL</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Apparent density</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0.35 g∙mL</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Void volume fraction</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0.79</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Concentration of fixed ionogenic groups</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6.30 mmol∙g</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Volume capacity of resin</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1.26 meq∙mL</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Nature of Exchanger</w:t>
            </w:r>
          </w:p>
        </w:tc>
        <w:tc>
          <w:tcPr>
            <w:tcW w:w="2442" w:type="pct"/>
          </w:tcPr>
          <w:p w:rsidR="002230EE" w:rsidRPr="00BA0CE0" w:rsidRDefault="002230EE" w:rsidP="007B1BA8">
            <w:pPr>
              <w:spacing w:before="0" w:line="360" w:lineRule="auto"/>
              <w:jc w:val="left"/>
              <w:rPr>
                <w:rFonts w:cs="Times New Roman"/>
              </w:rPr>
            </w:pPr>
            <w:r w:rsidRPr="00BA0CE0">
              <w:rPr>
                <w:rFonts w:cs="Times New Roman"/>
              </w:rPr>
              <w:t>Weak cation exchanger</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CEC (RT)</w:t>
            </w:r>
          </w:p>
        </w:tc>
        <w:tc>
          <w:tcPr>
            <w:tcW w:w="2442" w:type="pct"/>
          </w:tcPr>
          <w:p w:rsidR="002230EE" w:rsidRPr="00BA0CE0" w:rsidRDefault="002230EE" w:rsidP="007B1BA8">
            <w:pPr>
              <w:spacing w:before="0" w:line="360" w:lineRule="auto"/>
              <w:jc w:val="left"/>
              <w:rPr>
                <w:rFonts w:cs="Times New Roman"/>
              </w:rPr>
            </w:pPr>
            <w:r w:rsidRPr="00BA0CE0">
              <w:rPr>
                <w:rFonts w:cs="Times New Roman"/>
              </w:rPr>
              <w:t>3.61 meq∙g</w:t>
            </w:r>
            <w:r w:rsidRPr="00BA0CE0">
              <w:rPr>
                <w:rFonts w:cs="Times New Roman"/>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100°C</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2.93  meq∙g</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200°C</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2.11  meq∙g</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300°C</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2.26  meq∙g</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Pr>
          <w:p w:rsidR="002230EE" w:rsidRPr="00BA0CE0" w:rsidRDefault="002230EE" w:rsidP="007B1BA8">
            <w:pPr>
              <w:spacing w:before="0" w:line="360" w:lineRule="auto"/>
              <w:jc w:val="left"/>
              <w:rPr>
                <w:rFonts w:cs="Times New Roman"/>
              </w:rPr>
            </w:pPr>
            <w:r w:rsidRPr="00BA0CE0">
              <w:rPr>
                <w:rFonts w:cs="Times New Roman"/>
              </w:rPr>
              <w:t>400°C</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2.73  meq∙g</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Borders>
              <w:bottom w:val="single" w:sz="4" w:space="0" w:color="auto"/>
            </w:tcBorders>
          </w:tcPr>
          <w:p w:rsidR="002230EE" w:rsidRPr="00BA0CE0" w:rsidRDefault="002230EE" w:rsidP="007B1BA8">
            <w:pPr>
              <w:spacing w:before="0" w:line="360" w:lineRule="auto"/>
              <w:jc w:val="left"/>
              <w:rPr>
                <w:rFonts w:cs="Times New Roman"/>
              </w:rPr>
            </w:pPr>
            <w:r w:rsidRPr="00BA0CE0">
              <w:rPr>
                <w:rFonts w:cs="Times New Roman"/>
              </w:rPr>
              <w:t>500°C</w:t>
            </w:r>
          </w:p>
        </w:tc>
        <w:tc>
          <w:tcPr>
            <w:tcW w:w="2442" w:type="pct"/>
            <w:tcBorders>
              <w:bottom w:val="single" w:sz="4" w:space="0" w:color="auto"/>
            </w:tcBorders>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1.76  meq∙g</w:t>
            </w:r>
            <w:r w:rsidRPr="00BA0CE0">
              <w:rPr>
                <w:rFonts w:ascii="Times New Roman" w:hAnsi="Times New Roman"/>
                <w:sz w:val="24"/>
                <w:szCs w:val="24"/>
                <w:vertAlign w:val="superscript"/>
              </w:rPr>
              <w:t>-1</w:t>
            </w:r>
          </w:p>
        </w:tc>
      </w:tr>
      <w:tr w:rsidR="002230EE" w:rsidRPr="00BA0CE0" w:rsidTr="006C3D6A">
        <w:trPr>
          <w:trHeight w:val="262"/>
          <w:jc w:val="center"/>
        </w:trPr>
        <w:tc>
          <w:tcPr>
            <w:tcW w:w="2558" w:type="pct"/>
            <w:tcBorders>
              <w:top w:val="single" w:sz="4" w:space="0" w:color="auto"/>
              <w:bottom w:val="single" w:sz="4" w:space="0" w:color="auto"/>
            </w:tcBorders>
          </w:tcPr>
          <w:p w:rsidR="002230EE" w:rsidRPr="00BA0CE0" w:rsidRDefault="002230EE" w:rsidP="007B1BA8">
            <w:pPr>
              <w:spacing w:before="0" w:line="360" w:lineRule="auto"/>
              <w:jc w:val="left"/>
              <w:rPr>
                <w:rFonts w:cs="Times New Roman"/>
                <w:bCs/>
              </w:rPr>
            </w:pPr>
            <w:r w:rsidRPr="00BA0CE0">
              <w:rPr>
                <w:rFonts w:cs="Times New Roman"/>
                <w:bCs/>
              </w:rPr>
              <w:t>Chemical stability</w:t>
            </w:r>
          </w:p>
        </w:tc>
        <w:tc>
          <w:tcPr>
            <w:tcW w:w="2442" w:type="pct"/>
            <w:tcBorders>
              <w:top w:val="single" w:sz="4" w:space="0" w:color="auto"/>
              <w:bottom w:val="single" w:sz="4" w:space="0" w:color="auto"/>
            </w:tcBorders>
          </w:tcPr>
          <w:p w:rsidR="002230EE" w:rsidRPr="00BA0CE0" w:rsidRDefault="002230EE" w:rsidP="007B1BA8">
            <w:pPr>
              <w:spacing w:before="0" w:line="360" w:lineRule="auto"/>
              <w:rPr>
                <w:rFonts w:cs="Times New Roman"/>
              </w:rPr>
            </w:pPr>
            <w:r w:rsidRPr="00BA0CE0">
              <w:rPr>
                <w:rFonts w:cs="Times New Roman"/>
              </w:rPr>
              <w:t>Maximum tolerable limits</w:t>
            </w:r>
          </w:p>
        </w:tc>
      </w:tr>
      <w:tr w:rsidR="002230EE" w:rsidRPr="00BA0CE0" w:rsidTr="006C3D6A">
        <w:trPr>
          <w:trHeight w:val="262"/>
          <w:jc w:val="center"/>
        </w:trPr>
        <w:tc>
          <w:tcPr>
            <w:tcW w:w="2558" w:type="pct"/>
            <w:tcBorders>
              <w:top w:val="single" w:sz="4" w:space="0" w:color="auto"/>
            </w:tcBorders>
          </w:tcPr>
          <w:p w:rsidR="002230EE" w:rsidRPr="00BA0CE0" w:rsidRDefault="002230EE" w:rsidP="007B1BA8">
            <w:pPr>
              <w:numPr>
                <w:ilvl w:val="0"/>
                <w:numId w:val="1"/>
              </w:numPr>
              <w:tabs>
                <w:tab w:val="clear" w:pos="720"/>
              </w:tabs>
              <w:spacing w:before="0" w:line="360" w:lineRule="auto"/>
              <w:ind w:left="437" w:hanging="180"/>
              <w:jc w:val="left"/>
              <w:rPr>
                <w:rFonts w:cs="Times New Roman"/>
              </w:rPr>
            </w:pPr>
            <w:r w:rsidRPr="00BA0CE0">
              <w:rPr>
                <w:rFonts w:cs="Times New Roman"/>
              </w:rPr>
              <w:t>Acids</w:t>
            </w:r>
          </w:p>
        </w:tc>
        <w:tc>
          <w:tcPr>
            <w:tcW w:w="2442" w:type="pct"/>
            <w:tcBorders>
              <w:top w:val="single" w:sz="4" w:space="0" w:color="auto"/>
            </w:tcBorders>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18 N H</w:t>
            </w:r>
            <w:r w:rsidRPr="00BA0CE0">
              <w:rPr>
                <w:rFonts w:ascii="Times New Roman" w:hAnsi="Times New Roman"/>
                <w:sz w:val="24"/>
                <w:szCs w:val="24"/>
                <w:vertAlign w:val="subscript"/>
              </w:rPr>
              <w:t>2</w:t>
            </w:r>
            <w:r w:rsidRPr="00BA0CE0">
              <w:rPr>
                <w:rFonts w:ascii="Times New Roman" w:hAnsi="Times New Roman"/>
                <w:sz w:val="24"/>
                <w:szCs w:val="24"/>
              </w:rPr>
              <w:t>SO</w:t>
            </w:r>
            <w:r w:rsidRPr="00BA0CE0">
              <w:rPr>
                <w:rFonts w:ascii="Times New Roman" w:hAnsi="Times New Roman"/>
                <w:sz w:val="24"/>
                <w:szCs w:val="24"/>
                <w:vertAlign w:val="subscript"/>
              </w:rPr>
              <w:t>4</w:t>
            </w:r>
            <w:r w:rsidRPr="00BA0CE0">
              <w:rPr>
                <w:rFonts w:ascii="Times New Roman" w:hAnsi="Times New Roman"/>
                <w:sz w:val="24"/>
                <w:szCs w:val="24"/>
              </w:rPr>
              <w:t>, 16.3 N HNO</w:t>
            </w:r>
            <w:r w:rsidRPr="00BA0CE0">
              <w:rPr>
                <w:rFonts w:ascii="Times New Roman" w:hAnsi="Times New Roman"/>
                <w:sz w:val="24"/>
                <w:szCs w:val="24"/>
                <w:vertAlign w:val="subscript"/>
              </w:rPr>
              <w:t>3</w:t>
            </w:r>
            <w:r w:rsidRPr="00BA0CE0">
              <w:rPr>
                <w:rFonts w:ascii="Times New Roman" w:hAnsi="Times New Roman"/>
                <w:sz w:val="24"/>
                <w:szCs w:val="24"/>
              </w:rPr>
              <w:t>, 11.3 N HCl</w:t>
            </w:r>
          </w:p>
        </w:tc>
      </w:tr>
      <w:tr w:rsidR="002230EE" w:rsidRPr="00BA0CE0" w:rsidTr="006C3D6A">
        <w:trPr>
          <w:trHeight w:val="262"/>
          <w:jc w:val="center"/>
        </w:trPr>
        <w:tc>
          <w:tcPr>
            <w:tcW w:w="2558" w:type="pct"/>
          </w:tcPr>
          <w:p w:rsidR="002230EE" w:rsidRPr="00BA0CE0" w:rsidRDefault="002230EE" w:rsidP="007B1BA8">
            <w:pPr>
              <w:numPr>
                <w:ilvl w:val="0"/>
                <w:numId w:val="1"/>
              </w:numPr>
              <w:tabs>
                <w:tab w:val="clear" w:pos="720"/>
              </w:tabs>
              <w:spacing w:before="0" w:line="360" w:lineRule="auto"/>
              <w:ind w:left="437" w:hanging="180"/>
              <w:jc w:val="left"/>
              <w:rPr>
                <w:rFonts w:cs="Times New Roman"/>
              </w:rPr>
            </w:pPr>
            <w:r w:rsidRPr="00BA0CE0">
              <w:rPr>
                <w:rFonts w:cs="Times New Roman"/>
              </w:rPr>
              <w:t>Bases</w:t>
            </w:r>
          </w:p>
        </w:tc>
        <w:tc>
          <w:tcPr>
            <w:tcW w:w="2442" w:type="pct"/>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0.01 N NaOH, 0.01 N KOH</w:t>
            </w:r>
          </w:p>
        </w:tc>
      </w:tr>
      <w:tr w:rsidR="002230EE" w:rsidRPr="00BA0CE0" w:rsidTr="006C3D6A">
        <w:trPr>
          <w:trHeight w:val="262"/>
          <w:jc w:val="center"/>
        </w:trPr>
        <w:tc>
          <w:tcPr>
            <w:tcW w:w="2558" w:type="pct"/>
            <w:tcBorders>
              <w:bottom w:val="single" w:sz="4" w:space="0" w:color="auto"/>
            </w:tcBorders>
          </w:tcPr>
          <w:p w:rsidR="002230EE" w:rsidRPr="00BA0CE0" w:rsidRDefault="002230EE" w:rsidP="007B1BA8">
            <w:pPr>
              <w:numPr>
                <w:ilvl w:val="0"/>
                <w:numId w:val="1"/>
              </w:numPr>
              <w:tabs>
                <w:tab w:val="clear" w:pos="720"/>
              </w:tabs>
              <w:spacing w:before="0" w:line="360" w:lineRule="auto"/>
              <w:ind w:left="437" w:hanging="180"/>
              <w:jc w:val="left"/>
              <w:rPr>
                <w:rFonts w:cs="Times New Roman"/>
              </w:rPr>
            </w:pPr>
            <w:r w:rsidRPr="00BA0CE0">
              <w:rPr>
                <w:rFonts w:cs="Times New Roman"/>
              </w:rPr>
              <w:t>Organic solvents</w:t>
            </w:r>
          </w:p>
        </w:tc>
        <w:tc>
          <w:tcPr>
            <w:tcW w:w="2442" w:type="pct"/>
            <w:tcBorders>
              <w:bottom w:val="single" w:sz="4" w:space="0" w:color="auto"/>
            </w:tcBorders>
          </w:tcPr>
          <w:p w:rsidR="002230EE" w:rsidRPr="00BA0CE0" w:rsidRDefault="002230EE" w:rsidP="007B1BA8">
            <w:pPr>
              <w:pStyle w:val="NoSpacing"/>
              <w:spacing w:line="360" w:lineRule="auto"/>
              <w:rPr>
                <w:rFonts w:ascii="Times New Roman" w:hAnsi="Times New Roman"/>
                <w:sz w:val="24"/>
                <w:szCs w:val="24"/>
              </w:rPr>
            </w:pPr>
            <w:r w:rsidRPr="00BA0CE0">
              <w:rPr>
                <w:rFonts w:ascii="Times New Roman" w:hAnsi="Times New Roman"/>
                <w:sz w:val="24"/>
                <w:szCs w:val="24"/>
              </w:rPr>
              <w:t>Ethanol, Benzene, Acetone, Acetic acid</w:t>
            </w:r>
          </w:p>
        </w:tc>
      </w:tr>
    </w:tbl>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156DA8" w:rsidRPr="00BA0CE0" w:rsidRDefault="00156DA8" w:rsidP="0005314C">
      <w:pPr>
        <w:tabs>
          <w:tab w:val="left" w:pos="0"/>
        </w:tabs>
        <w:spacing w:before="0" w:line="276" w:lineRule="auto"/>
        <w:jc w:val="both"/>
        <w:rPr>
          <w:b/>
        </w:rPr>
      </w:pPr>
    </w:p>
    <w:p w:rsidR="00156DA8" w:rsidRPr="00BA0CE0" w:rsidRDefault="00156DA8" w:rsidP="0005314C">
      <w:pPr>
        <w:tabs>
          <w:tab w:val="left" w:pos="0"/>
        </w:tabs>
        <w:spacing w:before="0" w:line="276" w:lineRule="auto"/>
        <w:jc w:val="both"/>
        <w:rPr>
          <w:b/>
        </w:rPr>
      </w:pPr>
    </w:p>
    <w:p w:rsidR="00156DA8" w:rsidRPr="00BA0CE0" w:rsidRDefault="00156D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7B1BA8" w:rsidRPr="00BA0CE0" w:rsidRDefault="007B1BA8" w:rsidP="0005314C">
      <w:pPr>
        <w:tabs>
          <w:tab w:val="left" w:pos="0"/>
        </w:tabs>
        <w:spacing w:before="0" w:line="276" w:lineRule="auto"/>
        <w:jc w:val="both"/>
        <w:rPr>
          <w:b/>
        </w:rPr>
      </w:pPr>
    </w:p>
    <w:p w:rsidR="009E1F5F" w:rsidRPr="00BA0CE0" w:rsidRDefault="009E1F5F" w:rsidP="00A65405">
      <w:pPr>
        <w:spacing w:before="0" w:line="276" w:lineRule="auto"/>
        <w:rPr>
          <w:b/>
          <w:i/>
          <w:u w:val="single"/>
          <w:lang w:val="pt-BR"/>
        </w:rPr>
      </w:pPr>
      <w:r w:rsidRPr="00BA0CE0">
        <w:rPr>
          <w:b/>
          <w:i/>
          <w:u w:val="single"/>
          <w:lang w:val="pt-BR"/>
        </w:rPr>
        <w:lastRenderedPageBreak/>
        <w:t>Section-</w:t>
      </w:r>
      <w:r w:rsidR="009615FF" w:rsidRPr="00BA0CE0">
        <w:rPr>
          <w:b/>
          <w:i/>
          <w:u w:val="single"/>
          <w:lang w:val="pt-BR"/>
        </w:rPr>
        <w:t>2</w:t>
      </w:r>
      <w:r w:rsidR="005045E6" w:rsidRPr="00BA0CE0">
        <w:rPr>
          <w:b/>
          <w:i/>
          <w:u w:val="single"/>
          <w:lang w:val="pt-BR"/>
        </w:rPr>
        <w:t>Figure Captions.</w:t>
      </w:r>
    </w:p>
    <w:p w:rsidR="00A65405" w:rsidRPr="00BA0CE0" w:rsidRDefault="00A65405" w:rsidP="00AA79D8">
      <w:pPr>
        <w:spacing w:before="0" w:line="276" w:lineRule="auto"/>
        <w:jc w:val="both"/>
        <w:rPr>
          <w:b/>
          <w:i/>
          <w:lang w:val="pt-BR"/>
        </w:rPr>
      </w:pPr>
      <w:r w:rsidRPr="00BA0CE0">
        <w:rPr>
          <w:b/>
          <w:i/>
          <w:noProof/>
          <w:lang w:val="en-US"/>
        </w:rPr>
        <w:drawing>
          <wp:inline distT="0" distB="0" distL="0" distR="0">
            <wp:extent cx="2520000" cy="2139942"/>
            <wp:effectExtent l="19050" t="19050" r="13650" b="12708"/>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520000" cy="2139942"/>
                    </a:xfrm>
                    <a:prstGeom prst="rect">
                      <a:avLst/>
                    </a:prstGeom>
                    <a:noFill/>
                    <a:ln w="9525">
                      <a:solidFill>
                        <a:schemeClr val="tx1"/>
                      </a:solidFill>
                      <a:miter lim="800000"/>
                      <a:headEnd/>
                      <a:tailEnd/>
                    </a:ln>
                  </pic:spPr>
                </pic:pic>
              </a:graphicData>
            </a:graphic>
          </wp:inline>
        </w:drawing>
      </w:r>
    </w:p>
    <w:p w:rsidR="00A65405" w:rsidRPr="00BA0CE0" w:rsidRDefault="00A65405" w:rsidP="00AA79D8">
      <w:pPr>
        <w:spacing w:before="0" w:line="276" w:lineRule="auto"/>
        <w:jc w:val="both"/>
        <w:rPr>
          <w:lang w:val="pt-BR"/>
        </w:rPr>
      </w:pPr>
      <w:r w:rsidRPr="00BA0CE0">
        <w:rPr>
          <w:b/>
          <w:lang w:val="pt-BR"/>
        </w:rPr>
        <w:t>Fig. S1</w:t>
      </w:r>
      <w:r w:rsidRPr="00BA0CE0">
        <w:rPr>
          <w:lang w:val="pt-BR"/>
        </w:rPr>
        <w:t>pH Titration Curve of Zr-ATMP</w:t>
      </w:r>
    </w:p>
    <w:p w:rsidR="009615FF" w:rsidRPr="00BA0CE0" w:rsidRDefault="00156DA8" w:rsidP="00A65405">
      <w:pPr>
        <w:spacing w:before="0" w:line="360" w:lineRule="auto"/>
        <w:jc w:val="both"/>
        <w:rPr>
          <w:b/>
          <w:sz w:val="26"/>
        </w:rPr>
      </w:pPr>
      <w:r w:rsidRPr="00BA0CE0">
        <w:rPr>
          <w:b/>
          <w:noProof/>
          <w:sz w:val="26"/>
          <w:lang w:val="en-US"/>
        </w:rPr>
        <w:drawing>
          <wp:inline distT="0" distB="0" distL="0" distR="0">
            <wp:extent cx="2505498" cy="2675683"/>
            <wp:effectExtent l="19050" t="19050" r="28152" b="10367"/>
            <wp:docPr id="1" name="Picture 1" descr="I:\Zr-ATMP\Instrumental of Analysis\FTIR of Zr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r-ATMP\Instrumental of Analysis\FTIR of ZrATMP.JPG"/>
                    <pic:cNvPicPr>
                      <a:picLocks noChangeAspect="1" noChangeArrowheads="1"/>
                    </pic:cNvPicPr>
                  </pic:nvPicPr>
                  <pic:blipFill>
                    <a:blip r:embed="rId11" cstate="print">
                      <a:lum bright="-12000" contrast="28000"/>
                    </a:blip>
                    <a:srcRect l="6161" t="6818" r="10372" b="2797"/>
                    <a:stretch>
                      <a:fillRect/>
                    </a:stretch>
                  </pic:blipFill>
                  <pic:spPr bwMode="auto">
                    <a:xfrm>
                      <a:off x="0" y="0"/>
                      <a:ext cx="2509613" cy="2680078"/>
                    </a:xfrm>
                    <a:prstGeom prst="rect">
                      <a:avLst/>
                    </a:prstGeom>
                    <a:noFill/>
                    <a:ln w="9525">
                      <a:solidFill>
                        <a:schemeClr val="tx1"/>
                      </a:solidFill>
                      <a:miter lim="800000"/>
                      <a:headEnd/>
                      <a:tailEnd/>
                    </a:ln>
                  </pic:spPr>
                </pic:pic>
              </a:graphicData>
            </a:graphic>
          </wp:inline>
        </w:drawing>
      </w:r>
    </w:p>
    <w:p w:rsidR="009615FF" w:rsidRPr="00BA0CE0" w:rsidRDefault="009615FF" w:rsidP="00A65405">
      <w:pPr>
        <w:spacing w:before="0" w:line="360" w:lineRule="auto"/>
        <w:jc w:val="both"/>
        <w:rPr>
          <w:szCs w:val="24"/>
        </w:rPr>
      </w:pPr>
      <w:r w:rsidRPr="00BA0CE0">
        <w:rPr>
          <w:b/>
          <w:szCs w:val="24"/>
        </w:rPr>
        <w:t xml:space="preserve">Fig. S2: </w:t>
      </w:r>
      <w:r w:rsidRPr="00BA0CE0">
        <w:rPr>
          <w:szCs w:val="24"/>
        </w:rPr>
        <w:t>FTIR of Zr-ATMP</w:t>
      </w:r>
    </w:p>
    <w:p w:rsidR="00A65405" w:rsidRPr="00BA0CE0" w:rsidRDefault="00A65405" w:rsidP="00F07534">
      <w:pPr>
        <w:spacing w:line="360" w:lineRule="auto"/>
        <w:jc w:val="both"/>
        <w:rPr>
          <w:b/>
          <w:sz w:val="26"/>
        </w:rPr>
      </w:pPr>
      <w:r w:rsidRPr="00BA0CE0">
        <w:rPr>
          <w:b/>
          <w:noProof/>
          <w:sz w:val="26"/>
          <w:lang w:val="en-US"/>
        </w:rPr>
        <w:drawing>
          <wp:inline distT="0" distB="0" distL="0" distR="0">
            <wp:extent cx="2520000" cy="2520000"/>
            <wp:effectExtent l="19050" t="19050" r="13650" b="13650"/>
            <wp:docPr id="6" name="Picture 1" descr="XRD%20F2"/>
            <wp:cNvGraphicFramePr/>
            <a:graphic xmlns:a="http://schemas.openxmlformats.org/drawingml/2006/main">
              <a:graphicData uri="http://schemas.openxmlformats.org/drawingml/2006/picture">
                <pic:pic xmlns:pic="http://schemas.openxmlformats.org/drawingml/2006/picture">
                  <pic:nvPicPr>
                    <pic:cNvPr id="15364" name="Picture 14" descr="XRD%20F2"/>
                    <pic:cNvPicPr>
                      <a:picLocks noChangeAspect="1" noChangeArrowheads="1"/>
                    </pic:cNvPicPr>
                  </pic:nvPicPr>
                  <pic:blipFill>
                    <a:blip r:embed="rId12">
                      <a:lum bright="-22000" contrast="56000"/>
                    </a:blip>
                    <a:srcRect/>
                    <a:stretch>
                      <a:fillRect/>
                    </a:stretch>
                  </pic:blipFill>
                  <pic:spPr bwMode="auto">
                    <a:xfrm>
                      <a:off x="0" y="0"/>
                      <a:ext cx="2520000" cy="2520000"/>
                    </a:xfrm>
                    <a:prstGeom prst="rect">
                      <a:avLst/>
                    </a:prstGeom>
                    <a:noFill/>
                    <a:ln w="9525">
                      <a:solidFill>
                        <a:srgbClr val="000000"/>
                      </a:solidFill>
                      <a:miter lim="800000"/>
                      <a:headEnd/>
                      <a:tailEnd/>
                    </a:ln>
                  </pic:spPr>
                </pic:pic>
              </a:graphicData>
            </a:graphic>
          </wp:inline>
        </w:drawing>
      </w:r>
    </w:p>
    <w:p w:rsidR="009615FF" w:rsidRPr="00BA0CE0" w:rsidRDefault="009615FF" w:rsidP="00F07534">
      <w:pPr>
        <w:spacing w:line="360" w:lineRule="auto"/>
        <w:jc w:val="both"/>
        <w:rPr>
          <w:szCs w:val="24"/>
        </w:rPr>
      </w:pPr>
      <w:r w:rsidRPr="00BA0CE0">
        <w:rPr>
          <w:b/>
          <w:szCs w:val="24"/>
        </w:rPr>
        <w:t xml:space="preserve">Fig. S3: </w:t>
      </w:r>
      <w:r w:rsidRPr="00BA0CE0">
        <w:rPr>
          <w:szCs w:val="24"/>
        </w:rPr>
        <w:t>XRD of Zr-ATMP</w:t>
      </w:r>
    </w:p>
    <w:p w:rsidR="009615FF" w:rsidRPr="00BA0CE0" w:rsidRDefault="009615FF" w:rsidP="00F07534">
      <w:pPr>
        <w:spacing w:line="360" w:lineRule="auto"/>
        <w:jc w:val="both"/>
        <w:rPr>
          <w:b/>
          <w:sz w:val="26"/>
        </w:rPr>
      </w:pPr>
      <w:r w:rsidRPr="00BA0CE0">
        <w:rPr>
          <w:b/>
          <w:noProof/>
          <w:sz w:val="26"/>
          <w:lang w:val="en-US"/>
        </w:rPr>
        <w:lastRenderedPageBreak/>
        <w:drawing>
          <wp:inline distT="0" distB="0" distL="0" distR="0">
            <wp:extent cx="1994085" cy="1931437"/>
            <wp:effectExtent l="19050" t="0" r="616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999752" cy="1936926"/>
                    </a:xfrm>
                    <a:prstGeom prst="rect">
                      <a:avLst/>
                    </a:prstGeom>
                    <a:noFill/>
                    <a:ln w="9525">
                      <a:noFill/>
                      <a:miter lim="800000"/>
                      <a:headEnd/>
                      <a:tailEnd/>
                    </a:ln>
                  </pic:spPr>
                </pic:pic>
              </a:graphicData>
            </a:graphic>
          </wp:inline>
        </w:drawing>
      </w:r>
      <w:r w:rsidR="00CF1B38" w:rsidRPr="00BA0CE0">
        <w:rPr>
          <w:b/>
          <w:noProof/>
          <w:sz w:val="26"/>
          <w:lang w:val="en-US"/>
        </w:rPr>
        <w:drawing>
          <wp:inline distT="0" distB="0" distL="0" distR="0">
            <wp:extent cx="1688452" cy="1922106"/>
            <wp:effectExtent l="19050" t="0" r="6998" b="0"/>
            <wp:docPr id="2" name="Picture 1" descr="IncaTemp0"/>
            <wp:cNvGraphicFramePr/>
            <a:graphic xmlns:a="http://schemas.openxmlformats.org/drawingml/2006/main">
              <a:graphicData uri="http://schemas.openxmlformats.org/drawingml/2006/picture">
                <pic:pic xmlns:pic="http://schemas.openxmlformats.org/drawingml/2006/picture">
                  <pic:nvPicPr>
                    <pic:cNvPr id="0" name="Picture 6" descr="IncaTemp0"/>
                    <pic:cNvPicPr>
                      <a:picLocks noChangeAspect="1" noChangeArrowheads="1"/>
                    </pic:cNvPicPr>
                  </pic:nvPicPr>
                  <pic:blipFill>
                    <a:blip r:embed="rId14"/>
                    <a:srcRect l="-625" t="11077" b="11077"/>
                    <a:stretch>
                      <a:fillRect/>
                    </a:stretch>
                  </pic:blipFill>
                  <pic:spPr bwMode="auto">
                    <a:xfrm>
                      <a:off x="0" y="0"/>
                      <a:ext cx="1691565" cy="1925650"/>
                    </a:xfrm>
                    <a:prstGeom prst="rect">
                      <a:avLst/>
                    </a:prstGeom>
                    <a:noFill/>
                    <a:ln w="9525">
                      <a:noFill/>
                      <a:miter lim="800000"/>
                      <a:headEnd/>
                      <a:tailEnd/>
                    </a:ln>
                  </pic:spPr>
                </pic:pic>
              </a:graphicData>
            </a:graphic>
          </wp:inline>
        </w:drawing>
      </w:r>
      <w:r w:rsidR="00B452AE" w:rsidRPr="00BA0CE0">
        <w:rPr>
          <w:b/>
          <w:sz w:val="26"/>
        </w:rPr>
        <w:t xml:space="preserve"> </w:t>
      </w:r>
      <w:r w:rsidR="00B452AE" w:rsidRPr="00BA0CE0">
        <w:rPr>
          <w:b/>
          <w:noProof/>
          <w:sz w:val="26"/>
          <w:lang w:val="en-US"/>
        </w:rPr>
        <w:drawing>
          <wp:inline distT="0" distB="0" distL="0" distR="0">
            <wp:extent cx="1770082" cy="1922106"/>
            <wp:effectExtent l="19050" t="0" r="1568"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781120" cy="1934092"/>
                    </a:xfrm>
                    <a:prstGeom prst="rect">
                      <a:avLst/>
                    </a:prstGeom>
                    <a:noFill/>
                    <a:ln w="9525">
                      <a:noFill/>
                      <a:miter lim="800000"/>
                      <a:headEnd/>
                      <a:tailEnd/>
                    </a:ln>
                  </pic:spPr>
                </pic:pic>
              </a:graphicData>
            </a:graphic>
          </wp:inline>
        </w:drawing>
      </w:r>
    </w:p>
    <w:p w:rsidR="009615FF" w:rsidRPr="00BA0CE0" w:rsidRDefault="009615FF" w:rsidP="00F07534">
      <w:pPr>
        <w:spacing w:line="360" w:lineRule="auto"/>
        <w:jc w:val="both"/>
        <w:rPr>
          <w:szCs w:val="24"/>
        </w:rPr>
      </w:pPr>
      <w:r w:rsidRPr="00BA0CE0">
        <w:rPr>
          <w:b/>
          <w:szCs w:val="24"/>
        </w:rPr>
        <w:t xml:space="preserve">Fig. S4 </w:t>
      </w:r>
      <w:r w:rsidRPr="00BA0CE0">
        <w:rPr>
          <w:szCs w:val="24"/>
        </w:rPr>
        <w:t>SEM of Zr-ATMP</w:t>
      </w:r>
    </w:p>
    <w:p w:rsidR="00C9712B" w:rsidRPr="00BA0CE0" w:rsidRDefault="00C9712B" w:rsidP="00F07534">
      <w:pPr>
        <w:spacing w:line="360" w:lineRule="auto"/>
        <w:jc w:val="both"/>
        <w:rPr>
          <w:i/>
          <w:szCs w:val="24"/>
        </w:rPr>
      </w:pPr>
      <w:r w:rsidRPr="00BA0CE0">
        <w:rPr>
          <w:noProof/>
          <w:szCs w:val="24"/>
          <w:lang w:val="en-US"/>
        </w:rPr>
        <w:drawing>
          <wp:inline distT="0" distB="0" distL="0" distR="0">
            <wp:extent cx="2556510" cy="2052000"/>
            <wp:effectExtent l="19050" t="0" r="15240" b="540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7534" w:rsidRPr="00BA0CE0" w:rsidRDefault="00F07534" w:rsidP="00F07534">
      <w:pPr>
        <w:spacing w:before="0" w:line="360" w:lineRule="auto"/>
        <w:jc w:val="both"/>
        <w:rPr>
          <w:i/>
          <w:szCs w:val="24"/>
        </w:rPr>
      </w:pPr>
      <w:r w:rsidRPr="00BA0CE0">
        <w:rPr>
          <w:b/>
          <w:bCs/>
          <w:szCs w:val="24"/>
        </w:rPr>
        <w:t>Fig.</w:t>
      </w:r>
      <w:r w:rsidRPr="00BA0CE0">
        <w:rPr>
          <w:bCs/>
          <w:szCs w:val="24"/>
        </w:rPr>
        <w:t xml:space="preserve"> S</w:t>
      </w:r>
      <w:r w:rsidR="009615FF" w:rsidRPr="00BA0CE0">
        <w:rPr>
          <w:bCs/>
          <w:szCs w:val="24"/>
        </w:rPr>
        <w:t>5</w:t>
      </w:r>
      <w:r w:rsidRPr="00BA0CE0">
        <w:rPr>
          <w:bCs/>
          <w:szCs w:val="24"/>
        </w:rPr>
        <w:t>:</w:t>
      </w:r>
      <w:r w:rsidRPr="00BA0CE0">
        <w:rPr>
          <w:bCs/>
          <w:i/>
          <w:szCs w:val="24"/>
        </w:rPr>
        <w:t xml:space="preserve"> Plots of </w:t>
      </w:r>
      <w:r w:rsidRPr="00BA0CE0">
        <w:rPr>
          <w:i/>
          <w:szCs w:val="24"/>
        </w:rPr>
        <w:sym w:font="Symbol" w:char="F074"/>
      </w:r>
      <w:r w:rsidRPr="00BA0CE0">
        <w:rPr>
          <w:i/>
          <w:szCs w:val="24"/>
        </w:rPr>
        <w:t xml:space="preserve"> vs. time for Cu</w:t>
      </w:r>
      <w:r w:rsidRPr="00BA0CE0">
        <w:rPr>
          <w:i/>
          <w:szCs w:val="24"/>
          <w:vertAlign w:val="superscript"/>
        </w:rPr>
        <w:t>2+</w:t>
      </w:r>
      <w:r w:rsidRPr="00BA0CE0">
        <w:rPr>
          <w:i/>
          <w:szCs w:val="24"/>
        </w:rPr>
        <w:t>-H</w:t>
      </w:r>
      <w:r w:rsidRPr="00BA0CE0">
        <w:rPr>
          <w:i/>
          <w:szCs w:val="24"/>
          <w:vertAlign w:val="superscript"/>
        </w:rPr>
        <w:t>+</w:t>
      </w:r>
      <w:r w:rsidRPr="00BA0CE0">
        <w:rPr>
          <w:i/>
          <w:szCs w:val="24"/>
        </w:rPr>
        <w:t xml:space="preserve"> exchange for 0.014 M</w:t>
      </w:r>
      <w:r w:rsidR="00C9712B" w:rsidRPr="00BA0CE0">
        <w:rPr>
          <w:i/>
          <w:szCs w:val="24"/>
        </w:rPr>
        <w:t xml:space="preserve"> concentration using Zr-ATM</w:t>
      </w:r>
      <w:r w:rsidR="0088242E" w:rsidRPr="00BA0CE0">
        <w:rPr>
          <w:i/>
          <w:szCs w:val="24"/>
        </w:rPr>
        <w:t>P</w:t>
      </w:r>
    </w:p>
    <w:p w:rsidR="00A65405" w:rsidRPr="00BA0CE0" w:rsidRDefault="00913302" w:rsidP="009E1F5F">
      <w:pPr>
        <w:spacing w:line="360" w:lineRule="auto"/>
        <w:jc w:val="both"/>
        <w:rPr>
          <w:b/>
          <w:sz w:val="26"/>
        </w:rPr>
      </w:pPr>
      <w:r w:rsidRPr="00BA0CE0">
        <w:rPr>
          <w:b/>
          <w:noProof/>
          <w:sz w:val="26"/>
          <w:lang w:val="en-US"/>
        </w:rPr>
        <w:drawing>
          <wp:inline distT="0" distB="0" distL="0" distR="0">
            <wp:extent cx="2556510" cy="2052000"/>
            <wp:effectExtent l="19050" t="0" r="15240" b="540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E1F5F" w:rsidRPr="00BA0CE0" w:rsidRDefault="009E1F5F" w:rsidP="009E1F5F">
      <w:pPr>
        <w:spacing w:line="360" w:lineRule="auto"/>
        <w:jc w:val="both"/>
        <w:rPr>
          <w:i/>
          <w:sz w:val="26"/>
          <w:szCs w:val="24"/>
        </w:rPr>
      </w:pPr>
      <w:r w:rsidRPr="00BA0CE0">
        <w:rPr>
          <w:b/>
        </w:rPr>
        <w:t>Fig. S</w:t>
      </w:r>
      <w:r w:rsidR="009615FF" w:rsidRPr="00BA0CE0">
        <w:rPr>
          <w:b/>
        </w:rPr>
        <w:t>6</w:t>
      </w:r>
      <w:r w:rsidRPr="00BA0CE0">
        <w:rPr>
          <w:b/>
        </w:rPr>
        <w:t xml:space="preserve">: </w:t>
      </w:r>
      <w:r w:rsidRPr="00BA0CE0">
        <w:sym w:font="Symbol" w:char="F074"/>
      </w:r>
      <w:r w:rsidRPr="00BA0CE0">
        <w:t xml:space="preserve"> vs. time plots </w:t>
      </w:r>
      <w:r w:rsidR="00E621F4" w:rsidRPr="00BA0CE0">
        <w:t xml:space="preserve">for </w:t>
      </w:r>
      <w:r w:rsidRPr="00BA0CE0">
        <w:t>different temperatures</w:t>
      </w:r>
      <w:r w:rsidR="00E621F4" w:rsidRPr="00BA0CE0">
        <w:t xml:space="preserve"> </w:t>
      </w:r>
      <w:r w:rsidR="00913302" w:rsidRPr="00BA0CE0">
        <w:t>for Cu</w:t>
      </w:r>
      <w:r w:rsidR="00913302" w:rsidRPr="00BA0CE0">
        <w:rPr>
          <w:vertAlign w:val="superscript"/>
        </w:rPr>
        <w:t>2+</w:t>
      </w:r>
      <w:r w:rsidR="00913302" w:rsidRPr="00BA0CE0">
        <w:t>-H</w:t>
      </w:r>
      <w:r w:rsidR="00913302" w:rsidRPr="00BA0CE0">
        <w:rPr>
          <w:vertAlign w:val="superscript"/>
        </w:rPr>
        <w:t>+</w:t>
      </w:r>
      <w:r w:rsidR="00913302" w:rsidRPr="00BA0CE0">
        <w:t xml:space="preserve"> exchanger </w:t>
      </w:r>
      <w:r w:rsidRPr="00BA0CE0">
        <w:t xml:space="preserve">using </w:t>
      </w:r>
      <w:r w:rsidR="00777DB6" w:rsidRPr="00BA0CE0">
        <w:t>Zr-ATMP</w:t>
      </w:r>
    </w:p>
    <w:p w:rsidR="00E04A44" w:rsidRPr="00BA0CE0" w:rsidRDefault="00E04A44" w:rsidP="009E1F5F">
      <w:pPr>
        <w:spacing w:line="360" w:lineRule="auto"/>
        <w:ind w:left="990" w:hanging="990"/>
        <w:jc w:val="both"/>
        <w:rPr>
          <w:b/>
        </w:rPr>
      </w:pPr>
    </w:p>
    <w:p w:rsidR="0074290F" w:rsidRPr="00BA0CE0" w:rsidRDefault="0074290F" w:rsidP="009E1F5F">
      <w:pPr>
        <w:spacing w:line="360" w:lineRule="auto"/>
        <w:ind w:left="990" w:hanging="990"/>
        <w:jc w:val="both"/>
        <w:rPr>
          <w:b/>
        </w:rPr>
      </w:pPr>
      <w:r w:rsidRPr="00BA0CE0">
        <w:rPr>
          <w:b/>
          <w:noProof/>
          <w:lang w:val="en-US"/>
        </w:rPr>
        <w:lastRenderedPageBreak/>
        <w:drawing>
          <wp:inline distT="0" distB="0" distL="0" distR="0">
            <wp:extent cx="2548880" cy="1890273"/>
            <wp:effectExtent l="19050" t="0" r="2287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3B41" w:rsidRPr="00BA0CE0" w:rsidRDefault="009E1F5F" w:rsidP="009E1F5F">
      <w:pPr>
        <w:spacing w:line="360" w:lineRule="auto"/>
        <w:ind w:left="990" w:hanging="990"/>
        <w:jc w:val="both"/>
      </w:pPr>
      <w:r w:rsidRPr="00BA0CE0">
        <w:rPr>
          <w:b/>
        </w:rPr>
        <w:t>Fig. S</w:t>
      </w:r>
      <w:r w:rsidR="009615FF" w:rsidRPr="00BA0CE0">
        <w:rPr>
          <w:b/>
        </w:rPr>
        <w:t>7</w:t>
      </w:r>
      <w:r w:rsidR="00F07534" w:rsidRPr="00BA0CE0">
        <w:rPr>
          <w:b/>
        </w:rPr>
        <w:t>:</w:t>
      </w:r>
      <w:r w:rsidRPr="00BA0CE0">
        <w:t xml:space="preserve"> </w:t>
      </w:r>
      <w:r w:rsidRPr="00BA0CE0">
        <w:rPr>
          <w:color w:val="000000"/>
        </w:rPr>
        <w:t xml:space="preserve">Arrhenius plots of </w:t>
      </w:r>
      <w:r w:rsidRPr="00BA0CE0">
        <w:rPr>
          <w:i/>
          <w:color w:val="000000"/>
        </w:rPr>
        <w:t>ln D</w:t>
      </w:r>
      <w:r w:rsidRPr="00BA0CE0">
        <w:rPr>
          <w:i/>
          <w:color w:val="000000"/>
          <w:vertAlign w:val="subscript"/>
        </w:rPr>
        <w:t>a</w:t>
      </w:r>
      <w:r w:rsidRPr="00BA0CE0">
        <w:rPr>
          <w:color w:val="000000"/>
        </w:rPr>
        <w:t xml:space="preserve"> versus </w:t>
      </w:r>
      <w:r w:rsidRPr="00BA0CE0">
        <w:rPr>
          <w:i/>
          <w:color w:val="000000"/>
        </w:rPr>
        <w:t>1/T</w:t>
      </w:r>
      <w:r w:rsidRPr="00BA0CE0">
        <w:t xml:space="preserve">  for </w:t>
      </w:r>
      <w:r w:rsidR="002E1C8C" w:rsidRPr="00BA0CE0">
        <w:t>Cu</w:t>
      </w:r>
      <w:r w:rsidR="002E1C8C" w:rsidRPr="00BA0CE0">
        <w:rPr>
          <w:vertAlign w:val="superscript"/>
        </w:rPr>
        <w:t>2+</w:t>
      </w:r>
      <w:r w:rsidRPr="00BA0CE0">
        <w:t xml:space="preserve"> metal ions using </w:t>
      </w:r>
      <w:r w:rsidR="00777DB6" w:rsidRPr="00BA0CE0">
        <w:t>Zr-ATMP</w:t>
      </w:r>
    </w:p>
    <w:p w:rsidR="00E621F4" w:rsidRPr="00BA0CE0" w:rsidRDefault="00E621F4" w:rsidP="009E1F5F">
      <w:pPr>
        <w:spacing w:line="360" w:lineRule="auto"/>
        <w:ind w:left="990" w:hanging="990"/>
        <w:jc w:val="both"/>
      </w:pPr>
      <w:r w:rsidRPr="00BA0CE0">
        <w:rPr>
          <w:noProof/>
          <w:lang w:val="en-US"/>
        </w:rPr>
        <w:drawing>
          <wp:inline distT="0" distB="0" distL="0" distR="0">
            <wp:extent cx="2520000" cy="2057495"/>
            <wp:effectExtent l="19050" t="19050" r="13650" b="189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20000" cy="2057495"/>
                    </a:xfrm>
                    <a:prstGeom prst="rect">
                      <a:avLst/>
                    </a:prstGeom>
                    <a:noFill/>
                    <a:ln w="9525">
                      <a:solidFill>
                        <a:schemeClr val="tx1"/>
                      </a:solidFill>
                      <a:miter lim="800000"/>
                      <a:headEnd/>
                      <a:tailEnd/>
                    </a:ln>
                  </pic:spPr>
                </pic:pic>
              </a:graphicData>
            </a:graphic>
          </wp:inline>
        </w:drawing>
      </w:r>
    </w:p>
    <w:p w:rsidR="00E621F4" w:rsidRPr="00BA0CE0" w:rsidRDefault="00E621F4" w:rsidP="009E1F5F">
      <w:pPr>
        <w:spacing w:line="360" w:lineRule="auto"/>
        <w:ind w:left="990" w:hanging="990"/>
        <w:jc w:val="both"/>
        <w:rPr>
          <w:b/>
        </w:rPr>
      </w:pPr>
      <w:r w:rsidRPr="00BA0CE0">
        <w:rPr>
          <w:b/>
        </w:rPr>
        <w:t xml:space="preserve">Fig. S8 </w:t>
      </w:r>
      <w:r w:rsidRPr="00BA0CE0">
        <w:t>Breakthrough curves for Transition metal ions using Zr-ATMP</w:t>
      </w:r>
      <w:r w:rsidRPr="00BA0CE0">
        <w:rPr>
          <w:b/>
        </w:rPr>
        <w:t xml:space="preserve"> </w:t>
      </w:r>
    </w:p>
    <w:p w:rsidR="00E621F4" w:rsidRPr="00BA0CE0" w:rsidRDefault="00E621F4" w:rsidP="009E1F5F">
      <w:pPr>
        <w:spacing w:line="360" w:lineRule="auto"/>
        <w:ind w:left="990" w:hanging="990"/>
        <w:jc w:val="both"/>
        <w:rPr>
          <w:b/>
        </w:rPr>
      </w:pPr>
      <w:r w:rsidRPr="00BA0CE0">
        <w:rPr>
          <w:b/>
          <w:noProof/>
          <w:lang w:val="en-US"/>
        </w:rPr>
        <w:drawing>
          <wp:inline distT="0" distB="0" distL="0" distR="0">
            <wp:extent cx="2520000" cy="2150263"/>
            <wp:effectExtent l="19050" t="19050" r="13650" b="21437"/>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520000" cy="2150263"/>
                    </a:xfrm>
                    <a:prstGeom prst="rect">
                      <a:avLst/>
                    </a:prstGeom>
                    <a:noFill/>
                    <a:ln w="6350">
                      <a:solidFill>
                        <a:schemeClr val="tx1"/>
                      </a:solidFill>
                      <a:miter lim="800000"/>
                      <a:headEnd/>
                      <a:tailEnd/>
                    </a:ln>
                  </pic:spPr>
                </pic:pic>
              </a:graphicData>
            </a:graphic>
          </wp:inline>
        </w:drawing>
      </w:r>
    </w:p>
    <w:p w:rsidR="00E621F4" w:rsidRPr="00BA0CE0" w:rsidRDefault="00E621F4" w:rsidP="009E1F5F">
      <w:pPr>
        <w:spacing w:line="360" w:lineRule="auto"/>
        <w:ind w:left="990" w:hanging="990"/>
        <w:jc w:val="both"/>
      </w:pPr>
      <w:r w:rsidRPr="00BA0CE0">
        <w:rPr>
          <w:b/>
        </w:rPr>
        <w:t xml:space="preserve">Fig. S9 </w:t>
      </w:r>
      <w:r w:rsidRPr="00BA0CE0">
        <w:t>Breakthrough curves for Heavy metal ions using Zr-ATMP</w:t>
      </w:r>
    </w:p>
    <w:p w:rsidR="00156933" w:rsidRPr="00BA0CE0" w:rsidRDefault="00156933" w:rsidP="009E1F5F">
      <w:pPr>
        <w:spacing w:line="360" w:lineRule="auto"/>
        <w:ind w:left="990" w:hanging="990"/>
        <w:jc w:val="both"/>
      </w:pPr>
    </w:p>
    <w:p w:rsidR="00156933" w:rsidRPr="00BA0CE0" w:rsidRDefault="00156933" w:rsidP="009E1F5F">
      <w:pPr>
        <w:spacing w:line="360" w:lineRule="auto"/>
        <w:ind w:left="990" w:hanging="990"/>
        <w:jc w:val="both"/>
      </w:pPr>
    </w:p>
    <w:p w:rsidR="00156933" w:rsidRPr="00BA0CE0" w:rsidRDefault="00156933" w:rsidP="009E1F5F">
      <w:pPr>
        <w:spacing w:line="360" w:lineRule="auto"/>
        <w:ind w:left="990" w:hanging="990"/>
        <w:jc w:val="both"/>
      </w:pPr>
    </w:p>
    <w:p w:rsidR="00156933" w:rsidRPr="00BA0CE0" w:rsidRDefault="00156933" w:rsidP="00156933">
      <w:pPr>
        <w:spacing w:before="0" w:line="276" w:lineRule="auto"/>
        <w:rPr>
          <w:b/>
          <w:i/>
          <w:u w:val="single"/>
          <w:lang w:val="pt-BR"/>
        </w:rPr>
      </w:pPr>
    </w:p>
    <w:p w:rsidR="00156933" w:rsidRPr="00BA0CE0" w:rsidRDefault="00156933" w:rsidP="00156933">
      <w:pPr>
        <w:spacing w:before="0" w:line="276" w:lineRule="auto"/>
        <w:rPr>
          <w:b/>
          <w:i/>
          <w:u w:val="single"/>
          <w:lang w:val="pt-BR"/>
        </w:rPr>
      </w:pPr>
      <w:r w:rsidRPr="00BA0CE0">
        <w:rPr>
          <w:b/>
          <w:i/>
          <w:u w:val="single"/>
          <w:lang w:val="pt-BR"/>
        </w:rPr>
        <w:lastRenderedPageBreak/>
        <w:t xml:space="preserve">Section-3 Theory </w:t>
      </w:r>
    </w:p>
    <w:p w:rsidR="00156933" w:rsidRPr="00BA0CE0" w:rsidRDefault="00DB75D9" w:rsidP="007B1BA8">
      <w:pPr>
        <w:spacing w:before="0" w:line="360" w:lineRule="auto"/>
        <w:jc w:val="both"/>
        <w:rPr>
          <w:b/>
          <w:i/>
        </w:rPr>
      </w:pPr>
      <w:r w:rsidRPr="00BA0CE0">
        <w:rPr>
          <w:b/>
          <w:i/>
        </w:rPr>
        <w:t>S</w:t>
      </w:r>
      <w:r w:rsidR="00C55C3F" w:rsidRPr="00BA0CE0">
        <w:rPr>
          <w:b/>
          <w:i/>
        </w:rPr>
        <w:t xml:space="preserve">3.1 Explanation about the </w:t>
      </w:r>
      <w:r w:rsidR="00156933" w:rsidRPr="00BA0CE0">
        <w:rPr>
          <w:b/>
          <w:i/>
        </w:rPr>
        <w:t xml:space="preserve">Thermodynamics </w:t>
      </w:r>
      <w:r w:rsidR="00C55C3F" w:rsidRPr="00BA0CE0">
        <w:rPr>
          <w:b/>
          <w:i/>
        </w:rPr>
        <w:t xml:space="preserve">parameters </w:t>
      </w:r>
      <w:r w:rsidR="00156933" w:rsidRPr="00BA0CE0">
        <w:rPr>
          <w:b/>
          <w:i/>
        </w:rPr>
        <w:t>of ion exchange</w:t>
      </w:r>
    </w:p>
    <w:p w:rsidR="00156933" w:rsidRPr="00BA0CE0" w:rsidRDefault="00156933" w:rsidP="007B1BA8">
      <w:pPr>
        <w:spacing w:before="0" w:line="360" w:lineRule="auto"/>
        <w:ind w:firstLine="720"/>
        <w:jc w:val="both"/>
      </w:pPr>
      <w:r w:rsidRPr="00BA0CE0">
        <w:rPr>
          <w:szCs w:val="20"/>
        </w:rPr>
        <w:t>Negative Δ</w:t>
      </w:r>
      <w:r w:rsidRPr="00BA0CE0">
        <w:rPr>
          <w:i/>
          <w:iCs/>
          <w:szCs w:val="20"/>
        </w:rPr>
        <w:t>G°</w:t>
      </w:r>
      <w:r w:rsidRPr="00BA0CE0">
        <w:rPr>
          <w:szCs w:val="20"/>
        </w:rPr>
        <w:t xml:space="preserve"> values indicate that the exchange process is feasible and spontaneous in nature. </w:t>
      </w:r>
      <w:r w:rsidRPr="00BA0CE0">
        <w:t>A negative enthalpy change (</w:t>
      </w:r>
      <w:r w:rsidRPr="00BA0CE0">
        <w:rPr>
          <w:i/>
          <w:iCs/>
        </w:rPr>
        <w:t>ΔH°</w:t>
      </w:r>
      <w:r w:rsidRPr="00BA0CE0">
        <w:t>) indicates that the exchange reaction is exothermic while a positive enthalpy change indicates that the exchange reaction is endothermic. The enthalpy change (</w:t>
      </w:r>
      <w:r w:rsidRPr="00BA0CE0">
        <w:rPr>
          <w:i/>
          <w:iCs/>
        </w:rPr>
        <w:t>ΔH°</w:t>
      </w:r>
      <w:r w:rsidRPr="00BA0CE0">
        <w:t>) for an ion exchange reaction can be either of the reasons or a net effect of the following factors: (1) the heat consumed in bond breaking, as H</w:t>
      </w:r>
      <w:r w:rsidRPr="00BA0CE0">
        <w:rPr>
          <w:vertAlign w:val="superscript"/>
        </w:rPr>
        <w:t>+</w:t>
      </w:r>
      <w:r w:rsidRPr="00BA0CE0">
        <w:t xml:space="preserve"> is released from the resin (2) the heat released in the formation of bonds with the incoming cation (3) the heat corresponding to the energy required for crossing the barrier (distance between exchange phase and solution phase) (4) the enthalpy change accompanying hydration and dehydration of exchanging ion in the solution. The entropy change (</w:t>
      </w:r>
      <w:r w:rsidRPr="00BA0CE0">
        <w:rPr>
          <w:i/>
          <w:iCs/>
        </w:rPr>
        <w:t>ΔS°</w:t>
      </w:r>
      <w:r w:rsidRPr="00BA0CE0">
        <w:rPr>
          <w:iCs/>
        </w:rPr>
        <w:t>)</w:t>
      </w:r>
      <w:r w:rsidRPr="00BA0CE0">
        <w:t xml:space="preserve"> normally depends on the extent of hydration of the exchangeable and exchanging ions along with any change in water structure around ions that may occur when they pass through the channels of the exchanger, introducing a high degree of disorder into the resin matrix due to the ion exchange process.</w:t>
      </w:r>
    </w:p>
    <w:p w:rsidR="00156933" w:rsidRPr="00BA0CE0" w:rsidRDefault="00DB75D9" w:rsidP="007B1BA8">
      <w:pPr>
        <w:spacing w:before="0" w:line="360" w:lineRule="auto"/>
        <w:jc w:val="both"/>
        <w:rPr>
          <w:sz w:val="32"/>
          <w:szCs w:val="26"/>
        </w:rPr>
      </w:pPr>
      <w:r w:rsidRPr="00BA0CE0">
        <w:rPr>
          <w:b/>
          <w:i/>
        </w:rPr>
        <w:t>S</w:t>
      </w:r>
      <w:r w:rsidR="00156933" w:rsidRPr="00BA0CE0">
        <w:rPr>
          <w:b/>
          <w:i/>
        </w:rPr>
        <w:t xml:space="preserve">3.2 </w:t>
      </w:r>
      <w:r w:rsidR="00156933" w:rsidRPr="00BA0CE0">
        <w:rPr>
          <w:b/>
          <w:i/>
          <w:sz w:val="28"/>
        </w:rPr>
        <w:t>Kinetics of Exchange</w:t>
      </w:r>
    </w:p>
    <w:p w:rsidR="00156933" w:rsidRPr="00BA0CE0" w:rsidRDefault="00156933" w:rsidP="007B1BA8">
      <w:pPr>
        <w:spacing w:before="0" w:line="360" w:lineRule="auto"/>
        <w:ind w:firstLine="720"/>
        <w:jc w:val="both"/>
      </w:pPr>
      <w:r w:rsidRPr="00BA0CE0">
        <w:t>Ion exchange was studied at 30</w:t>
      </w:r>
      <w:r w:rsidRPr="00BA0CE0">
        <w:rPr>
          <w:rFonts w:eastAsia="Calibri"/>
          <w:vertAlign w:val="superscript"/>
        </w:rPr>
        <w:t>◦</w:t>
      </w:r>
      <w:r w:rsidRPr="00BA0CE0">
        <w:rPr>
          <w:rFonts w:eastAsia="Calibri"/>
        </w:rPr>
        <w:t>C</w:t>
      </w:r>
      <w:r w:rsidRPr="00BA0CE0">
        <w:t xml:space="preserve"> by varying the concentration of metal ions and effect of reaction temperature on ion exchange was studied in the temperature range 30</w:t>
      </w:r>
      <w:r w:rsidRPr="00BA0CE0">
        <w:rPr>
          <w:rFonts w:eastAsia="Calibri"/>
          <w:vertAlign w:val="superscript"/>
        </w:rPr>
        <w:t>◦</w:t>
      </w:r>
      <w:r w:rsidRPr="00BA0CE0">
        <w:rPr>
          <w:rFonts w:eastAsia="Calibri"/>
        </w:rPr>
        <w:t>C</w:t>
      </w:r>
      <w:r w:rsidRPr="00BA0CE0">
        <w:t xml:space="preserve"> – 60</w:t>
      </w:r>
      <w:r w:rsidRPr="00BA0CE0">
        <w:rPr>
          <w:rFonts w:eastAsia="Calibri"/>
          <w:vertAlign w:val="superscript"/>
        </w:rPr>
        <w:t>◦</w:t>
      </w:r>
      <w:r w:rsidRPr="00BA0CE0">
        <w:rPr>
          <w:rFonts w:eastAsia="Calibri"/>
        </w:rPr>
        <w:t>C</w:t>
      </w:r>
      <w:r w:rsidRPr="00BA0CE0">
        <w:t xml:space="preserve"> with 10</w:t>
      </w:r>
      <w:r w:rsidRPr="00BA0CE0">
        <w:rPr>
          <w:rFonts w:eastAsia="Calibri"/>
          <w:vertAlign w:val="superscript"/>
        </w:rPr>
        <w:t>◦</w:t>
      </w:r>
      <w:r w:rsidRPr="00BA0CE0">
        <w:rPr>
          <w:rFonts w:eastAsia="Calibri"/>
        </w:rPr>
        <w:t>C</w:t>
      </w:r>
      <w:r w:rsidRPr="00BA0CE0">
        <w:t xml:space="preserve"> intervals for  Cu</w:t>
      </w:r>
      <w:r w:rsidRPr="00BA0CE0">
        <w:rPr>
          <w:vertAlign w:val="superscript"/>
        </w:rPr>
        <w:t>2+</w:t>
      </w:r>
      <w:r w:rsidRPr="00BA0CE0">
        <w:t>, Zn</w:t>
      </w:r>
      <w:r w:rsidRPr="00BA0CE0">
        <w:rPr>
          <w:vertAlign w:val="superscript"/>
        </w:rPr>
        <w:t>2+</w:t>
      </w:r>
      <w:r w:rsidRPr="00BA0CE0">
        <w:t>, Ni</w:t>
      </w:r>
      <w:r w:rsidRPr="00BA0CE0">
        <w:rPr>
          <w:vertAlign w:val="superscript"/>
        </w:rPr>
        <w:t>2+</w:t>
      </w:r>
      <w:r w:rsidRPr="00BA0CE0">
        <w:t>,Co</w:t>
      </w:r>
      <w:r w:rsidRPr="00BA0CE0">
        <w:rPr>
          <w:vertAlign w:val="superscript"/>
        </w:rPr>
        <w:t>2+</w:t>
      </w:r>
      <w:r w:rsidRPr="00BA0CE0">
        <w:t xml:space="preserve"> (transition metal ions)  and Pb</w:t>
      </w:r>
      <w:r w:rsidRPr="00BA0CE0">
        <w:rPr>
          <w:vertAlign w:val="superscript"/>
        </w:rPr>
        <w:t>2+</w:t>
      </w:r>
      <w:r w:rsidRPr="00BA0CE0">
        <w:t>,Cd</w:t>
      </w:r>
      <w:r w:rsidRPr="00BA0CE0">
        <w:rPr>
          <w:vertAlign w:val="superscript"/>
        </w:rPr>
        <w:t>2+</w:t>
      </w:r>
      <w:r w:rsidRPr="00BA0CE0">
        <w:t>,Hg</w:t>
      </w:r>
      <w:r w:rsidRPr="00BA0CE0">
        <w:rPr>
          <w:vertAlign w:val="superscript"/>
        </w:rPr>
        <w:t>2+</w:t>
      </w:r>
      <w:r w:rsidRPr="00BA0CE0">
        <w:t xml:space="preserve"> (heavy metal ions).</w:t>
      </w:r>
      <w:r w:rsidR="00C55C3F" w:rsidRPr="00BA0CE0">
        <w:t xml:space="preserve"> </w:t>
      </w:r>
      <w:r w:rsidRPr="00BA0CE0">
        <w:t xml:space="preserve">The plots of </w:t>
      </w:r>
      <w:r w:rsidRPr="00BA0CE0">
        <w:rPr>
          <w:rFonts w:ascii="Symbol" w:hAnsi="Symbol"/>
          <w:i/>
          <w:iCs/>
        </w:rPr>
        <w:t></w:t>
      </w:r>
      <w:r w:rsidRPr="00BA0CE0">
        <w:t xml:space="preserve"> versus </w:t>
      </w:r>
      <w:r w:rsidRPr="00BA0CE0">
        <w:rPr>
          <w:i/>
          <w:iCs/>
        </w:rPr>
        <w:t>t</w:t>
      </w:r>
      <w:r w:rsidRPr="00BA0CE0">
        <w:t xml:space="preserve"> (Supporting Information Figure S6) for Cu</w:t>
      </w:r>
      <w:r w:rsidRPr="00BA0CE0">
        <w:rPr>
          <w:vertAlign w:val="superscript"/>
        </w:rPr>
        <w:t>2+</w:t>
      </w:r>
      <w:r w:rsidRPr="00BA0CE0">
        <w:t xml:space="preserve"> – H</w:t>
      </w:r>
      <w:r w:rsidRPr="00BA0CE0">
        <w:rPr>
          <w:vertAlign w:val="superscript"/>
        </w:rPr>
        <w:t>+</w:t>
      </w:r>
      <w:r w:rsidRPr="00BA0CE0">
        <w:t xml:space="preserve"> exchanges at different temperatures were linear. From the slope (</w:t>
      </w:r>
      <w:r w:rsidRPr="00BA0CE0">
        <w:rPr>
          <w:i/>
          <w:iCs/>
        </w:rPr>
        <w:t>S</w:t>
      </w:r>
      <w:r w:rsidRPr="00BA0CE0">
        <w:t xml:space="preserve">) of the </w:t>
      </w:r>
      <w:r w:rsidRPr="00BA0CE0">
        <w:rPr>
          <w:rFonts w:ascii="Symbol" w:hAnsi="Symbol"/>
          <w:i/>
          <w:iCs/>
        </w:rPr>
        <w:t></w:t>
      </w:r>
      <w:r w:rsidRPr="00BA0CE0">
        <w:rPr>
          <w:rFonts w:ascii="Symbol" w:hAnsi="Symbol"/>
        </w:rPr>
        <w:t></w:t>
      </w:r>
      <w:r w:rsidRPr="00BA0CE0">
        <w:t xml:space="preserve">versus </w:t>
      </w:r>
      <w:r w:rsidRPr="00BA0CE0">
        <w:rPr>
          <w:i/>
          <w:iCs/>
        </w:rPr>
        <w:t>t</w:t>
      </w:r>
      <w:r w:rsidRPr="00BA0CE0">
        <w:t xml:space="preserve"> plots, values of </w:t>
      </w:r>
      <w:r w:rsidRPr="00BA0CE0">
        <w:rPr>
          <w:i/>
          <w:iCs/>
        </w:rPr>
        <w:t>D</w:t>
      </w:r>
      <w:r w:rsidRPr="00BA0CE0">
        <w:rPr>
          <w:i/>
          <w:iCs/>
          <w:vertAlign w:val="subscript"/>
        </w:rPr>
        <w:t>A</w:t>
      </w:r>
      <w:r w:rsidRPr="00BA0CE0">
        <w:rPr>
          <w:vertAlign w:val="subscript"/>
        </w:rPr>
        <w:t xml:space="preserve"> </w:t>
      </w:r>
      <w:r w:rsidRPr="00BA0CE0">
        <w:t xml:space="preserve">were calculated using the relationship </w:t>
      </w:r>
      <w:r w:rsidRPr="00BA0CE0">
        <w:rPr>
          <w:i/>
          <w:iCs/>
        </w:rPr>
        <w:t>D</w:t>
      </w:r>
      <w:r w:rsidRPr="00BA0CE0">
        <w:rPr>
          <w:i/>
          <w:iCs/>
          <w:vertAlign w:val="subscript"/>
        </w:rPr>
        <w:t>A</w:t>
      </w:r>
      <w:r w:rsidRPr="00BA0CE0">
        <w:rPr>
          <w:i/>
          <w:iCs/>
        </w:rPr>
        <w:t xml:space="preserve"> = S </w:t>
      </w:r>
      <w:r w:rsidRPr="00BA0CE0">
        <w:rPr>
          <w:iCs/>
        </w:rPr>
        <w:sym w:font="Symbol" w:char="F0B4"/>
      </w:r>
      <w:r w:rsidRPr="00BA0CE0">
        <w:rPr>
          <w:i/>
          <w:iCs/>
        </w:rPr>
        <w:t xml:space="preserve"> r</w:t>
      </w:r>
      <w:r w:rsidRPr="00BA0CE0">
        <w:rPr>
          <w:i/>
          <w:iCs/>
          <w:vertAlign w:val="subscript"/>
        </w:rPr>
        <w:t>0</w:t>
      </w:r>
      <w:r w:rsidRPr="00BA0CE0">
        <w:rPr>
          <w:i/>
          <w:iCs/>
          <w:vertAlign w:val="superscript"/>
        </w:rPr>
        <w:t>2</w:t>
      </w:r>
      <w:r w:rsidRPr="00BA0CE0">
        <w:rPr>
          <w:iCs/>
        </w:rPr>
        <w:t xml:space="preserve"> where, S= slope values (obtained from </w:t>
      </w:r>
      <w:r w:rsidRPr="00BA0CE0">
        <w:rPr>
          <w:rFonts w:ascii="Symbol" w:hAnsi="Symbol"/>
          <w:iCs/>
        </w:rPr>
        <w:t></w:t>
      </w:r>
      <w:r w:rsidRPr="00BA0CE0">
        <w:rPr>
          <w:iCs/>
        </w:rPr>
        <w:t xml:space="preserve"> versus t) and </w:t>
      </w:r>
      <w:r w:rsidRPr="00BA0CE0">
        <w:rPr>
          <w:i/>
          <w:iCs/>
        </w:rPr>
        <w:t>r</w:t>
      </w:r>
      <w:r w:rsidRPr="00BA0CE0">
        <w:rPr>
          <w:i/>
          <w:iCs/>
          <w:vertAlign w:val="subscript"/>
        </w:rPr>
        <w:t>0=</w:t>
      </w:r>
      <w:r w:rsidRPr="00BA0CE0">
        <w:rPr>
          <w:bCs/>
          <w:iCs/>
          <w:sz w:val="26"/>
          <w:szCs w:val="26"/>
        </w:rPr>
        <w:t xml:space="preserve"> </w:t>
      </w:r>
      <w:r w:rsidRPr="00BA0CE0">
        <w:rPr>
          <w:bCs/>
          <w:iCs/>
          <w:szCs w:val="26"/>
        </w:rPr>
        <w:t>bead radius</w:t>
      </w:r>
      <w:r w:rsidRPr="00BA0CE0">
        <w:t xml:space="preserve">. It is observed from (Supporting Information Figure S7) that the plots of </w:t>
      </w:r>
      <w:r w:rsidRPr="00BA0CE0">
        <w:rPr>
          <w:i/>
          <w:iCs/>
        </w:rPr>
        <w:t>ln D</w:t>
      </w:r>
      <w:r w:rsidRPr="00BA0CE0">
        <w:rPr>
          <w:i/>
          <w:iCs/>
          <w:vertAlign w:val="subscript"/>
        </w:rPr>
        <w:t>A</w:t>
      </w:r>
      <w:r w:rsidRPr="00BA0CE0">
        <w:t xml:space="preserve"> versus </w:t>
      </w:r>
      <w:r w:rsidRPr="00BA0CE0">
        <w:rPr>
          <w:i/>
          <w:iCs/>
        </w:rPr>
        <w:t>1/T</w:t>
      </w:r>
      <w:r w:rsidRPr="00BA0CE0">
        <w:t xml:space="preserve"> are linear, verifying the validity of the Arrhenius relation, </w:t>
      </w:r>
      <w:r w:rsidRPr="00BA0CE0">
        <w:rPr>
          <w:i/>
          <w:iCs/>
        </w:rPr>
        <w:t>D</w:t>
      </w:r>
      <w:r w:rsidRPr="00BA0CE0">
        <w:rPr>
          <w:i/>
          <w:iCs/>
          <w:vertAlign w:val="subscript"/>
        </w:rPr>
        <w:t>A</w:t>
      </w:r>
      <w:r w:rsidRPr="00BA0CE0">
        <w:rPr>
          <w:i/>
          <w:iCs/>
        </w:rPr>
        <w:t xml:space="preserve"> = D</w:t>
      </w:r>
      <w:r w:rsidRPr="00BA0CE0">
        <w:rPr>
          <w:i/>
          <w:iCs/>
          <w:vertAlign w:val="subscript"/>
        </w:rPr>
        <w:t>0</w:t>
      </w:r>
      <w:r w:rsidRPr="00BA0CE0">
        <w:rPr>
          <w:i/>
          <w:iCs/>
        </w:rPr>
        <w:t xml:space="preserve"> exp(-E</w:t>
      </w:r>
      <w:r w:rsidRPr="00BA0CE0">
        <w:rPr>
          <w:i/>
          <w:iCs/>
          <w:vertAlign w:val="subscript"/>
        </w:rPr>
        <w:t>a</w:t>
      </w:r>
      <w:r w:rsidRPr="00BA0CE0">
        <w:rPr>
          <w:i/>
          <w:iCs/>
        </w:rPr>
        <w:t>/RT)</w:t>
      </w:r>
      <w:r w:rsidRPr="00BA0CE0">
        <w:t>. The energy of activation (</w:t>
      </w:r>
      <w:r w:rsidRPr="00BA0CE0">
        <w:rPr>
          <w:i/>
          <w:iCs/>
        </w:rPr>
        <w:t>E</w:t>
      </w:r>
      <w:r w:rsidRPr="00BA0CE0">
        <w:rPr>
          <w:i/>
          <w:iCs/>
          <w:vertAlign w:val="subscript"/>
        </w:rPr>
        <w:t>a</w:t>
      </w:r>
      <w:r w:rsidRPr="00BA0CE0">
        <w:t>) and the pre-exponential constant (</w:t>
      </w:r>
      <w:r w:rsidRPr="00BA0CE0">
        <w:rPr>
          <w:i/>
          <w:iCs/>
        </w:rPr>
        <w:t>D</w:t>
      </w:r>
      <w:r w:rsidRPr="00BA0CE0">
        <w:rPr>
          <w:i/>
          <w:iCs/>
          <w:vertAlign w:val="subscript"/>
        </w:rPr>
        <w:t>0</w:t>
      </w:r>
      <w:r w:rsidRPr="00BA0CE0">
        <w:t>) were evaluated from the slope and intercept of these plots. The entropy of activation (</w:t>
      </w:r>
      <w:r w:rsidRPr="00BA0CE0">
        <w:rPr>
          <w:i/>
          <w:iCs/>
        </w:rPr>
        <w:sym w:font="Symbol" w:char="F044"/>
      </w:r>
      <w:r w:rsidRPr="00BA0CE0">
        <w:rPr>
          <w:i/>
          <w:iCs/>
        </w:rPr>
        <w:t>S</w:t>
      </w:r>
      <w:r w:rsidRPr="00BA0CE0">
        <w:rPr>
          <w:i/>
          <w:iCs/>
          <w:vertAlign w:val="superscript"/>
        </w:rPr>
        <w:t>*</w:t>
      </w:r>
      <w:r w:rsidRPr="00BA0CE0">
        <w:t xml:space="preserve">) was then calculated using the equation </w:t>
      </w:r>
      <w:r w:rsidRPr="00BA0CE0">
        <w:rPr>
          <w:i/>
          <w:iCs/>
        </w:rPr>
        <w:t>D</w:t>
      </w:r>
      <w:r w:rsidRPr="00BA0CE0">
        <w:rPr>
          <w:i/>
          <w:iCs/>
          <w:vertAlign w:val="subscript"/>
        </w:rPr>
        <w:t>0</w:t>
      </w:r>
      <w:r w:rsidRPr="00BA0CE0">
        <w:rPr>
          <w:i/>
          <w:iCs/>
        </w:rPr>
        <w:t xml:space="preserve"> = 2.72 d</w:t>
      </w:r>
      <w:r w:rsidRPr="00BA0CE0">
        <w:rPr>
          <w:i/>
          <w:iCs/>
          <w:vertAlign w:val="superscript"/>
        </w:rPr>
        <w:t>2</w:t>
      </w:r>
      <w:r w:rsidRPr="00BA0CE0">
        <w:rPr>
          <w:i/>
          <w:iCs/>
        </w:rPr>
        <w:t xml:space="preserve"> kT / h exp (ΔS</w:t>
      </w:r>
      <w:r w:rsidRPr="00BA0CE0">
        <w:rPr>
          <w:i/>
          <w:iCs/>
          <w:vertAlign w:val="superscript"/>
        </w:rPr>
        <w:t>*</w:t>
      </w:r>
      <w:r w:rsidRPr="00BA0CE0">
        <w:rPr>
          <w:i/>
          <w:iCs/>
        </w:rPr>
        <w:t>/R)</w:t>
      </w:r>
      <w:r w:rsidRPr="00BA0CE0">
        <w:t xml:space="preserve"> where </w:t>
      </w:r>
      <w:r w:rsidRPr="00BA0CE0">
        <w:rPr>
          <w:i/>
          <w:iCs/>
        </w:rPr>
        <w:t xml:space="preserve">d </w:t>
      </w:r>
      <w:r w:rsidRPr="00BA0CE0">
        <w:rPr>
          <w:iCs/>
        </w:rPr>
        <w:t>is</w:t>
      </w:r>
      <w:r w:rsidRPr="00BA0CE0">
        <w:t xml:space="preserve"> the average distance between two exchanging sites taken as 5 Å</w:t>
      </w:r>
      <w:r w:rsidRPr="00BA0CE0">
        <w:rPr>
          <w:vertAlign w:val="superscript"/>
        </w:rPr>
        <w:t xml:space="preserve"> </w:t>
      </w:r>
      <w:r w:rsidRPr="00BA0CE0">
        <w:t>, while other terms have their usual</w:t>
      </w:r>
      <w:r w:rsidR="00BC6CB2" w:rsidRPr="00BA0CE0">
        <w:t xml:space="preserve"> meaning</w:t>
      </w:r>
      <w:r w:rsidRPr="00BA0CE0">
        <w:t>. Since the exchanger is not dynamic, ion exchange process depends on mobility of the exchanging ions. Self-diffusion coefficient (</w:t>
      </w:r>
      <w:r w:rsidRPr="00BA0CE0">
        <w:rPr>
          <w:i/>
          <w:iCs/>
        </w:rPr>
        <w:t>D</w:t>
      </w:r>
      <w:r w:rsidRPr="00BA0CE0">
        <w:rPr>
          <w:i/>
          <w:iCs/>
          <w:vertAlign w:val="subscript"/>
        </w:rPr>
        <w:t>0</w:t>
      </w:r>
      <w:r w:rsidRPr="00BA0CE0">
        <w:t>) gives an idea about the mobility of the migrating ions and depends on the size and charge of the ion and also on the extent of hydration in aqueous medium.  During the exchange, the orientation of the exchanger sites and mobile ions are equally important and is expressed as the orientation factor. Orientation factor being related to randomness, is given by entropy of activation (</w:t>
      </w:r>
      <w:r w:rsidRPr="00BA0CE0">
        <w:rPr>
          <w:i/>
          <w:iCs/>
        </w:rPr>
        <w:t>ΔS</w:t>
      </w:r>
      <w:r w:rsidRPr="00BA0CE0">
        <w:rPr>
          <w:i/>
          <w:iCs/>
          <w:vertAlign w:val="superscript"/>
        </w:rPr>
        <w:t>*</w:t>
      </w:r>
      <w:r w:rsidRPr="00BA0CE0">
        <w:t xml:space="preserve">). </w:t>
      </w:r>
      <w:r w:rsidRPr="00BA0CE0">
        <w:lastRenderedPageBreak/>
        <w:t xml:space="preserve">The overall rate of exchange reaction thus depends on </w:t>
      </w:r>
      <w:r w:rsidRPr="00BA0CE0">
        <w:rPr>
          <w:i/>
          <w:iCs/>
        </w:rPr>
        <w:t>D</w:t>
      </w:r>
      <w:r w:rsidRPr="00BA0CE0">
        <w:rPr>
          <w:i/>
          <w:iCs/>
          <w:vertAlign w:val="subscript"/>
        </w:rPr>
        <w:t>0</w:t>
      </w:r>
      <w:r w:rsidRPr="00BA0CE0">
        <w:t xml:space="preserve">, </w:t>
      </w:r>
      <w:r w:rsidRPr="00BA0CE0">
        <w:rPr>
          <w:i/>
          <w:iCs/>
        </w:rPr>
        <w:t>E</w:t>
      </w:r>
      <w:r w:rsidRPr="00BA0CE0">
        <w:rPr>
          <w:i/>
          <w:iCs/>
          <w:vertAlign w:val="subscript"/>
        </w:rPr>
        <w:t>a</w:t>
      </w:r>
      <w:r w:rsidRPr="00BA0CE0">
        <w:t xml:space="preserve"> and </w:t>
      </w:r>
      <w:r w:rsidRPr="00BA0CE0">
        <w:rPr>
          <w:i/>
          <w:iCs/>
        </w:rPr>
        <w:t>ΔS</w:t>
      </w:r>
      <w:r w:rsidRPr="00BA0CE0">
        <w:rPr>
          <w:i/>
          <w:iCs/>
          <w:vertAlign w:val="superscript"/>
        </w:rPr>
        <w:t>*</w:t>
      </w:r>
      <w:r w:rsidRPr="00BA0CE0">
        <w:t xml:space="preserve">. It is thus expected that larger values of </w:t>
      </w:r>
      <w:r w:rsidRPr="00BA0CE0">
        <w:rPr>
          <w:i/>
          <w:iCs/>
        </w:rPr>
        <w:t>D</w:t>
      </w:r>
      <w:r w:rsidRPr="00BA0CE0">
        <w:rPr>
          <w:i/>
          <w:iCs/>
          <w:vertAlign w:val="subscript"/>
        </w:rPr>
        <w:t xml:space="preserve">0 </w:t>
      </w:r>
      <w:r w:rsidRPr="00BA0CE0">
        <w:t xml:space="preserve">and </w:t>
      </w:r>
      <w:r w:rsidRPr="00BA0CE0">
        <w:rPr>
          <w:i/>
          <w:iCs/>
        </w:rPr>
        <w:t>ΔS</w:t>
      </w:r>
      <w:r w:rsidRPr="00BA0CE0">
        <w:rPr>
          <w:i/>
          <w:iCs/>
          <w:vertAlign w:val="superscript"/>
        </w:rPr>
        <w:t>*</w:t>
      </w:r>
      <w:r w:rsidRPr="00BA0CE0">
        <w:t xml:space="preserve">, and smaller values of </w:t>
      </w:r>
      <w:r w:rsidRPr="00BA0CE0">
        <w:rPr>
          <w:i/>
          <w:iCs/>
        </w:rPr>
        <w:t>E</w:t>
      </w:r>
      <w:r w:rsidRPr="00BA0CE0">
        <w:rPr>
          <w:i/>
          <w:iCs/>
          <w:vertAlign w:val="subscript"/>
        </w:rPr>
        <w:t xml:space="preserve">a </w:t>
      </w:r>
      <w:r w:rsidRPr="00BA0CE0">
        <w:rPr>
          <w:iCs/>
        </w:rPr>
        <w:t>indicate a</w:t>
      </w:r>
      <w:r w:rsidRPr="00BA0CE0">
        <w:t xml:space="preserve"> faster rate of exchange.</w:t>
      </w:r>
      <w:r w:rsidR="00C55C3F" w:rsidRPr="00BA0CE0">
        <w:t xml:space="preserve"> </w:t>
      </w:r>
      <w:r w:rsidRPr="00BA0CE0">
        <w:t>The entropy reflects the changes in hydration sphere of the exchanging cation during the ion exchange process. When ion exchange occurs, cation of high entropy in the external aqueous phase, passes to one of lower entropy in the exchanger phase, which results in a significant negative contribution of entropy change.</w:t>
      </w:r>
    </w:p>
    <w:p w:rsidR="00156933" w:rsidRPr="00BA0CE0" w:rsidRDefault="00DB75D9" w:rsidP="007B1BA8">
      <w:pPr>
        <w:spacing w:before="0" w:line="360" w:lineRule="auto"/>
        <w:jc w:val="both"/>
        <w:rPr>
          <w:b/>
          <w:i/>
          <w:iCs/>
        </w:rPr>
      </w:pPr>
      <w:r w:rsidRPr="00BA0CE0">
        <w:rPr>
          <w:b/>
          <w:i/>
          <w:iCs/>
        </w:rPr>
        <w:t>S</w:t>
      </w:r>
      <w:r w:rsidR="00C55C3F" w:rsidRPr="00BA0CE0">
        <w:rPr>
          <w:b/>
          <w:i/>
          <w:iCs/>
        </w:rPr>
        <w:t xml:space="preserve">3.3 </w:t>
      </w:r>
      <w:r w:rsidR="00156933" w:rsidRPr="00BA0CE0">
        <w:rPr>
          <w:b/>
          <w:i/>
          <w:iCs/>
        </w:rPr>
        <w:t xml:space="preserve">Adsorption Isotherm </w:t>
      </w:r>
    </w:p>
    <w:p w:rsidR="00156933" w:rsidRPr="00BA0CE0" w:rsidRDefault="00156933" w:rsidP="007B1BA8">
      <w:pPr>
        <w:spacing w:before="0" w:line="360" w:lineRule="auto"/>
        <w:ind w:firstLine="720"/>
        <w:jc w:val="both"/>
        <w:rPr>
          <w:iCs/>
        </w:rPr>
      </w:pPr>
      <w:r w:rsidRPr="00BA0CE0">
        <w:rPr>
          <w:iCs/>
        </w:rPr>
        <w:t xml:space="preserve">Equilibrium behaviour is described in terms of equilibrium isotherms which depend on the system temperature, concentration of the solution, contact time, and pH. Adsorption equilibrium is usually established when the concentration of an adsorbate (metal ions) in a bulk solution is in dynamic balance with that of the adsorbent (exchanger) interface. The variation in adsorption with concentration and temperature is generally expressed in terms of adsorption isotherms - Langmuir and Freundlich adsorption isotherms. </w:t>
      </w:r>
    </w:p>
    <w:p w:rsidR="00156933" w:rsidRPr="00BA0CE0" w:rsidRDefault="00156933" w:rsidP="007B1BA8">
      <w:pPr>
        <w:autoSpaceDE w:val="0"/>
        <w:autoSpaceDN w:val="0"/>
        <w:adjustRightInd w:val="0"/>
        <w:spacing w:before="0" w:line="360" w:lineRule="auto"/>
        <w:ind w:firstLine="360"/>
        <w:jc w:val="both"/>
        <w:rPr>
          <w:iCs/>
        </w:rPr>
      </w:pPr>
      <w:r w:rsidRPr="00BA0CE0">
        <w:rPr>
          <w:iCs/>
        </w:rPr>
        <w:t>The linearized form of the Langmuir isotherm equation is given as: Ce/(X/m) = 1/(bVm) + Ce/Vm, where X is the amount of adsorbate, m, the amount of adsorbent, Ce, the equilibrium concentration of the adsorbate in  solution and ‘b’ is a constant that represents adsorption bond energy, which is related to the affinity between the adsorbent and adsorbate. It is also a direct measure for the intensity of the sorption process. Vm is a constant related to the area occupied by a monolayer of sorbate, reflecting the maximum adsorption capacity. A dimensionless constant equilibrium parameter R</w:t>
      </w:r>
      <w:r w:rsidRPr="00BA0CE0">
        <w:rPr>
          <w:iCs/>
          <w:vertAlign w:val="subscript"/>
        </w:rPr>
        <w:t>L</w:t>
      </w:r>
      <w:r w:rsidRPr="00BA0CE0">
        <w:rPr>
          <w:iCs/>
        </w:rPr>
        <w:t xml:space="preserve"> can also be used to express an essential characteristic of the Langmuir isotherm. The R</w:t>
      </w:r>
      <w:r w:rsidRPr="00BA0CE0">
        <w:rPr>
          <w:iCs/>
          <w:vertAlign w:val="subscript"/>
        </w:rPr>
        <w:t>L</w:t>
      </w:r>
      <w:r w:rsidRPr="00BA0CE0">
        <w:rPr>
          <w:iCs/>
        </w:rPr>
        <w:t xml:space="preserve"> value indicates the shape of the isotherm and expressed as an equation, R</w:t>
      </w:r>
      <w:r w:rsidRPr="00BA0CE0">
        <w:rPr>
          <w:iCs/>
          <w:vertAlign w:val="subscript"/>
        </w:rPr>
        <w:t>L</w:t>
      </w:r>
      <w:r w:rsidRPr="00BA0CE0">
        <w:rPr>
          <w:iCs/>
        </w:rPr>
        <w:t xml:space="preserve"> = 1/(1 + bC0). A value 0 &lt; R</w:t>
      </w:r>
      <w:r w:rsidRPr="00BA0CE0">
        <w:rPr>
          <w:iCs/>
          <w:vertAlign w:val="subscript"/>
        </w:rPr>
        <w:t>L</w:t>
      </w:r>
      <w:r w:rsidRPr="00BA0CE0">
        <w:rPr>
          <w:iCs/>
        </w:rPr>
        <w:t xml:space="preserve"> &lt; 1 indicates favourable adsorption, R</w:t>
      </w:r>
      <w:r w:rsidRPr="00BA0CE0">
        <w:rPr>
          <w:iCs/>
          <w:vertAlign w:val="subscript"/>
        </w:rPr>
        <w:t>L</w:t>
      </w:r>
      <w:r w:rsidRPr="00BA0CE0">
        <w:rPr>
          <w:iCs/>
        </w:rPr>
        <w:t xml:space="preserve"> = 0 indicates irreversible adsorption, R</w:t>
      </w:r>
      <w:r w:rsidRPr="00BA0CE0">
        <w:rPr>
          <w:iCs/>
          <w:vertAlign w:val="subscript"/>
        </w:rPr>
        <w:t>L</w:t>
      </w:r>
      <w:r w:rsidRPr="00BA0CE0">
        <w:rPr>
          <w:iCs/>
        </w:rPr>
        <w:t xml:space="preserve"> = 1 means linear adsorption while a value, R</w:t>
      </w:r>
      <w:r w:rsidRPr="00BA0CE0">
        <w:rPr>
          <w:iCs/>
          <w:vertAlign w:val="subscript"/>
        </w:rPr>
        <w:t>L</w:t>
      </w:r>
      <w:r w:rsidRPr="00BA0CE0">
        <w:rPr>
          <w:iCs/>
        </w:rPr>
        <w:t xml:space="preserve"> &gt; 1 indicates an unfavorable adsorption</w:t>
      </w:r>
    </w:p>
    <w:p w:rsidR="00156933" w:rsidRPr="00BA0CE0" w:rsidRDefault="00156933" w:rsidP="007B1BA8">
      <w:pPr>
        <w:autoSpaceDE w:val="0"/>
        <w:autoSpaceDN w:val="0"/>
        <w:adjustRightInd w:val="0"/>
        <w:spacing w:before="0" w:line="360" w:lineRule="auto"/>
        <w:ind w:firstLine="360"/>
        <w:jc w:val="both"/>
        <w:rPr>
          <w:iCs/>
        </w:rPr>
      </w:pPr>
      <w:r w:rsidRPr="00BA0CE0">
        <w:rPr>
          <w:iCs/>
        </w:rPr>
        <w:t>Freundlich isotherm is expressed as, log(X/m) = logK + (1/n)logCe, where, X and m have the same meaning as described in Langmuir isotherm, K  and 1/n are the Fruendlich constants, describing the adsorption capacity and intensity respectively. A value, 0 &lt; 1/n &lt; 1 indicates a normal isotherm, while 1/n &gt; 1 is indicative for cooperative sorption, for n = 1 the partition between the two phases is independent of the concentration.</w:t>
      </w:r>
    </w:p>
    <w:p w:rsidR="00156933" w:rsidRPr="00BA0CE0" w:rsidRDefault="00156933" w:rsidP="007B1BA8">
      <w:pPr>
        <w:autoSpaceDE w:val="0"/>
        <w:autoSpaceDN w:val="0"/>
        <w:adjustRightInd w:val="0"/>
        <w:spacing w:before="0" w:line="360" w:lineRule="auto"/>
        <w:ind w:firstLine="360"/>
        <w:jc w:val="both"/>
        <w:rPr>
          <w:iCs/>
        </w:rPr>
      </w:pPr>
      <w:r w:rsidRPr="00BA0CE0">
        <w:rPr>
          <w:iCs/>
        </w:rPr>
        <w:t>The isotherm constants are important in understanding the adsorption mechanism and their subsequent application for prediction of some important design parameters. Plots of Ce/(X/m) vs Ce and log(X/m) vs log Ce are drawn for Langmuir and Freundlich isotherms respectively which are straight lines from which the constants can be determined by the slopes and intercepts. In order to decide which type of isotherm fits better, the R</w:t>
      </w:r>
      <w:r w:rsidRPr="00BA0CE0">
        <w:rPr>
          <w:iCs/>
          <w:vertAlign w:val="superscript"/>
        </w:rPr>
        <w:t>2</w:t>
      </w:r>
      <w:r w:rsidRPr="00BA0CE0">
        <w:rPr>
          <w:iCs/>
        </w:rPr>
        <w:t xml:space="preserve"> values </w:t>
      </w:r>
      <w:r w:rsidRPr="00BA0CE0">
        <w:rPr>
          <w:iCs/>
        </w:rPr>
        <w:lastRenderedPageBreak/>
        <w:t>(goodness of fit criterion) computed by linear regression for both type of isotherms and a value 0 &lt; R</w:t>
      </w:r>
      <w:r w:rsidRPr="00BA0CE0">
        <w:rPr>
          <w:iCs/>
          <w:vertAlign w:val="superscript"/>
        </w:rPr>
        <w:t>2</w:t>
      </w:r>
      <w:r w:rsidRPr="00BA0CE0">
        <w:rPr>
          <w:iCs/>
        </w:rPr>
        <w:t xml:space="preserve"> &lt; 1 indicates that the isotherm provides a good fit to the sorption experimental data where R</w:t>
      </w:r>
      <w:r w:rsidRPr="00BA0CE0">
        <w:rPr>
          <w:iCs/>
          <w:vertAlign w:val="superscript"/>
        </w:rPr>
        <w:t>2</w:t>
      </w:r>
      <w:r w:rsidRPr="00BA0CE0">
        <w:rPr>
          <w:iCs/>
        </w:rPr>
        <w:t xml:space="preserve"> values should be close to unity.</w:t>
      </w:r>
    </w:p>
    <w:p w:rsidR="00156933" w:rsidRPr="00BE2F1E" w:rsidRDefault="00156933" w:rsidP="007B3DA0">
      <w:pPr>
        <w:spacing w:before="0" w:line="360" w:lineRule="auto"/>
        <w:ind w:firstLine="360"/>
        <w:jc w:val="both"/>
        <w:rPr>
          <w:iCs/>
        </w:rPr>
      </w:pPr>
      <w:r w:rsidRPr="00BA0CE0">
        <w:rPr>
          <w:iCs/>
        </w:rPr>
        <w:t>Langmuir constants (b and Vm) and Freundlich constants (K and 1/n) obtained from the slopes and intercepts of the linear plots of Ce/(X/m) vs Ce and log(X/m) vs log Ce  respectively as well as R</w:t>
      </w:r>
      <w:r w:rsidRPr="00BA0CE0">
        <w:rPr>
          <w:iCs/>
          <w:vertAlign w:val="superscript"/>
        </w:rPr>
        <w:t xml:space="preserve">2 </w:t>
      </w:r>
      <w:r w:rsidRPr="00BA0CE0">
        <w:rPr>
          <w:iCs/>
        </w:rPr>
        <w:t>and R</w:t>
      </w:r>
      <w:r w:rsidRPr="00BA0CE0">
        <w:rPr>
          <w:iCs/>
          <w:vertAlign w:val="subscript"/>
        </w:rPr>
        <w:t>L</w:t>
      </w:r>
      <w:r w:rsidRPr="00BA0CE0">
        <w:rPr>
          <w:iCs/>
        </w:rPr>
        <w:t xml:space="preserve"> values are listed in Table 5. The R</w:t>
      </w:r>
      <w:r w:rsidRPr="00BA0CE0">
        <w:rPr>
          <w:iCs/>
          <w:vertAlign w:val="superscript"/>
        </w:rPr>
        <w:t>2</w:t>
      </w:r>
      <w:r w:rsidRPr="00BA0CE0">
        <w:rPr>
          <w:iCs/>
        </w:rPr>
        <w:t xml:space="preserve"> values show that the Langmuir and Fruendlich isotherms provides a good fit to the experimental data, where R</w:t>
      </w:r>
      <w:r w:rsidRPr="00BA0CE0">
        <w:rPr>
          <w:iCs/>
          <w:vertAlign w:val="superscript"/>
        </w:rPr>
        <w:t>2</w:t>
      </w:r>
      <w:r w:rsidRPr="00BA0CE0">
        <w:rPr>
          <w:iCs/>
        </w:rPr>
        <w:t xml:space="preserve"> values are found to be close to unity indicating both isotherms to be most appropriate for sorption of all the metal ions under study. Variation in R</w:t>
      </w:r>
      <w:r w:rsidRPr="00BA0CE0">
        <w:rPr>
          <w:iCs/>
          <w:vertAlign w:val="superscript"/>
        </w:rPr>
        <w:t>2</w:t>
      </w:r>
      <w:r w:rsidRPr="00BA0CE0">
        <w:rPr>
          <w:iCs/>
        </w:rPr>
        <w:t xml:space="preserve"> values is attributed to the fact that the surface adsorption is not a monolayer with single site. Two or more sites with different affinities may be involved in metal ion sorption.</w:t>
      </w:r>
    </w:p>
    <w:p w:rsidR="00156933" w:rsidRPr="00A65405" w:rsidRDefault="00156933" w:rsidP="00156933">
      <w:pPr>
        <w:spacing w:before="0" w:line="276" w:lineRule="auto"/>
        <w:jc w:val="both"/>
        <w:rPr>
          <w:b/>
          <w:i/>
          <w:u w:val="single"/>
          <w:lang w:val="pt-BR"/>
        </w:rPr>
      </w:pPr>
    </w:p>
    <w:p w:rsidR="00156933" w:rsidRPr="00E621F4" w:rsidRDefault="00156933" w:rsidP="009E1F5F">
      <w:pPr>
        <w:spacing w:line="360" w:lineRule="auto"/>
        <w:ind w:left="990" w:hanging="990"/>
        <w:jc w:val="both"/>
        <w:rPr>
          <w:b/>
        </w:rPr>
      </w:pPr>
    </w:p>
    <w:sectPr w:rsidR="00156933" w:rsidRPr="00E621F4" w:rsidSect="00617873">
      <w:footerReference w:type="default" r:id="rId21"/>
      <w:pgSz w:w="11906" w:h="16838"/>
      <w:pgMar w:top="1440" w:right="1440" w:bottom="1440" w:left="1440"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B71" w:rsidRDefault="00D64B71" w:rsidP="00E96793">
      <w:pPr>
        <w:spacing w:before="0" w:line="240" w:lineRule="auto"/>
      </w:pPr>
      <w:r>
        <w:separator/>
      </w:r>
    </w:p>
  </w:endnote>
  <w:endnote w:type="continuationSeparator" w:id="0">
    <w:p w:rsidR="00D64B71" w:rsidRDefault="00D64B71" w:rsidP="00E9679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6354"/>
      <w:docPartObj>
        <w:docPartGallery w:val="Page Numbers (Bottom of Page)"/>
        <w:docPartUnique/>
      </w:docPartObj>
    </w:sdtPr>
    <w:sdtContent>
      <w:p w:rsidR="008050A4" w:rsidRDefault="00C414A1">
        <w:pPr>
          <w:pStyle w:val="Footer"/>
        </w:pPr>
        <w:fldSimple w:instr=" PAGE   \* MERGEFORMAT ">
          <w:r w:rsidR="00BA0CE0">
            <w:rPr>
              <w:noProof/>
            </w:rPr>
            <w:t>39</w:t>
          </w:r>
        </w:fldSimple>
      </w:p>
    </w:sdtContent>
  </w:sdt>
  <w:p w:rsidR="008050A4" w:rsidRDefault="00805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B71" w:rsidRDefault="00D64B71" w:rsidP="00E96793">
      <w:pPr>
        <w:spacing w:before="0" w:line="240" w:lineRule="auto"/>
      </w:pPr>
      <w:r>
        <w:separator/>
      </w:r>
    </w:p>
  </w:footnote>
  <w:footnote w:type="continuationSeparator" w:id="0">
    <w:p w:rsidR="00D64B71" w:rsidRDefault="00D64B71" w:rsidP="00E9679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7F9A"/>
    <w:multiLevelType w:val="hybridMultilevel"/>
    <w:tmpl w:val="2CE25526"/>
    <w:lvl w:ilvl="0" w:tplc="BF0CBB3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AF4ACF"/>
    <w:rsid w:val="000266B1"/>
    <w:rsid w:val="0003755D"/>
    <w:rsid w:val="00045610"/>
    <w:rsid w:val="0005314C"/>
    <w:rsid w:val="000828FD"/>
    <w:rsid w:val="0009796F"/>
    <w:rsid w:val="000E6838"/>
    <w:rsid w:val="00103CAC"/>
    <w:rsid w:val="00136C35"/>
    <w:rsid w:val="00137620"/>
    <w:rsid w:val="0014752B"/>
    <w:rsid w:val="00154510"/>
    <w:rsid w:val="00156933"/>
    <w:rsid w:val="00156DA8"/>
    <w:rsid w:val="001641EF"/>
    <w:rsid w:val="00192A58"/>
    <w:rsid w:val="001A17BC"/>
    <w:rsid w:val="001B3067"/>
    <w:rsid w:val="001B57D6"/>
    <w:rsid w:val="001D4494"/>
    <w:rsid w:val="00207F98"/>
    <w:rsid w:val="00215148"/>
    <w:rsid w:val="00216EDE"/>
    <w:rsid w:val="002209AE"/>
    <w:rsid w:val="002230EE"/>
    <w:rsid w:val="002343BC"/>
    <w:rsid w:val="00235CB2"/>
    <w:rsid w:val="00245C02"/>
    <w:rsid w:val="00250902"/>
    <w:rsid w:val="002747E6"/>
    <w:rsid w:val="00276171"/>
    <w:rsid w:val="00296129"/>
    <w:rsid w:val="002B13E4"/>
    <w:rsid w:val="002E1C8C"/>
    <w:rsid w:val="002F7103"/>
    <w:rsid w:val="00311C18"/>
    <w:rsid w:val="00327B8C"/>
    <w:rsid w:val="00373596"/>
    <w:rsid w:val="00377E3D"/>
    <w:rsid w:val="003D7C48"/>
    <w:rsid w:val="003F16F0"/>
    <w:rsid w:val="00406167"/>
    <w:rsid w:val="00424F82"/>
    <w:rsid w:val="0043385C"/>
    <w:rsid w:val="00437D26"/>
    <w:rsid w:val="00451706"/>
    <w:rsid w:val="00455B34"/>
    <w:rsid w:val="00464E8C"/>
    <w:rsid w:val="004765DD"/>
    <w:rsid w:val="00486CCE"/>
    <w:rsid w:val="00490438"/>
    <w:rsid w:val="00492EA0"/>
    <w:rsid w:val="00497229"/>
    <w:rsid w:val="00497897"/>
    <w:rsid w:val="004C1EE7"/>
    <w:rsid w:val="004D63D7"/>
    <w:rsid w:val="004E1379"/>
    <w:rsid w:val="004E6277"/>
    <w:rsid w:val="005045E6"/>
    <w:rsid w:val="005123E4"/>
    <w:rsid w:val="005326C7"/>
    <w:rsid w:val="00533B41"/>
    <w:rsid w:val="005618AB"/>
    <w:rsid w:val="005731C9"/>
    <w:rsid w:val="0059552D"/>
    <w:rsid w:val="005A15E1"/>
    <w:rsid w:val="005A5078"/>
    <w:rsid w:val="005B6288"/>
    <w:rsid w:val="005C3C50"/>
    <w:rsid w:val="005D64D2"/>
    <w:rsid w:val="005F4F0E"/>
    <w:rsid w:val="00600ABD"/>
    <w:rsid w:val="00617873"/>
    <w:rsid w:val="006432F7"/>
    <w:rsid w:val="0064695E"/>
    <w:rsid w:val="00646A24"/>
    <w:rsid w:val="00654D23"/>
    <w:rsid w:val="006579BB"/>
    <w:rsid w:val="006600D5"/>
    <w:rsid w:val="00671FA2"/>
    <w:rsid w:val="006815EC"/>
    <w:rsid w:val="00686364"/>
    <w:rsid w:val="00693211"/>
    <w:rsid w:val="006A05E1"/>
    <w:rsid w:val="006A0935"/>
    <w:rsid w:val="006C2300"/>
    <w:rsid w:val="006C3D6A"/>
    <w:rsid w:val="006F1311"/>
    <w:rsid w:val="006F387C"/>
    <w:rsid w:val="007014E7"/>
    <w:rsid w:val="00704AEE"/>
    <w:rsid w:val="00722C84"/>
    <w:rsid w:val="0073366F"/>
    <w:rsid w:val="0074290F"/>
    <w:rsid w:val="00744A97"/>
    <w:rsid w:val="00746DEF"/>
    <w:rsid w:val="00755857"/>
    <w:rsid w:val="007707F4"/>
    <w:rsid w:val="00777DB6"/>
    <w:rsid w:val="00795BAC"/>
    <w:rsid w:val="007B1BA8"/>
    <w:rsid w:val="007B3DA0"/>
    <w:rsid w:val="007C3F7A"/>
    <w:rsid w:val="007E2189"/>
    <w:rsid w:val="00802343"/>
    <w:rsid w:val="008050A4"/>
    <w:rsid w:val="0080630D"/>
    <w:rsid w:val="00807141"/>
    <w:rsid w:val="0081191D"/>
    <w:rsid w:val="0084077C"/>
    <w:rsid w:val="008423C8"/>
    <w:rsid w:val="008447CC"/>
    <w:rsid w:val="00865A0C"/>
    <w:rsid w:val="0088242E"/>
    <w:rsid w:val="008C381F"/>
    <w:rsid w:val="008F4D8E"/>
    <w:rsid w:val="008F6090"/>
    <w:rsid w:val="0090098D"/>
    <w:rsid w:val="00903AD4"/>
    <w:rsid w:val="00913302"/>
    <w:rsid w:val="00941DDF"/>
    <w:rsid w:val="009615FF"/>
    <w:rsid w:val="009A4770"/>
    <w:rsid w:val="009E1F5F"/>
    <w:rsid w:val="00A03B0B"/>
    <w:rsid w:val="00A27210"/>
    <w:rsid w:val="00A3505E"/>
    <w:rsid w:val="00A4405B"/>
    <w:rsid w:val="00A65405"/>
    <w:rsid w:val="00A65724"/>
    <w:rsid w:val="00A96009"/>
    <w:rsid w:val="00AA11F2"/>
    <w:rsid w:val="00AA79D8"/>
    <w:rsid w:val="00AB77EE"/>
    <w:rsid w:val="00AD5AF7"/>
    <w:rsid w:val="00AD7D43"/>
    <w:rsid w:val="00AF4ACF"/>
    <w:rsid w:val="00B340D1"/>
    <w:rsid w:val="00B42371"/>
    <w:rsid w:val="00B452AE"/>
    <w:rsid w:val="00B5276E"/>
    <w:rsid w:val="00B67254"/>
    <w:rsid w:val="00B760A0"/>
    <w:rsid w:val="00B863F0"/>
    <w:rsid w:val="00BA0CE0"/>
    <w:rsid w:val="00BB6DCC"/>
    <w:rsid w:val="00BC6CB2"/>
    <w:rsid w:val="00BE16D6"/>
    <w:rsid w:val="00BE7F3A"/>
    <w:rsid w:val="00C147F1"/>
    <w:rsid w:val="00C34BA0"/>
    <w:rsid w:val="00C414A1"/>
    <w:rsid w:val="00C46467"/>
    <w:rsid w:val="00C4690C"/>
    <w:rsid w:val="00C55C3F"/>
    <w:rsid w:val="00C567D3"/>
    <w:rsid w:val="00C66BF2"/>
    <w:rsid w:val="00C750F7"/>
    <w:rsid w:val="00C9294D"/>
    <w:rsid w:val="00C9712B"/>
    <w:rsid w:val="00C9796F"/>
    <w:rsid w:val="00CD0892"/>
    <w:rsid w:val="00CD660A"/>
    <w:rsid w:val="00CF1B38"/>
    <w:rsid w:val="00D04CA9"/>
    <w:rsid w:val="00D2681C"/>
    <w:rsid w:val="00D3152F"/>
    <w:rsid w:val="00D43361"/>
    <w:rsid w:val="00D64B71"/>
    <w:rsid w:val="00D86FF3"/>
    <w:rsid w:val="00DB6D52"/>
    <w:rsid w:val="00DB75D9"/>
    <w:rsid w:val="00DC10A9"/>
    <w:rsid w:val="00DD7FFA"/>
    <w:rsid w:val="00DF2517"/>
    <w:rsid w:val="00E02B11"/>
    <w:rsid w:val="00E04693"/>
    <w:rsid w:val="00E04A44"/>
    <w:rsid w:val="00E23244"/>
    <w:rsid w:val="00E26058"/>
    <w:rsid w:val="00E41201"/>
    <w:rsid w:val="00E47C67"/>
    <w:rsid w:val="00E61C19"/>
    <w:rsid w:val="00E621F4"/>
    <w:rsid w:val="00E72607"/>
    <w:rsid w:val="00E762A9"/>
    <w:rsid w:val="00E8023E"/>
    <w:rsid w:val="00E81DDE"/>
    <w:rsid w:val="00E942A6"/>
    <w:rsid w:val="00E96793"/>
    <w:rsid w:val="00EA3AE7"/>
    <w:rsid w:val="00EB1D40"/>
    <w:rsid w:val="00EB30FB"/>
    <w:rsid w:val="00EB36D0"/>
    <w:rsid w:val="00EE4470"/>
    <w:rsid w:val="00F07534"/>
    <w:rsid w:val="00F15FAD"/>
    <w:rsid w:val="00F20446"/>
    <w:rsid w:val="00F2393C"/>
    <w:rsid w:val="00F272D4"/>
    <w:rsid w:val="00F50C06"/>
    <w:rsid w:val="00F6080D"/>
    <w:rsid w:val="00F70A29"/>
    <w:rsid w:val="00F92C80"/>
    <w:rsid w:val="00FA0525"/>
    <w:rsid w:val="00FA1690"/>
    <w:rsid w:val="00FE68DE"/>
    <w:rsid w:val="00FF77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N" w:eastAsia="en-US" w:bidi="ar-SA"/>
      </w:rPr>
    </w:rPrDefault>
    <w:pPrDefault>
      <w:pPr>
        <w:spacing w:before="12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CF"/>
  </w:style>
  <w:style w:type="paragraph" w:styleId="Heading1">
    <w:name w:val="heading 1"/>
    <w:basedOn w:val="Normal"/>
    <w:next w:val="Normal"/>
    <w:link w:val="Heading1Char"/>
    <w:uiPriority w:val="9"/>
    <w:qFormat/>
    <w:rsid w:val="0013762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620"/>
    <w:rPr>
      <w:rFonts w:asciiTheme="majorHAnsi" w:eastAsiaTheme="majorEastAsia" w:hAnsiTheme="majorHAnsi" w:cstheme="majorBidi"/>
      <w:b/>
      <w:bCs/>
      <w:color w:val="A5A5A5" w:themeColor="accent1" w:themeShade="BF"/>
      <w:sz w:val="28"/>
      <w:szCs w:val="28"/>
    </w:rPr>
  </w:style>
  <w:style w:type="table" w:styleId="TableGrid">
    <w:name w:val="Table Grid"/>
    <w:basedOn w:val="TableNormal"/>
    <w:uiPriority w:val="59"/>
    <w:rsid w:val="00A3505E"/>
    <w:pPr>
      <w:spacing w:before="0" w:line="240" w:lineRule="auto"/>
      <w:jc w:val="left"/>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3505E"/>
    <w:pPr>
      <w:spacing w:before="0" w:line="240" w:lineRule="auto"/>
      <w:jc w:val="left"/>
    </w:pPr>
    <w:rPr>
      <w:rFonts w:ascii="Calibri" w:eastAsia="Calibri" w:hAnsi="Calibri" w:cs="Times New Roman"/>
      <w:sz w:val="22"/>
    </w:rPr>
  </w:style>
  <w:style w:type="paragraph" w:styleId="Header">
    <w:name w:val="header"/>
    <w:basedOn w:val="Normal"/>
    <w:link w:val="HeaderChar"/>
    <w:uiPriority w:val="99"/>
    <w:semiHidden/>
    <w:unhideWhenUsed/>
    <w:rsid w:val="00E96793"/>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96793"/>
  </w:style>
  <w:style w:type="paragraph" w:styleId="Footer">
    <w:name w:val="footer"/>
    <w:basedOn w:val="Normal"/>
    <w:link w:val="FooterChar"/>
    <w:uiPriority w:val="99"/>
    <w:unhideWhenUsed/>
    <w:rsid w:val="00E967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96793"/>
  </w:style>
  <w:style w:type="paragraph" w:styleId="BalloonText">
    <w:name w:val="Balloon Text"/>
    <w:basedOn w:val="Normal"/>
    <w:link w:val="BalloonTextChar"/>
    <w:uiPriority w:val="99"/>
    <w:semiHidden/>
    <w:unhideWhenUsed/>
    <w:rsid w:val="00AA11F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F2"/>
    <w:rPr>
      <w:rFonts w:ascii="Tahoma" w:hAnsi="Tahoma" w:cs="Tahoma"/>
      <w:sz w:val="16"/>
      <w:szCs w:val="16"/>
    </w:rPr>
  </w:style>
  <w:style w:type="character" w:styleId="Hyperlink">
    <w:name w:val="Hyperlink"/>
    <w:basedOn w:val="DefaultParagraphFont"/>
    <w:rsid w:val="00FA1690"/>
    <w:rPr>
      <w:color w:val="0000FF"/>
      <w:u w:val="single"/>
    </w:rPr>
  </w:style>
  <w:style w:type="paragraph" w:customStyle="1" w:styleId="WW-Default">
    <w:name w:val="WW-Default"/>
    <w:rsid w:val="00FA1690"/>
    <w:pPr>
      <w:suppressAutoHyphens/>
      <w:autoSpaceDE w:val="0"/>
      <w:spacing w:before="0" w:line="240" w:lineRule="auto"/>
      <w:jc w:val="left"/>
    </w:pPr>
    <w:rPr>
      <w:rFonts w:eastAsia="Batang" w:cs="Times New Roman"/>
      <w:color w:val="000000"/>
      <w:szCs w:val="24"/>
      <w:lang w:val="en-US" w:eastAsia="zh-CN"/>
    </w:rPr>
  </w:style>
</w:styles>
</file>

<file path=word/webSettings.xml><?xml version="1.0" encoding="utf-8"?>
<w:webSettings xmlns:r="http://schemas.openxmlformats.org/officeDocument/2006/relationships" xmlns:w="http://schemas.openxmlformats.org/wordprocessingml/2006/main">
  <w:divs>
    <w:div w:id="878854289">
      <w:bodyDiv w:val="1"/>
      <w:marLeft w:val="0"/>
      <w:marRight w:val="0"/>
      <w:marTop w:val="0"/>
      <w:marBottom w:val="0"/>
      <w:divBdr>
        <w:top w:val="none" w:sz="0" w:space="0" w:color="auto"/>
        <w:left w:val="none" w:sz="0" w:space="0" w:color="auto"/>
        <w:bottom w:val="none" w:sz="0" w:space="0" w:color="auto"/>
        <w:right w:val="none" w:sz="0" w:space="0" w:color="auto"/>
      </w:divBdr>
    </w:div>
    <w:div w:id="9581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jeshkumars@nuv.ac.in" TargetMode="External"/><Relationship Id="rId13" Type="http://schemas.openxmlformats.org/officeDocument/2006/relationships/image" Target="media/image4.jpeg"/><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vcres@gmail.com" TargetMode="External"/><Relationship Id="rId12" Type="http://schemas.openxmlformats.org/officeDocument/2006/relationships/image" Target="media/image3.jpe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brijeshshah27@gmail.com" TargetMode="External"/><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rishna\Desktop\Kinetc%20papers\Recent%20Kinetic%20study%20of%20TiATMP.%2024_11_2012%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rishna\Desktop\Kinetc%20papers\Recent%20Kinetic%20study%20of%20TiATMP.%20%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3259181122050318"/>
          <c:y val="0.11629740701700562"/>
          <c:w val="0.69804539771841645"/>
          <c:h val="0.58746430709995212"/>
        </c:manualLayout>
      </c:layout>
      <c:scatterChart>
        <c:scatterStyle val="lineMarker"/>
        <c:ser>
          <c:idx val="0"/>
          <c:order val="0"/>
          <c:spPr>
            <a:ln w="28575">
              <a:noFill/>
            </a:ln>
          </c:spPr>
          <c:marker>
            <c:spPr>
              <a:solidFill>
                <a:sysClr val="windowText" lastClr="000000"/>
              </a:solidFill>
              <a:ln>
                <a:solidFill>
                  <a:sysClr val="windowText" lastClr="000000"/>
                </a:solidFill>
              </a:ln>
            </c:spPr>
          </c:marker>
          <c:trendline>
            <c:trendlineType val="linear"/>
            <c:intercept val="0"/>
            <c:dispRSqr val="1"/>
            <c:dispEq val="1"/>
            <c:trendlineLbl>
              <c:layout>
                <c:manualLayout>
                  <c:x val="-0.18017101439071218"/>
                  <c:y val="-2.9650097465887121E-2"/>
                </c:manualLayout>
              </c:layout>
              <c:numFmt formatCode="General" sourceLinked="0"/>
              <c:txPr>
                <a:bodyPr/>
                <a:lstStyle/>
                <a:p>
                  <a:pPr>
                    <a:defRPr lang="en-IN"/>
                  </a:pPr>
                  <a:endParaRPr lang="en-US"/>
                </a:p>
              </c:txPr>
            </c:trendlineLbl>
          </c:trendline>
          <c:xVal>
            <c:numRef>
              <c:f>'Cu(II)'!$J$50:$J$54</c:f>
              <c:numCache>
                <c:formatCode>General</c:formatCode>
                <c:ptCount val="5"/>
                <c:pt idx="0">
                  <c:v>0.5</c:v>
                </c:pt>
                <c:pt idx="1">
                  <c:v>1</c:v>
                </c:pt>
                <c:pt idx="2">
                  <c:v>2</c:v>
                </c:pt>
                <c:pt idx="3">
                  <c:v>3</c:v>
                </c:pt>
                <c:pt idx="4">
                  <c:v>4</c:v>
                </c:pt>
              </c:numCache>
            </c:numRef>
          </c:xVal>
          <c:yVal>
            <c:numRef>
              <c:f>'Cu(II)'!$K$50:$K$54</c:f>
              <c:numCache>
                <c:formatCode>General</c:formatCode>
                <c:ptCount val="5"/>
                <c:pt idx="0">
                  <c:v>7.5000000000001342E-3</c:v>
                </c:pt>
                <c:pt idx="1">
                  <c:v>2.3400000000000011E-2</c:v>
                </c:pt>
                <c:pt idx="2">
                  <c:v>4.5600000000000002E-2</c:v>
                </c:pt>
                <c:pt idx="3">
                  <c:v>7.1800000000000114E-2</c:v>
                </c:pt>
                <c:pt idx="4">
                  <c:v>9.950000000000124E-2</c:v>
                </c:pt>
              </c:numCache>
            </c:numRef>
          </c:yVal>
        </c:ser>
        <c:axId val="35787136"/>
        <c:axId val="35789056"/>
      </c:scatterChart>
      <c:valAx>
        <c:axId val="35787136"/>
        <c:scaling>
          <c:orientation val="minMax"/>
          <c:max val="6"/>
          <c:min val="0"/>
        </c:scaling>
        <c:axPos val="b"/>
        <c:title>
          <c:tx>
            <c:rich>
              <a:bodyPr/>
              <a:lstStyle/>
              <a:p>
                <a:pPr>
                  <a:defRPr lang="en-IN"/>
                </a:pPr>
                <a:r>
                  <a:rPr lang="en-IN" sz="1200" b="1" i="0" baseline="0">
                    <a:latin typeface="Times New Roman" pitchFamily="18" charset="0"/>
                    <a:cs typeface="Times New Roman" pitchFamily="18" charset="0"/>
                  </a:rPr>
                  <a:t>Time, min</a:t>
                </a:r>
                <a:endParaRPr lang="en-IN" sz="1200">
                  <a:latin typeface="Times New Roman" pitchFamily="18" charset="0"/>
                  <a:cs typeface="Times New Roman" pitchFamily="18" charset="0"/>
                </a:endParaRPr>
              </a:p>
            </c:rich>
          </c:tx>
        </c:title>
        <c:numFmt formatCode="General" sourceLinked="1"/>
        <c:tickLblPos val="nextTo"/>
        <c:spPr>
          <a:ln>
            <a:solidFill>
              <a:sysClr val="windowText" lastClr="000000"/>
            </a:solidFill>
          </a:ln>
        </c:spPr>
        <c:txPr>
          <a:bodyPr/>
          <a:lstStyle/>
          <a:p>
            <a:pPr>
              <a:defRPr lang="en-IN" sz="1200">
                <a:latin typeface="Times New Roman" pitchFamily="18" charset="0"/>
                <a:cs typeface="Times New Roman" pitchFamily="18" charset="0"/>
              </a:defRPr>
            </a:pPr>
            <a:endParaRPr lang="en-US"/>
          </a:p>
        </c:txPr>
        <c:crossAx val="35789056"/>
        <c:crosses val="autoZero"/>
        <c:crossBetween val="midCat"/>
      </c:valAx>
      <c:valAx>
        <c:axId val="35789056"/>
        <c:scaling>
          <c:orientation val="minMax"/>
        </c:scaling>
        <c:axPos val="l"/>
        <c:title>
          <c:tx>
            <c:rich>
              <a:bodyPr rot="-5400000" vert="horz"/>
              <a:lstStyle/>
              <a:p>
                <a:pPr>
                  <a:defRPr lang="en-IN"/>
                </a:pPr>
                <a:r>
                  <a:rPr lang="en-IN" sz="1200" b="1">
                    <a:latin typeface="Times New Roman" pitchFamily="18" charset="0"/>
                    <a:cs typeface="Times New Roman" pitchFamily="18" charset="0"/>
                    <a:sym typeface="Symbol"/>
                  </a:rPr>
                  <a:t></a:t>
                </a:r>
                <a:endParaRPr lang="en-IN" sz="1200" b="1">
                  <a:latin typeface="Times New Roman" pitchFamily="18" charset="0"/>
                  <a:cs typeface="Times New Roman" pitchFamily="18" charset="0"/>
                </a:endParaRPr>
              </a:p>
            </c:rich>
          </c:tx>
        </c:title>
        <c:numFmt formatCode="General" sourceLinked="1"/>
        <c:tickLblPos val="nextTo"/>
        <c:spPr>
          <a:ln>
            <a:solidFill>
              <a:sysClr val="windowText" lastClr="000000"/>
            </a:solidFill>
          </a:ln>
        </c:spPr>
        <c:txPr>
          <a:bodyPr/>
          <a:lstStyle/>
          <a:p>
            <a:pPr>
              <a:defRPr lang="en-IN" sz="1200">
                <a:latin typeface="Times New Roman" pitchFamily="18" charset="0"/>
                <a:cs typeface="Times New Roman" pitchFamily="18" charset="0"/>
              </a:defRPr>
            </a:pPr>
            <a:endParaRPr lang="en-US"/>
          </a:p>
        </c:txPr>
        <c:crossAx val="35787136"/>
        <c:crosses val="autoZero"/>
        <c:crossBetween val="midCat"/>
        <c:majorUnit val="3.00000000000001E-2"/>
      </c:valAx>
      <c:spPr>
        <a:ln>
          <a:solidFill>
            <a:sysClr val="windowText" lastClr="000000"/>
          </a:solidFill>
        </a:ln>
      </c:spPr>
    </c:plotArea>
    <c:plotVisOnly val="1"/>
  </c:chart>
  <c:spPr>
    <a:noFill/>
    <a:ln>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IN" sz="1200">
                <a:latin typeface="Times New Roman" pitchFamily="18" charset="0"/>
                <a:cs typeface="Times New Roman" pitchFamily="18" charset="0"/>
              </a:rPr>
              <a:t>Cu</a:t>
            </a:r>
            <a:r>
              <a:rPr lang="en-IN" sz="1200" baseline="30000">
                <a:latin typeface="Times New Roman" pitchFamily="18" charset="0"/>
                <a:cs typeface="Times New Roman" pitchFamily="18" charset="0"/>
              </a:rPr>
              <a:t>2+</a:t>
            </a:r>
          </a:p>
        </c:rich>
      </c:tx>
      <c:layout>
        <c:manualLayout>
          <c:xMode val="edge"/>
          <c:yMode val="edge"/>
          <c:x val="0.73869846000994865"/>
          <c:y val="4.6816764132554013E-2"/>
        </c:manualLayout>
      </c:layout>
    </c:title>
    <c:plotArea>
      <c:layout>
        <c:manualLayout>
          <c:layoutTarget val="inner"/>
          <c:xMode val="edge"/>
          <c:yMode val="edge"/>
          <c:x val="0.2537545325463112"/>
          <c:y val="3.9024128790831829E-2"/>
          <c:w val="0.64722649236656693"/>
          <c:h val="0.71162670565303165"/>
        </c:manualLayout>
      </c:layout>
      <c:scatterChart>
        <c:scatterStyle val="lineMarker"/>
        <c:ser>
          <c:idx val="0"/>
          <c:order val="0"/>
          <c:tx>
            <c:strRef>
              <c:f>'Cu(II)'!$T$115</c:f>
              <c:strCache>
                <c:ptCount val="1"/>
                <c:pt idx="0">
                  <c:v>60</c:v>
                </c:pt>
              </c:strCache>
            </c:strRef>
          </c:tx>
          <c:spPr>
            <a:ln w="28575">
              <a:noFill/>
            </a:ln>
          </c:spPr>
          <c:marker>
            <c:symbol val="circle"/>
            <c:size val="5"/>
            <c:spPr>
              <a:solidFill>
                <a:schemeClr val="bg1"/>
              </a:solidFill>
              <a:ln>
                <a:solidFill>
                  <a:sysClr val="windowText" lastClr="000000"/>
                </a:solidFill>
              </a:ln>
            </c:spPr>
          </c:marker>
          <c:trendline>
            <c:trendlineType val="linear"/>
          </c:trendline>
          <c:xVal>
            <c:numRef>
              <c:f>'Cu(II)'!$S$116:$S$120</c:f>
              <c:numCache>
                <c:formatCode>0.0000</c:formatCode>
                <c:ptCount val="5"/>
                <c:pt idx="0">
                  <c:v>0.5</c:v>
                </c:pt>
                <c:pt idx="1">
                  <c:v>1</c:v>
                </c:pt>
                <c:pt idx="2">
                  <c:v>2</c:v>
                </c:pt>
                <c:pt idx="3">
                  <c:v>3</c:v>
                </c:pt>
                <c:pt idx="4">
                  <c:v>4</c:v>
                </c:pt>
              </c:numCache>
            </c:numRef>
          </c:xVal>
          <c:yVal>
            <c:numRef>
              <c:f>'Cu(II)'!$T$116:$T$120</c:f>
              <c:numCache>
                <c:formatCode>0.0000</c:formatCode>
                <c:ptCount val="5"/>
                <c:pt idx="0">
                  <c:v>2.1600000000000202E-2</c:v>
                </c:pt>
                <c:pt idx="1">
                  <c:v>3.7400000000000412E-2</c:v>
                </c:pt>
                <c:pt idx="2">
                  <c:v>6.8400000000000113E-2</c:v>
                </c:pt>
                <c:pt idx="3">
                  <c:v>0.10440000000000002</c:v>
                </c:pt>
                <c:pt idx="4">
                  <c:v>0.13619999999999999</c:v>
                </c:pt>
              </c:numCache>
            </c:numRef>
          </c:yVal>
        </c:ser>
        <c:ser>
          <c:idx val="1"/>
          <c:order val="1"/>
          <c:tx>
            <c:strRef>
              <c:f>'Cu(II)'!$U$115</c:f>
              <c:strCache>
                <c:ptCount val="1"/>
                <c:pt idx="0">
                  <c:v>50</c:v>
                </c:pt>
              </c:strCache>
            </c:strRef>
          </c:tx>
          <c:spPr>
            <a:ln w="28575">
              <a:noFill/>
            </a:ln>
          </c:spPr>
          <c:marker>
            <c:symbol val="triangle"/>
            <c:size val="5"/>
            <c:spPr>
              <a:solidFill>
                <a:schemeClr val="tx1"/>
              </a:solidFill>
              <a:ln>
                <a:solidFill>
                  <a:sysClr val="windowText" lastClr="000000"/>
                </a:solidFill>
              </a:ln>
            </c:spPr>
          </c:marker>
          <c:trendline>
            <c:trendlineType val="linear"/>
          </c:trendline>
          <c:xVal>
            <c:numRef>
              <c:f>'Cu(II)'!$S$116:$S$120</c:f>
              <c:numCache>
                <c:formatCode>0.0000</c:formatCode>
                <c:ptCount val="5"/>
                <c:pt idx="0">
                  <c:v>0.5</c:v>
                </c:pt>
                <c:pt idx="1">
                  <c:v>1</c:v>
                </c:pt>
                <c:pt idx="2">
                  <c:v>2</c:v>
                </c:pt>
                <c:pt idx="3">
                  <c:v>3</c:v>
                </c:pt>
                <c:pt idx="4">
                  <c:v>4</c:v>
                </c:pt>
              </c:numCache>
            </c:numRef>
          </c:xVal>
          <c:yVal>
            <c:numRef>
              <c:f>'Cu(II)'!$U$116:$U$120</c:f>
              <c:numCache>
                <c:formatCode>0.0000</c:formatCode>
                <c:ptCount val="5"/>
                <c:pt idx="0">
                  <c:v>2.1100000000000011E-2</c:v>
                </c:pt>
                <c:pt idx="1">
                  <c:v>3.2900000000000096E-2</c:v>
                </c:pt>
                <c:pt idx="2">
                  <c:v>6.4300000000000593E-2</c:v>
                </c:pt>
                <c:pt idx="3">
                  <c:v>9.6100000000000046E-2</c:v>
                </c:pt>
                <c:pt idx="4">
                  <c:v>0.12740000000000001</c:v>
                </c:pt>
              </c:numCache>
            </c:numRef>
          </c:yVal>
        </c:ser>
        <c:ser>
          <c:idx val="2"/>
          <c:order val="2"/>
          <c:tx>
            <c:strRef>
              <c:f>'Cu(II)'!$V$115</c:f>
              <c:strCache>
                <c:ptCount val="1"/>
                <c:pt idx="0">
                  <c:v>40</c:v>
                </c:pt>
              </c:strCache>
            </c:strRef>
          </c:tx>
          <c:spPr>
            <a:ln w="28575">
              <a:noFill/>
            </a:ln>
          </c:spPr>
          <c:marker>
            <c:symbol val="square"/>
            <c:size val="5"/>
            <c:spPr>
              <a:solidFill>
                <a:schemeClr val="bg1"/>
              </a:solidFill>
              <a:ln>
                <a:solidFill>
                  <a:sysClr val="windowText" lastClr="000000"/>
                </a:solidFill>
              </a:ln>
            </c:spPr>
          </c:marker>
          <c:trendline>
            <c:trendlineType val="linear"/>
          </c:trendline>
          <c:xVal>
            <c:numRef>
              <c:f>'Cu(II)'!$S$116:$S$120</c:f>
              <c:numCache>
                <c:formatCode>0.0000</c:formatCode>
                <c:ptCount val="5"/>
                <c:pt idx="0">
                  <c:v>0.5</c:v>
                </c:pt>
                <c:pt idx="1">
                  <c:v>1</c:v>
                </c:pt>
                <c:pt idx="2">
                  <c:v>2</c:v>
                </c:pt>
                <c:pt idx="3">
                  <c:v>3</c:v>
                </c:pt>
                <c:pt idx="4">
                  <c:v>4</c:v>
                </c:pt>
              </c:numCache>
            </c:numRef>
          </c:xVal>
          <c:yVal>
            <c:numRef>
              <c:f>'Cu(II)'!$V$116:$V$120</c:f>
              <c:numCache>
                <c:formatCode>0.0000</c:formatCode>
                <c:ptCount val="5"/>
                <c:pt idx="0">
                  <c:v>1.1800000000000498E-2</c:v>
                </c:pt>
                <c:pt idx="1">
                  <c:v>2.9900000000000006E-2</c:v>
                </c:pt>
                <c:pt idx="2">
                  <c:v>5.9600000000000111E-2</c:v>
                </c:pt>
                <c:pt idx="3">
                  <c:v>8.8700000000000764E-2</c:v>
                </c:pt>
                <c:pt idx="4">
                  <c:v>0.1169000000000001</c:v>
                </c:pt>
              </c:numCache>
            </c:numRef>
          </c:yVal>
        </c:ser>
        <c:ser>
          <c:idx val="3"/>
          <c:order val="3"/>
          <c:tx>
            <c:strRef>
              <c:f>'Cu(II)'!$W$115</c:f>
              <c:strCache>
                <c:ptCount val="1"/>
                <c:pt idx="0">
                  <c:v>30</c:v>
                </c:pt>
              </c:strCache>
            </c:strRef>
          </c:tx>
          <c:spPr>
            <a:ln w="28575">
              <a:noFill/>
            </a:ln>
          </c:spPr>
          <c:marker>
            <c:symbol val="diamond"/>
            <c:size val="6"/>
            <c:spPr>
              <a:solidFill>
                <a:sysClr val="windowText" lastClr="000000"/>
              </a:solidFill>
              <a:ln>
                <a:solidFill>
                  <a:sysClr val="windowText" lastClr="000000"/>
                </a:solidFill>
              </a:ln>
            </c:spPr>
          </c:marker>
          <c:trendline>
            <c:trendlineType val="linear"/>
          </c:trendline>
          <c:xVal>
            <c:numRef>
              <c:f>'Cu(II)'!$S$116:$S$120</c:f>
              <c:numCache>
                <c:formatCode>0.0000</c:formatCode>
                <c:ptCount val="5"/>
                <c:pt idx="0">
                  <c:v>0.5</c:v>
                </c:pt>
                <c:pt idx="1">
                  <c:v>1</c:v>
                </c:pt>
                <c:pt idx="2">
                  <c:v>2</c:v>
                </c:pt>
                <c:pt idx="3">
                  <c:v>3</c:v>
                </c:pt>
                <c:pt idx="4">
                  <c:v>4</c:v>
                </c:pt>
              </c:numCache>
            </c:numRef>
          </c:xVal>
          <c:yVal>
            <c:numRef>
              <c:f>'Cu(II)'!$W$116:$W$120</c:f>
              <c:numCache>
                <c:formatCode>0.0000</c:formatCode>
                <c:ptCount val="5"/>
                <c:pt idx="0">
                  <c:v>1.2600000000000045E-2</c:v>
                </c:pt>
                <c:pt idx="1">
                  <c:v>2.3400000000000011E-2</c:v>
                </c:pt>
                <c:pt idx="2">
                  <c:v>5.3100000000000022E-2</c:v>
                </c:pt>
                <c:pt idx="3">
                  <c:v>7.4300000000001629E-2</c:v>
                </c:pt>
                <c:pt idx="4">
                  <c:v>0.10810000000000022</c:v>
                </c:pt>
              </c:numCache>
            </c:numRef>
          </c:yVal>
        </c:ser>
        <c:axId val="35838976"/>
        <c:axId val="73606272"/>
      </c:scatterChart>
      <c:valAx>
        <c:axId val="35838976"/>
        <c:scaling>
          <c:orientation val="minMax"/>
        </c:scaling>
        <c:axPos val="b"/>
        <c:title>
          <c:tx>
            <c:rich>
              <a:bodyPr/>
              <a:lstStyle/>
              <a:p>
                <a:pPr>
                  <a:defRPr lang="en-IN"/>
                </a:pPr>
                <a:r>
                  <a:rPr lang="en-IN" sz="1200">
                    <a:latin typeface="Times New Roman" pitchFamily="18" charset="0"/>
                    <a:cs typeface="Times New Roman" pitchFamily="18" charset="0"/>
                  </a:rPr>
                  <a:t>Time,</a:t>
                </a:r>
                <a:r>
                  <a:rPr lang="en-IN" sz="1200" baseline="0">
                    <a:latin typeface="Times New Roman" pitchFamily="18" charset="0"/>
                    <a:cs typeface="Times New Roman" pitchFamily="18" charset="0"/>
                  </a:rPr>
                  <a:t> min</a:t>
                </a:r>
                <a:endParaRPr lang="en-IN" sz="1200">
                  <a:latin typeface="Times New Roman" pitchFamily="18" charset="0"/>
                  <a:cs typeface="Times New Roman" pitchFamily="18" charset="0"/>
                </a:endParaRPr>
              </a:p>
            </c:rich>
          </c:tx>
          <c:layout>
            <c:manualLayout>
              <c:xMode val="edge"/>
              <c:yMode val="edge"/>
              <c:x val="0.38996092328998083"/>
              <c:y val="0.89603960396039772"/>
            </c:manualLayout>
          </c:layout>
        </c:title>
        <c:numFmt formatCode="0" sourceLinked="0"/>
        <c:tickLblPos val="nextTo"/>
        <c:spPr>
          <a:ln>
            <a:solidFill>
              <a:sysClr val="windowText" lastClr="000000"/>
            </a:solidFill>
          </a:ln>
        </c:spPr>
        <c:txPr>
          <a:bodyPr/>
          <a:lstStyle/>
          <a:p>
            <a:pPr>
              <a:defRPr lang="en-IN" sz="1200">
                <a:latin typeface="Times New Roman" pitchFamily="18" charset="0"/>
                <a:cs typeface="Times New Roman" pitchFamily="18" charset="0"/>
              </a:defRPr>
            </a:pPr>
            <a:endParaRPr lang="en-US"/>
          </a:p>
        </c:txPr>
        <c:crossAx val="73606272"/>
        <c:crosses val="autoZero"/>
        <c:crossBetween val="midCat"/>
      </c:valAx>
      <c:valAx>
        <c:axId val="73606272"/>
        <c:scaling>
          <c:orientation val="minMax"/>
        </c:scaling>
        <c:axPos val="l"/>
        <c:title>
          <c:tx>
            <c:rich>
              <a:bodyPr rot="-5400000" vert="horz"/>
              <a:lstStyle/>
              <a:p>
                <a:pPr>
                  <a:defRPr lang="en-IN" sz="1200">
                    <a:latin typeface="Times New Roman" pitchFamily="18" charset="0"/>
                    <a:cs typeface="Times New Roman" pitchFamily="18" charset="0"/>
                  </a:defRPr>
                </a:pPr>
                <a:r>
                  <a:rPr lang="en-IN" sz="1200">
                    <a:latin typeface="Times New Roman" pitchFamily="18" charset="0"/>
                    <a:cs typeface="Times New Roman" pitchFamily="18" charset="0"/>
                    <a:sym typeface="Symbol"/>
                  </a:rPr>
                  <a:t></a:t>
                </a:r>
                <a:endParaRPr lang="en-IN" sz="1200">
                  <a:latin typeface="Times New Roman" pitchFamily="18" charset="0"/>
                  <a:cs typeface="Times New Roman" pitchFamily="18" charset="0"/>
                </a:endParaRPr>
              </a:p>
            </c:rich>
          </c:tx>
        </c:title>
        <c:numFmt formatCode="0.00" sourceLinked="0"/>
        <c:tickLblPos val="nextTo"/>
        <c:spPr>
          <a:ln>
            <a:solidFill>
              <a:sysClr val="windowText" lastClr="000000"/>
            </a:solidFill>
          </a:ln>
        </c:spPr>
        <c:txPr>
          <a:bodyPr/>
          <a:lstStyle/>
          <a:p>
            <a:pPr>
              <a:defRPr lang="en-IN" sz="1200">
                <a:latin typeface="Times New Roman" pitchFamily="18" charset="0"/>
                <a:cs typeface="Times New Roman" pitchFamily="18" charset="0"/>
              </a:defRPr>
            </a:pPr>
            <a:endParaRPr lang="en-US"/>
          </a:p>
        </c:txPr>
        <c:crossAx val="35838976"/>
        <c:crosses val="autoZero"/>
        <c:crossBetween val="midCat"/>
      </c:valAx>
      <c:spPr>
        <a:ln>
          <a:solidFill>
            <a:sysClr val="windowText" lastClr="000000"/>
          </a:solidFill>
        </a:ln>
      </c:spPr>
    </c:plotArea>
    <c:legend>
      <c:legendPos val="r"/>
      <c:legendEntry>
        <c:idx val="7"/>
        <c:delete val="1"/>
      </c:legendEntry>
      <c:legendEntry>
        <c:idx val="4"/>
        <c:delete val="1"/>
      </c:legendEntry>
      <c:legendEntry>
        <c:idx val="5"/>
        <c:delete val="1"/>
      </c:legendEntry>
      <c:legendEntry>
        <c:idx val="6"/>
        <c:delete val="1"/>
      </c:legendEntry>
      <c:layout>
        <c:manualLayout>
          <c:xMode val="edge"/>
          <c:yMode val="edge"/>
          <c:x val="0.76455399061032869"/>
          <c:y val="0.3384910735168119"/>
          <c:w val="0.14621752738654148"/>
          <c:h val="0.42740508302799868"/>
        </c:manualLayout>
      </c:layout>
      <c:txPr>
        <a:bodyPr/>
        <a:lstStyle/>
        <a:p>
          <a:pPr>
            <a:defRPr lang="en-IN"/>
          </a:pPr>
          <a:endParaRPr lang="en-US"/>
        </a:p>
      </c:txPr>
    </c:legend>
    <c:plotVisOnly val="1"/>
  </c:chart>
  <c:spPr>
    <a:ln>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r">
              <a:defRPr lang="en-IN"/>
            </a:pPr>
            <a:r>
              <a:rPr lang="en-IN" sz="1200">
                <a:latin typeface="Times New Roman" pitchFamily="18" charset="0"/>
                <a:cs typeface="Times New Roman" pitchFamily="18" charset="0"/>
              </a:rPr>
              <a:t>Cu</a:t>
            </a:r>
            <a:r>
              <a:rPr lang="en-IN" sz="1200" baseline="30000">
                <a:latin typeface="Times New Roman" pitchFamily="18" charset="0"/>
                <a:cs typeface="Times New Roman" pitchFamily="18" charset="0"/>
              </a:rPr>
              <a:t>2+</a:t>
            </a:r>
          </a:p>
        </c:rich>
      </c:tx>
      <c:layout>
        <c:manualLayout>
          <c:xMode val="edge"/>
          <c:yMode val="edge"/>
          <c:x val="0.7536521909233177"/>
          <c:y val="4.3323586744639403E-2"/>
        </c:manualLayout>
      </c:layout>
      <c:overlay val="1"/>
    </c:title>
    <c:plotArea>
      <c:layout>
        <c:manualLayout>
          <c:layoutTarget val="inner"/>
          <c:xMode val="edge"/>
          <c:yMode val="edge"/>
          <c:x val="0.24926917057903794"/>
          <c:y val="5.1400554097404488E-2"/>
          <c:w val="0.65169209702662312"/>
          <c:h val="0.69266951006124233"/>
        </c:manualLayout>
      </c:layout>
      <c:scatterChart>
        <c:scatterStyle val="lineMarker"/>
        <c:ser>
          <c:idx val="0"/>
          <c:order val="0"/>
          <c:spPr>
            <a:ln w="28575">
              <a:noFill/>
            </a:ln>
          </c:spPr>
          <c:marker>
            <c:symbol val="diamond"/>
            <c:size val="5"/>
            <c:spPr>
              <a:solidFill>
                <a:schemeClr val="tx1"/>
              </a:solidFill>
              <a:ln>
                <a:solidFill>
                  <a:sysClr val="windowText" lastClr="000000"/>
                </a:solidFill>
              </a:ln>
            </c:spPr>
          </c:marker>
          <c:trendline>
            <c:trendlineType val="linear"/>
            <c:dispRSqr val="1"/>
            <c:dispEq val="1"/>
            <c:trendlineLbl>
              <c:layout>
                <c:manualLayout>
                  <c:x val="-0.15440625343014294"/>
                  <c:y val="-2.0531530130087308E-2"/>
                </c:manualLayout>
              </c:layout>
              <c:tx>
                <c:rich>
                  <a:bodyPr/>
                  <a:lstStyle/>
                  <a:p>
                    <a:pPr>
                      <a:defRPr lang="en-IN"/>
                    </a:pPr>
                    <a:r>
                      <a:rPr lang="en-US" baseline="0"/>
                      <a:t>y = 940.05x + 21.9
R² = 0.997</a:t>
                    </a:r>
                    <a:endParaRPr lang="en-US"/>
                  </a:p>
                </c:rich>
              </c:tx>
              <c:numFmt formatCode="General" sourceLinked="0"/>
            </c:trendlineLbl>
          </c:trendline>
          <c:xVal>
            <c:numRef>
              <c:f>'Cu(II)'!$I$127:$I$130</c:f>
              <c:numCache>
                <c:formatCode>0.0000</c:formatCode>
                <c:ptCount val="4"/>
                <c:pt idx="0">
                  <c:v>3.3003300330033012E-3</c:v>
                </c:pt>
                <c:pt idx="1">
                  <c:v>3.1948881789137392E-3</c:v>
                </c:pt>
                <c:pt idx="2">
                  <c:v>3.0959752321981426E-3</c:v>
                </c:pt>
                <c:pt idx="3">
                  <c:v>3.0030030030030051E-3</c:v>
                </c:pt>
              </c:numCache>
            </c:numRef>
          </c:xVal>
          <c:yVal>
            <c:numRef>
              <c:f>'Cu(II)'!$J$127:$J$130</c:f>
              <c:numCache>
                <c:formatCode>0.0000</c:formatCode>
                <c:ptCount val="4"/>
                <c:pt idx="0">
                  <c:v>25.003794445781566</c:v>
                </c:pt>
                <c:pt idx="1">
                  <c:v>24.905712261429116</c:v>
                </c:pt>
                <c:pt idx="2">
                  <c:v>24.800697826412645</c:v>
                </c:pt>
                <c:pt idx="3">
                  <c:v>24.728594532510481</c:v>
                </c:pt>
              </c:numCache>
            </c:numRef>
          </c:yVal>
        </c:ser>
        <c:axId val="73649536"/>
        <c:axId val="73659904"/>
      </c:scatterChart>
      <c:valAx>
        <c:axId val="73649536"/>
        <c:scaling>
          <c:orientation val="minMax"/>
          <c:max val="3.3500000000000005E-3"/>
          <c:min val="2.9000000000000011E-3"/>
        </c:scaling>
        <c:axPos val="b"/>
        <c:title>
          <c:tx>
            <c:rich>
              <a:bodyPr/>
              <a:lstStyle/>
              <a:p>
                <a:pPr>
                  <a:defRPr lang="en-IN"/>
                </a:pPr>
                <a:r>
                  <a:rPr lang="en-IN" sz="1200">
                    <a:latin typeface="Times New Roman" pitchFamily="18" charset="0"/>
                    <a:cs typeface="Times New Roman" pitchFamily="18" charset="0"/>
                  </a:rPr>
                  <a:t>1/T</a:t>
                </a:r>
              </a:p>
            </c:rich>
          </c:tx>
        </c:title>
        <c:numFmt formatCode="0.0000" sourceLinked="0"/>
        <c:tickLblPos val="nextTo"/>
        <c:spPr>
          <a:noFill/>
          <a:ln>
            <a:solidFill>
              <a:sysClr val="windowText" lastClr="000000"/>
            </a:solidFill>
          </a:ln>
        </c:spPr>
        <c:txPr>
          <a:bodyPr/>
          <a:lstStyle/>
          <a:p>
            <a:pPr>
              <a:defRPr lang="en-IN"/>
            </a:pPr>
            <a:endParaRPr lang="en-US"/>
          </a:p>
        </c:txPr>
        <c:crossAx val="73659904"/>
        <c:crosses val="autoZero"/>
        <c:crossBetween val="midCat"/>
        <c:majorUnit val="1.0000000000000221E-4"/>
        <c:minorUnit val="2.000000000000093E-5"/>
      </c:valAx>
      <c:valAx>
        <c:axId val="73659904"/>
        <c:scaling>
          <c:orientation val="minMax"/>
        </c:scaling>
        <c:axPos val="l"/>
        <c:title>
          <c:tx>
            <c:rich>
              <a:bodyPr rot="-5400000" vert="horz"/>
              <a:lstStyle/>
              <a:p>
                <a:pPr>
                  <a:defRPr lang="en-IN"/>
                </a:pPr>
                <a:r>
                  <a:rPr lang="en-IN" sz="1200">
                    <a:latin typeface="Times New Roman" pitchFamily="18" charset="0"/>
                    <a:cs typeface="Times New Roman" pitchFamily="18" charset="0"/>
                  </a:rPr>
                  <a:t>ln DA</a:t>
                </a:r>
              </a:p>
            </c:rich>
          </c:tx>
        </c:title>
        <c:numFmt formatCode="0.00" sourceLinked="0"/>
        <c:tickLblPos val="nextTo"/>
        <c:spPr>
          <a:ln>
            <a:solidFill>
              <a:schemeClr val="tx1"/>
            </a:solidFill>
          </a:ln>
        </c:spPr>
        <c:txPr>
          <a:bodyPr/>
          <a:lstStyle/>
          <a:p>
            <a:pPr>
              <a:defRPr lang="en-IN"/>
            </a:pPr>
            <a:endParaRPr lang="en-US"/>
          </a:p>
        </c:txPr>
        <c:crossAx val="73649536"/>
        <c:crosses val="autoZero"/>
        <c:crossBetween val="midCat"/>
      </c:valAx>
      <c:spPr>
        <a:ln>
          <a:solidFill>
            <a:sysClr val="windowText" lastClr="000000"/>
          </a:solidFill>
        </a:ln>
      </c:spPr>
    </c:plotArea>
    <c:plotVisOnly val="1"/>
  </c:chart>
  <c:spPr>
    <a:ln>
      <a:solidFill>
        <a:sysClr val="windowText" lastClr="000000"/>
      </a:solidFill>
    </a:ln>
  </c:spPr>
  <c:externalData r:id="rId1"/>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8</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brijeshkumars</cp:lastModifiedBy>
  <cp:revision>101</cp:revision>
  <cp:lastPrinted>2018-05-12T10:34:00Z</cp:lastPrinted>
  <dcterms:created xsi:type="dcterms:W3CDTF">2013-02-21T09:53:00Z</dcterms:created>
  <dcterms:modified xsi:type="dcterms:W3CDTF">2018-08-31T05:24:00Z</dcterms:modified>
</cp:coreProperties>
</file>