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300D4" w14:textId="4EBCFA37" w:rsidR="00845B1F" w:rsidRPr="007208E8" w:rsidRDefault="00845B1F" w:rsidP="007208E8">
      <w:pPr>
        <w:pStyle w:val="Articletitle"/>
      </w:pPr>
      <w:r w:rsidRPr="007208E8">
        <w:t>Sup</w:t>
      </w:r>
      <w:r w:rsidR="0082569C">
        <w:t>plemental</w:t>
      </w:r>
      <w:r w:rsidRPr="007208E8">
        <w:t xml:space="preserve"> Information</w:t>
      </w:r>
    </w:p>
    <w:p w14:paraId="39C3817C" w14:textId="77777777" w:rsidR="00845B1F" w:rsidRPr="007208E8" w:rsidRDefault="00845B1F" w:rsidP="007208E8">
      <w:pPr>
        <w:pStyle w:val="Articletitle"/>
      </w:pPr>
    </w:p>
    <w:p w14:paraId="1C4B3BEE" w14:textId="77777777" w:rsidR="00845B1F" w:rsidRPr="00325AD4" w:rsidRDefault="00845B1F" w:rsidP="00845B1F">
      <w:pPr>
        <w:autoSpaceDE w:val="0"/>
        <w:autoSpaceDN w:val="0"/>
        <w:adjustRightInd w:val="0"/>
        <w:jc w:val="left"/>
        <w:rPr>
          <w:rFonts w:eastAsia="SimSun"/>
          <w:sz w:val="28"/>
          <w:szCs w:val="28"/>
          <w:lang w:eastAsia="zh-CN"/>
        </w:rPr>
      </w:pPr>
    </w:p>
    <w:p w14:paraId="2D998299" w14:textId="662EE971" w:rsidR="00B95C03" w:rsidRPr="00E54605" w:rsidRDefault="00B95C03" w:rsidP="00B95C03">
      <w:pPr>
        <w:pStyle w:val="Articletitle"/>
      </w:pPr>
      <w:r>
        <w:t xml:space="preserve">Rapid determination of </w:t>
      </w:r>
      <w:r w:rsidRPr="00E54605">
        <w:rPr>
          <w:i/>
        </w:rPr>
        <w:t>Alternaria</w:t>
      </w:r>
      <w:r w:rsidRPr="00E54605">
        <w:t xml:space="preserve"> mycotoxins in tomato </w:t>
      </w:r>
      <w:r>
        <w:t xml:space="preserve">samples by pressurized liquid extraction </w:t>
      </w:r>
      <w:r w:rsidR="00491DF2">
        <w:t>coupled to</w:t>
      </w:r>
      <w:r>
        <w:t xml:space="preserve"> </w:t>
      </w:r>
      <w:r w:rsidRPr="00E54605">
        <w:t xml:space="preserve">liquid </w:t>
      </w:r>
      <w:r w:rsidRPr="00400405">
        <w:rPr>
          <w:rFonts w:hint="eastAsia"/>
        </w:rPr>
        <w:t>chromatography</w:t>
      </w:r>
      <w:r w:rsidRPr="007C7229">
        <w:t xml:space="preserve"> with</w:t>
      </w:r>
      <w:r w:rsidRPr="00E54605">
        <w:t xml:space="preserve"> fluorescence detection </w:t>
      </w:r>
      <w:bookmarkStart w:id="0" w:name="_GoBack"/>
      <w:bookmarkEnd w:id="0"/>
    </w:p>
    <w:p w14:paraId="288953D9" w14:textId="77777777" w:rsidR="007208E8" w:rsidRPr="007208E8" w:rsidRDefault="007208E8" w:rsidP="007208E8">
      <w:pPr>
        <w:pStyle w:val="Authornames"/>
        <w:rPr>
          <w:rFonts w:eastAsia="MS Mincho"/>
          <w:lang w:val="es-ES" w:eastAsia="ja-JP"/>
        </w:rPr>
      </w:pPr>
      <w:r w:rsidRPr="007208E8">
        <w:rPr>
          <w:rFonts w:eastAsia="MS Mincho"/>
          <w:lang w:val="es-ES" w:eastAsia="ja-JP"/>
        </w:rPr>
        <w:t>Alberto Rico-Yuste,</w:t>
      </w:r>
      <w:r w:rsidRPr="007208E8">
        <w:rPr>
          <w:i/>
          <w:vertAlign w:val="superscript"/>
          <w:lang w:val="es-ES"/>
        </w:rPr>
        <w:t>$</w:t>
      </w:r>
      <w:r w:rsidRPr="007208E8">
        <w:rPr>
          <w:rFonts w:eastAsia="MS Mincho"/>
          <w:lang w:val="es-ES" w:eastAsia="ja-JP"/>
        </w:rPr>
        <w:t xml:space="preserve"> Lidia N. Gómez-Arribas,</w:t>
      </w:r>
      <w:r w:rsidRPr="007208E8">
        <w:rPr>
          <w:i/>
          <w:vertAlign w:val="superscript"/>
          <w:lang w:val="es-ES"/>
        </w:rPr>
        <w:t>$</w:t>
      </w:r>
      <w:r w:rsidRPr="007208E8">
        <w:rPr>
          <w:rFonts w:eastAsia="MS Mincho"/>
          <w:lang w:val="es-ES" w:eastAsia="ja-JP"/>
        </w:rPr>
        <w:t xml:space="preserve"> María Concepción Pérez-Conde, Javier L. Urraca,</w:t>
      </w:r>
      <w:r w:rsidRPr="007208E8">
        <w:rPr>
          <w:rFonts w:eastAsia="MS Mincho"/>
          <w:vertAlign w:val="superscript"/>
          <w:lang w:val="es-ES" w:eastAsia="ja-JP"/>
        </w:rPr>
        <w:t>*</w:t>
      </w:r>
      <w:r w:rsidRPr="007208E8">
        <w:rPr>
          <w:rFonts w:eastAsia="MS Mincho"/>
          <w:lang w:val="es-ES" w:eastAsia="ja-JP"/>
        </w:rPr>
        <w:t xml:space="preserve"> María Cruz Moreno-Bondi.</w:t>
      </w:r>
      <w:r w:rsidRPr="007208E8">
        <w:rPr>
          <w:rFonts w:eastAsia="MS Mincho"/>
          <w:vertAlign w:val="superscript"/>
          <w:lang w:val="es-ES" w:eastAsia="ja-JP"/>
        </w:rPr>
        <w:t>*</w:t>
      </w:r>
    </w:p>
    <w:p w14:paraId="37626680" w14:textId="77777777" w:rsidR="007208E8" w:rsidRPr="00E54605" w:rsidRDefault="007208E8" w:rsidP="007208E8">
      <w:pPr>
        <w:pStyle w:val="Notesoncontributors"/>
      </w:pPr>
      <w:r w:rsidRPr="00E54605">
        <w:rPr>
          <w:vertAlign w:val="superscript"/>
        </w:rPr>
        <w:t xml:space="preserve">$ </w:t>
      </w:r>
      <w:r w:rsidRPr="00E54605">
        <w:t>These authors contributed equally to this work.</w:t>
      </w:r>
    </w:p>
    <w:p w14:paraId="55031EF4" w14:textId="77777777" w:rsidR="007208E8" w:rsidRPr="00E54605" w:rsidRDefault="007208E8" w:rsidP="007208E8">
      <w:pPr>
        <w:pStyle w:val="Affiliation"/>
      </w:pPr>
      <w:r w:rsidRPr="00E54605">
        <w:t xml:space="preserve">Department of Analytical Chemistry, Faculty of Chemistry, Universidad Complutense de Madrid, Avenida Complutense, s/n, 28040 Madrid, Spain. </w:t>
      </w:r>
    </w:p>
    <w:p w14:paraId="73C76A67" w14:textId="77777777" w:rsidR="007208E8" w:rsidRPr="00E54605" w:rsidRDefault="007208E8" w:rsidP="007208E8">
      <w:pPr>
        <w:pStyle w:val="Correspondencedetails"/>
      </w:pPr>
      <w:r w:rsidRPr="00E54605">
        <w:rPr>
          <w:vertAlign w:val="superscript"/>
        </w:rPr>
        <w:t>*</w:t>
      </w:r>
      <w:r w:rsidRPr="00E54605">
        <w:t xml:space="preserve"> Corresponding authors: J.L Urraca, Fax: (+) 34 913944329, E-mail: </w:t>
      </w:r>
      <w:hyperlink r:id="rId8" w:history="1">
        <w:r w:rsidRPr="00E54605">
          <w:rPr>
            <w:rStyle w:val="Hipervnculo"/>
            <w:sz w:val="20"/>
            <w:szCs w:val="20"/>
          </w:rPr>
          <w:t>jurracar@ucm.es</w:t>
        </w:r>
      </w:hyperlink>
      <w:r w:rsidRPr="00E54605">
        <w:t xml:space="preserve">; M.C. Moreno-Bondi, Fax: (+) 34 913944329, E-mail: </w:t>
      </w:r>
      <w:hyperlink r:id="rId9" w:history="1">
        <w:r w:rsidRPr="00E54605">
          <w:rPr>
            <w:rStyle w:val="Hipervnculo"/>
            <w:sz w:val="20"/>
            <w:szCs w:val="20"/>
          </w:rPr>
          <w:t>mcmbondi@ucm.es</w:t>
        </w:r>
      </w:hyperlink>
      <w:r w:rsidRPr="00E54605">
        <w:t>.</w:t>
      </w:r>
    </w:p>
    <w:p w14:paraId="4449E39C" w14:textId="4E44D448" w:rsidR="007208E8" w:rsidRPr="007208E8" w:rsidRDefault="007208E8" w:rsidP="007208E8">
      <w:pPr>
        <w:pStyle w:val="Notesoncontributors"/>
        <w:rPr>
          <w:iCs/>
          <w:sz w:val="20"/>
          <w:szCs w:val="20"/>
          <w:lang w:val="es-ES"/>
        </w:rPr>
      </w:pPr>
      <w:r w:rsidRPr="007208E8">
        <w:rPr>
          <w:iCs/>
          <w:sz w:val="20"/>
          <w:szCs w:val="20"/>
          <w:lang w:val="es-ES"/>
        </w:rPr>
        <w:t xml:space="preserve">ORCID ID: </w:t>
      </w:r>
      <w:hyperlink r:id="rId10" w:tgtFrame="_blank" w:tooltip="View this author’s ORCID profile" w:history="1">
        <w:r w:rsidRPr="007208E8">
          <w:rPr>
            <w:iCs/>
            <w:sz w:val="20"/>
            <w:szCs w:val="20"/>
            <w:lang w:val="es-ES"/>
          </w:rPr>
          <w:t>0000-0001-7072-3894</w:t>
        </w:r>
      </w:hyperlink>
      <w:r w:rsidRPr="007208E8">
        <w:rPr>
          <w:iCs/>
          <w:sz w:val="20"/>
          <w:szCs w:val="20"/>
          <w:lang w:val="es-ES"/>
        </w:rPr>
        <w:t xml:space="preserve"> (A.Rico-Yuste)</w:t>
      </w:r>
      <w:r w:rsidR="004B3F57">
        <w:rPr>
          <w:iCs/>
          <w:sz w:val="20"/>
          <w:szCs w:val="20"/>
          <w:lang w:val="es-ES"/>
        </w:rPr>
        <w:t>,</w:t>
      </w:r>
      <w:r w:rsidR="004B3F57" w:rsidRPr="00A01B6B">
        <w:rPr>
          <w:rFonts w:ascii="Arial" w:hAnsi="Arial" w:cs="Arial"/>
          <w:color w:val="494A4C"/>
          <w:sz w:val="18"/>
          <w:szCs w:val="18"/>
          <w:shd w:val="clear" w:color="auto" w:fill="FFFFFF"/>
          <w:lang w:val="es-ES" w:eastAsia="es-ES_tradnl"/>
        </w:rPr>
        <w:t xml:space="preserve"> </w:t>
      </w:r>
      <w:r w:rsidR="004B3F57" w:rsidRPr="00A01B6B">
        <w:rPr>
          <w:iCs/>
          <w:sz w:val="20"/>
          <w:szCs w:val="20"/>
          <w:lang w:val="es-ES"/>
        </w:rPr>
        <w:t>0000-0003-2843-0865</w:t>
      </w:r>
      <w:r w:rsidR="004B3F57">
        <w:rPr>
          <w:iCs/>
          <w:sz w:val="20"/>
          <w:szCs w:val="20"/>
          <w:lang w:val="es-ES"/>
        </w:rPr>
        <w:t xml:space="preserve"> (J.L. Urraca); </w:t>
      </w:r>
      <w:r w:rsidR="004B3F57" w:rsidRPr="00A01B6B">
        <w:rPr>
          <w:iCs/>
          <w:sz w:val="20"/>
          <w:szCs w:val="20"/>
          <w:lang w:val="es-ES"/>
        </w:rPr>
        <w:t>0000-0002-3612-0675 (M.C. Moreno-Bondi)</w:t>
      </w:r>
    </w:p>
    <w:p w14:paraId="61ADAA9E" w14:textId="77777777" w:rsidR="00845B1F" w:rsidRPr="007208E8" w:rsidRDefault="00845B1F" w:rsidP="00845B1F">
      <w:pPr>
        <w:widowControl/>
        <w:jc w:val="left"/>
        <w:rPr>
          <w:szCs w:val="24"/>
          <w:lang w:val="es-ES"/>
        </w:rPr>
      </w:pPr>
      <w:r w:rsidRPr="007208E8">
        <w:rPr>
          <w:szCs w:val="24"/>
          <w:lang w:val="es-ES"/>
        </w:rPr>
        <w:br w:type="page"/>
      </w:r>
    </w:p>
    <w:p w14:paraId="547ED550" w14:textId="77777777" w:rsidR="007D28B0" w:rsidRPr="00E54605" w:rsidRDefault="007D28B0" w:rsidP="007D28B0">
      <w:pPr>
        <w:pStyle w:val="Ttulo2"/>
      </w:pPr>
      <w:bookmarkStart w:id="1" w:name="_Ref289613248"/>
      <w:r w:rsidRPr="00E54605">
        <w:lastRenderedPageBreak/>
        <w:t>UPLC–MS/MS equipment and chromatographic conditions</w:t>
      </w:r>
    </w:p>
    <w:p w14:paraId="20CA4444" w14:textId="77777777" w:rsidR="007D28B0" w:rsidRPr="00E54605" w:rsidRDefault="007D28B0" w:rsidP="007D28B0">
      <w:pPr>
        <w:pStyle w:val="Newparagraph"/>
        <w:rPr>
          <w:lang w:eastAsia="es-ES_tradnl"/>
        </w:rPr>
      </w:pPr>
      <w:r w:rsidRPr="00E54605">
        <w:rPr>
          <w:lang w:eastAsia="es-ES_tradnl"/>
        </w:rPr>
        <w:t xml:space="preserve">UPLC–MS/MS confirmatory analyses were done as described elsewhere </w:t>
      </w:r>
      <w:r w:rsidRPr="00E54605">
        <w:rPr>
          <w:lang w:eastAsia="es-ES_tradnl"/>
        </w:rPr>
        <w:fldChar w:fldCharType="begin"/>
      </w:r>
      <w:r w:rsidRPr="00E54605">
        <w:rPr>
          <w:lang w:eastAsia="es-ES_tradnl"/>
        </w:rPr>
        <w:instrText xml:space="preserve"> ADDIN EN.CITE &lt;EndNote&gt;&lt;Cite&gt;&lt;Author&gt;Walravens&lt;/Author&gt;&lt;Year&gt;2014&lt;/Year&gt;&lt;RecNum&gt;45&lt;/RecNum&gt;&lt;DisplayText&gt;(Walravens et al. 2014)&lt;/DisplayText&gt;&lt;record&gt;&lt;rec-number&gt;45&lt;/rec-number&gt;&lt;foreign-keys&gt;&lt;key app="EN" db-id="z5ax5apa7sppfyer05cpra0e2sw2f9rraft2" timestamp="1475748118"&gt;45&lt;/key&gt;&lt;/foreign-keys&gt;&lt;ref-type name="Journal Article"&gt;17&lt;/ref-type&gt;&lt;contributors&gt;&lt;authors&gt;&lt;author&gt;Walravens, Jeroen&lt;/author&gt;&lt;author&gt;Mikula, Hannes&lt;/author&gt;&lt;author&gt;Rychlik, Michael&lt;/author&gt;&lt;author&gt;Asam, Stefan&lt;/author&gt;&lt;author&gt;Ediage, Emmanuel Njumbe&lt;/author&gt;&lt;author&gt;Di Mavungu, José Diana&lt;/author&gt;&lt;author&gt;Van Landschoot, Anita&lt;/author&gt;&lt;author&gt;Vanhaecke, Lynn&lt;/author&gt;&lt;author&gt;De Saeger, Sarah&lt;/author&gt;&lt;/authors&gt;&lt;/contributors&gt;&lt;titles&gt;&lt;title&gt;Development and validation of an ultra-high-performance liquid chromatography tandem mass spectrometric method for the simultaneous determination of free and conjugated Alternaria toxins in cereal-based foodstuffs&lt;/title&gt;&lt;secondary-title&gt;Journal of Chromatography A&lt;/secondary-title&gt;&lt;/titles&gt;&lt;periodical&gt;&lt;full-title&gt;Journal of Chromatography A&lt;/full-title&gt;&lt;/periodical&gt;&lt;pages&gt;91-101&lt;/pages&gt;&lt;volume&gt;1372&lt;/volume&gt;&lt;keywords&gt;&lt;keyword&gt;Alternaria&lt;/keyword&gt;&lt;keyword&gt;(Masked) mycotoxins&lt;/keyword&gt;&lt;keyword&gt;UPLC-MS/MS&lt;/keyword&gt;&lt;keyword&gt;Experimental design&lt;/keyword&gt;&lt;keyword&gt;Validation&lt;/keyword&gt;&lt;keyword&gt;Homoscedasticity&lt;/keyword&gt;&lt;/keywords&gt;&lt;dates&gt;&lt;year&gt;2014&lt;/year&gt;&lt;pub-dates&gt;&lt;date&gt;12/12/&lt;/date&gt;&lt;/pub-dates&gt;&lt;/dates&gt;&lt;isbn&gt;0021-9673&lt;/isbn&gt;&lt;urls&gt;&lt;related-urls&gt;&lt;url&gt;&lt;style face="underline" font="default" size="100%"&gt;http://www.sciencedirect.com/science/article/pii/S0021967314016951&lt;/style&gt;&lt;/url&gt;&lt;/related-urls&gt;&lt;/urls&gt;&lt;electronic-resource-num&gt;&lt;style face="underline" font="default" size="100%"&gt;http://dx.doi.org/10.1016/j.chroma.2014.10.083&lt;/style&gt;&lt;/electronic-resource-num&gt;&lt;/record&gt;&lt;/Cite&gt;&lt;/EndNote&gt;</w:instrText>
      </w:r>
      <w:r w:rsidRPr="00E54605">
        <w:rPr>
          <w:lang w:eastAsia="es-ES_tradnl"/>
        </w:rPr>
        <w:fldChar w:fldCharType="separate"/>
      </w:r>
      <w:r w:rsidRPr="00E54605">
        <w:rPr>
          <w:noProof/>
          <w:lang w:eastAsia="es-ES_tradnl"/>
        </w:rPr>
        <w:t>(Walravens et al. 2014)</w:t>
      </w:r>
      <w:r w:rsidRPr="00E54605">
        <w:rPr>
          <w:lang w:eastAsia="es-ES_tradnl"/>
        </w:rPr>
        <w:fldChar w:fldCharType="end"/>
      </w:r>
      <w:r w:rsidRPr="00E54605">
        <w:rPr>
          <w:lang w:eastAsia="es-ES_tradnl"/>
        </w:rPr>
        <w:t>, using an Acquity UPLC system from Waters (Milford, MA, USA) coupled to a Xevo TQ-S triple quadrupole mass spectrometer, also from Waters, that was equipped with an electrospray interface (ESI) and operated in negative ESI mode. Separation was done on an Acquity UPLC HSS (100mm × 2.1mm, 1.8 μm) column from Waters (Milford, MA, USA) at 35 °C. The chromatographic gradient involved using 1% acetic acid (solvent A) and ACN containing 1% acetic acid (solvent B) as follows: 5% A (0.5 min, 0.4 mL·min</w:t>
      </w:r>
      <w:r w:rsidRPr="00E54605">
        <w:rPr>
          <w:vertAlign w:val="superscript"/>
          <w:lang w:eastAsia="es-ES_tradnl"/>
        </w:rPr>
        <w:t>−1</w:t>
      </w:r>
      <w:r w:rsidRPr="00E54605">
        <w:rPr>
          <w:lang w:eastAsia="es-ES_tradnl"/>
        </w:rPr>
        <w:t>), 31–38% B (3.75 min, 0.4 mL·min</w:t>
      </w:r>
      <w:r w:rsidRPr="00E54605">
        <w:rPr>
          <w:vertAlign w:val="superscript"/>
          <w:lang w:eastAsia="es-ES_tradnl"/>
        </w:rPr>
        <w:t>−1</w:t>
      </w:r>
      <w:r w:rsidRPr="00E54605">
        <w:rPr>
          <w:lang w:eastAsia="es-ES_tradnl"/>
        </w:rPr>
        <w:t>), 90% B (0.85 min, 0.4 mL·min</w:t>
      </w:r>
      <w:r w:rsidRPr="00E54605">
        <w:rPr>
          <w:vertAlign w:val="superscript"/>
          <w:lang w:eastAsia="es-ES_tradnl"/>
        </w:rPr>
        <w:t>−1</w:t>
      </w:r>
      <w:r w:rsidRPr="00E54605">
        <w:rPr>
          <w:lang w:eastAsia="es-ES_tradnl"/>
        </w:rPr>
        <w:t>), 5% B (0.5 min, 0.3 mL·min</w:t>
      </w:r>
      <w:r w:rsidRPr="00E54605">
        <w:rPr>
          <w:vertAlign w:val="superscript"/>
          <w:lang w:eastAsia="es-ES_tradnl"/>
        </w:rPr>
        <w:t>−1</w:t>
      </w:r>
      <w:r w:rsidRPr="00E54605">
        <w:rPr>
          <w:lang w:eastAsia="es-ES_tradnl"/>
        </w:rPr>
        <w:t>) and 5% B (3 min, 0.3 mL·min</w:t>
      </w:r>
      <w:r w:rsidRPr="00E54605">
        <w:rPr>
          <w:vertAlign w:val="superscript"/>
          <w:lang w:eastAsia="es-ES_tradnl"/>
        </w:rPr>
        <w:t>−1</w:t>
      </w:r>
      <w:r w:rsidRPr="00E54605">
        <w:rPr>
          <w:lang w:eastAsia="es-ES_tradnl"/>
        </w:rPr>
        <w:t>). Then, the column was re-equilibrated prior to the next injection. The injected volume was 5 µL and the total run time 7 min. The ESI source was operated in the negative ionization mode under the following conditions: capillary voltage, 2.95 kV; source block and desolvation temperature, 125 and 350 °C, respectively; desolvation and nebulizer gas flow-rate, 800 and 50 L·h</w:t>
      </w:r>
      <w:r w:rsidRPr="00E54605">
        <w:rPr>
          <w:vertAlign w:val="superscript"/>
          <w:lang w:eastAsia="es-ES_tradnl"/>
        </w:rPr>
        <w:t>−1</w:t>
      </w:r>
      <w:r w:rsidRPr="00E54605">
        <w:rPr>
          <w:lang w:eastAsia="es-ES_tradnl"/>
        </w:rPr>
        <w:t>, respectively; and argon pressure in the collision cell, 9.1×10</w:t>
      </w:r>
      <w:r w:rsidRPr="00E54605">
        <w:rPr>
          <w:vertAlign w:val="superscript"/>
          <w:lang w:eastAsia="es-ES_tradnl"/>
        </w:rPr>
        <w:t>−3</w:t>
      </w:r>
      <w:r w:rsidRPr="00E54605">
        <w:rPr>
          <w:lang w:eastAsia="es-ES_tradnl"/>
        </w:rPr>
        <w:t xml:space="preserve"> mbar. Data acquisition for quantification was performed by using the multiple reaction monitoring (MRM) mode to follow two transitions for AOH (257.1 &gt; 213.1 and 257.1 &gt; 215.1, corresponding to the fragment ions [MH–CO</w:t>
      </w:r>
      <w:r w:rsidRPr="00E54605">
        <w:rPr>
          <w:vertAlign w:val="subscript"/>
          <w:lang w:eastAsia="es-ES_tradnl"/>
        </w:rPr>
        <w:t>2</w:t>
      </w:r>
      <w:r w:rsidRPr="00E54605">
        <w:rPr>
          <w:lang w:eastAsia="es-ES_tradnl"/>
        </w:rPr>
        <w:t>]</w:t>
      </w:r>
      <w:r w:rsidRPr="00E54605">
        <w:rPr>
          <w:vertAlign w:val="superscript"/>
          <w:lang w:eastAsia="es-ES_tradnl"/>
        </w:rPr>
        <w:t>−</w:t>
      </w:r>
      <w:r w:rsidRPr="00E54605">
        <w:rPr>
          <w:lang w:eastAsia="es-ES_tradnl"/>
        </w:rPr>
        <w:t xml:space="preserve"> and [MH–CH</w:t>
      </w:r>
      <w:r w:rsidRPr="00E54605">
        <w:rPr>
          <w:vertAlign w:val="subscript"/>
          <w:lang w:eastAsia="es-ES_tradnl"/>
        </w:rPr>
        <w:t>2</w:t>
      </w:r>
      <w:r w:rsidRPr="00E54605">
        <w:rPr>
          <w:lang w:eastAsia="es-ES_tradnl"/>
        </w:rPr>
        <w:t>OH]</w:t>
      </w:r>
      <w:r w:rsidRPr="00E54605">
        <w:rPr>
          <w:vertAlign w:val="superscript"/>
          <w:lang w:eastAsia="es-ES_tradnl"/>
        </w:rPr>
        <w:t>−</w:t>
      </w:r>
      <w:r w:rsidRPr="00E54605">
        <w:rPr>
          <w:lang w:eastAsia="es-ES_tradnl"/>
        </w:rPr>
        <w:t>, respectively) and another two for AME (271.2 &gt; 256.2 and 271.2 &gt; 228.2, corresponding to the fragment ions [MH–CH</w:t>
      </w:r>
      <w:r w:rsidRPr="00E54605">
        <w:rPr>
          <w:vertAlign w:val="subscript"/>
          <w:lang w:eastAsia="es-ES_tradnl"/>
        </w:rPr>
        <w:t>3</w:t>
      </w:r>
      <w:r w:rsidRPr="00E54605">
        <w:rPr>
          <w:lang w:eastAsia="es-ES_tradnl"/>
        </w:rPr>
        <w:t>]</w:t>
      </w:r>
      <w:r w:rsidRPr="00E54605">
        <w:rPr>
          <w:vertAlign w:val="superscript"/>
          <w:lang w:eastAsia="es-ES_tradnl"/>
        </w:rPr>
        <w:t>−</w:t>
      </w:r>
      <w:r w:rsidRPr="00E54605">
        <w:rPr>
          <w:lang w:eastAsia="es-ES_tradnl"/>
        </w:rPr>
        <w:t xml:space="preserve"> and [MH–CO</w:t>
      </w:r>
      <w:r w:rsidRPr="00E54605">
        <w:rPr>
          <w:vertAlign w:val="subscript"/>
          <w:lang w:eastAsia="es-ES_tradnl"/>
        </w:rPr>
        <w:t>2</w:t>
      </w:r>
      <w:r w:rsidRPr="00E54605">
        <w:rPr>
          <w:lang w:eastAsia="es-ES_tradnl"/>
        </w:rPr>
        <w:t>]</w:t>
      </w:r>
      <w:r w:rsidRPr="00E54605">
        <w:rPr>
          <w:vertAlign w:val="superscript"/>
          <w:lang w:eastAsia="es-ES_tradnl"/>
        </w:rPr>
        <w:t>−</w:t>
      </w:r>
      <w:r w:rsidRPr="00E54605">
        <w:rPr>
          <w:lang w:eastAsia="es-ES_tradnl"/>
        </w:rPr>
        <w:t>, respectively).</w:t>
      </w:r>
    </w:p>
    <w:p w14:paraId="4369FF95" w14:textId="0AA9B541" w:rsidR="007D28B0" w:rsidRDefault="007D28B0">
      <w:pPr>
        <w:widowControl/>
        <w:jc w:val="left"/>
        <w:rPr>
          <w:rFonts w:eastAsia="Times New Roman"/>
          <w:kern w:val="0"/>
          <w:szCs w:val="24"/>
          <w:lang w:val="en-GB" w:eastAsia="en-GB"/>
        </w:rPr>
      </w:pPr>
      <w:r>
        <w:br w:type="page"/>
      </w:r>
    </w:p>
    <w:p w14:paraId="5E774C28" w14:textId="411450BB" w:rsidR="00703D5D" w:rsidRPr="007208E8" w:rsidRDefault="00845B1F" w:rsidP="007208E8">
      <w:pPr>
        <w:pStyle w:val="Tabletitle"/>
      </w:pPr>
      <w:r w:rsidRPr="007208E8">
        <w:lastRenderedPageBreak/>
        <w:t>Table S</w:t>
      </w:r>
      <w:r w:rsidR="00AE0B1B" w:rsidRPr="007208E8">
        <w:fldChar w:fldCharType="begin"/>
      </w:r>
      <w:r w:rsidRPr="007208E8">
        <w:instrText xml:space="preserve"> SEQ Table \* ARABIC </w:instrText>
      </w:r>
      <w:r w:rsidR="00AE0B1B" w:rsidRPr="007208E8">
        <w:fldChar w:fldCharType="separate"/>
      </w:r>
      <w:r w:rsidRPr="007208E8">
        <w:t>1</w:t>
      </w:r>
      <w:r w:rsidR="00AE0B1B" w:rsidRPr="007208E8">
        <w:fldChar w:fldCharType="end"/>
      </w:r>
      <w:bookmarkEnd w:id="1"/>
      <w:r w:rsidR="00C613F0" w:rsidRPr="007208E8">
        <w:t>.</w:t>
      </w:r>
      <w:r w:rsidRPr="007208E8">
        <w:t xml:space="preserve"> Extraction recoveries (R, %</w:t>
      </w:r>
      <w:r w:rsidR="001A5ED6" w:rsidRPr="007208E8">
        <w:t>, n = 3) for</w:t>
      </w:r>
      <w:r w:rsidR="00552F6A" w:rsidRPr="007208E8">
        <w:t xml:space="preserve"> AOH and AME (2000 ng g-1)</w:t>
      </w:r>
      <w:r w:rsidR="00D41E4F" w:rsidRPr="007208E8">
        <w:t xml:space="preserve"> </w:t>
      </w:r>
      <w:r w:rsidRPr="007208E8">
        <w:t>obtained after PLE process as a function of the MeOH content, temperature, pressure and the number of cycles. In all the cases some parameters were fixed: heat-up time 5 min, extraction time 5 min, flush volume 60 %, purge time 1 min, cell volume 22 mL, total extraction time 13 min and total solvent used 33 mL.</w:t>
      </w:r>
    </w:p>
    <w:tbl>
      <w:tblPr>
        <w:tblW w:w="8519" w:type="dxa"/>
        <w:tblLook w:val="04A0" w:firstRow="1" w:lastRow="0" w:firstColumn="1" w:lastColumn="0" w:noHBand="0" w:noVBand="1"/>
      </w:tblPr>
      <w:tblGrid>
        <w:gridCol w:w="883"/>
        <w:gridCol w:w="937"/>
        <w:gridCol w:w="1030"/>
        <w:gridCol w:w="1143"/>
        <w:gridCol w:w="1114"/>
        <w:gridCol w:w="1143"/>
        <w:gridCol w:w="1125"/>
        <w:gridCol w:w="1144"/>
      </w:tblGrid>
      <w:tr w:rsidR="00845B1F" w:rsidRPr="00A15D9C" w14:paraId="40B47601" w14:textId="77777777" w:rsidTr="0048007D">
        <w:trPr>
          <w:trHeight w:val="397"/>
        </w:trPr>
        <w:tc>
          <w:tcPr>
            <w:tcW w:w="805" w:type="dxa"/>
            <w:tcBorders>
              <w:top w:val="single" w:sz="4" w:space="0" w:color="auto"/>
              <w:bottom w:val="single" w:sz="4" w:space="0" w:color="auto"/>
            </w:tcBorders>
            <w:vAlign w:val="center"/>
          </w:tcPr>
          <w:p w14:paraId="21B195CA" w14:textId="77777777" w:rsidR="00845B1F" w:rsidRPr="007208E8" w:rsidRDefault="00845B1F" w:rsidP="0048007D">
            <w:pPr>
              <w:pStyle w:val="Paragraph"/>
              <w:spacing w:before="0" w:line="360" w:lineRule="auto"/>
              <w:jc w:val="center"/>
            </w:pPr>
            <w:r w:rsidRPr="007208E8">
              <w:t>MeOH (%)</w:t>
            </w:r>
          </w:p>
        </w:tc>
        <w:tc>
          <w:tcPr>
            <w:tcW w:w="964" w:type="dxa"/>
            <w:tcBorders>
              <w:top w:val="single" w:sz="4" w:space="0" w:color="auto"/>
              <w:bottom w:val="single" w:sz="4" w:space="0" w:color="auto"/>
            </w:tcBorders>
            <w:vAlign w:val="center"/>
          </w:tcPr>
          <w:p w14:paraId="34CC3881" w14:textId="77777777" w:rsidR="00845B1F" w:rsidRPr="007208E8" w:rsidRDefault="00845B1F" w:rsidP="0048007D">
            <w:pPr>
              <w:pStyle w:val="Paragraph"/>
              <w:spacing w:before="0" w:line="360" w:lineRule="auto"/>
              <w:jc w:val="center"/>
            </w:pPr>
            <w:r w:rsidRPr="007208E8">
              <w:t>T</w:t>
            </w:r>
            <w:r w:rsidRPr="007208E8">
              <w:br/>
              <w:t xml:space="preserve"> (○C)</w:t>
            </w:r>
          </w:p>
        </w:tc>
        <w:tc>
          <w:tcPr>
            <w:tcW w:w="961" w:type="dxa"/>
            <w:tcBorders>
              <w:top w:val="single" w:sz="4" w:space="0" w:color="auto"/>
              <w:bottom w:val="single" w:sz="4" w:space="0" w:color="auto"/>
            </w:tcBorders>
            <w:vAlign w:val="center"/>
          </w:tcPr>
          <w:p w14:paraId="19A089B4" w14:textId="77777777" w:rsidR="00845B1F" w:rsidRPr="007208E8" w:rsidRDefault="00845B1F" w:rsidP="0048007D">
            <w:pPr>
              <w:pStyle w:val="Paragraph"/>
              <w:spacing w:before="0" w:line="360" w:lineRule="auto"/>
              <w:jc w:val="center"/>
            </w:pPr>
            <w:r w:rsidRPr="007208E8">
              <w:t>Pressure (psi)</w:t>
            </w:r>
          </w:p>
        </w:tc>
        <w:tc>
          <w:tcPr>
            <w:tcW w:w="1158" w:type="dxa"/>
            <w:tcBorders>
              <w:top w:val="single" w:sz="4" w:space="0" w:color="auto"/>
              <w:bottom w:val="single" w:sz="4" w:space="0" w:color="auto"/>
            </w:tcBorders>
            <w:vAlign w:val="center"/>
          </w:tcPr>
          <w:p w14:paraId="3ECF73E4" w14:textId="77777777" w:rsidR="00845B1F" w:rsidRPr="007208E8" w:rsidRDefault="00845B1F" w:rsidP="0048007D">
            <w:pPr>
              <w:pStyle w:val="Paragraph"/>
              <w:spacing w:before="0" w:line="360" w:lineRule="auto"/>
              <w:jc w:val="center"/>
            </w:pPr>
            <w:r w:rsidRPr="007208E8">
              <w:t xml:space="preserve">Number </w:t>
            </w:r>
            <w:r w:rsidRPr="007208E8">
              <w:br/>
              <w:t>of cycles</w:t>
            </w:r>
          </w:p>
        </w:tc>
        <w:tc>
          <w:tcPr>
            <w:tcW w:w="1155" w:type="dxa"/>
            <w:tcBorders>
              <w:top w:val="single" w:sz="4" w:space="0" w:color="auto"/>
              <w:bottom w:val="single" w:sz="4" w:space="0" w:color="auto"/>
            </w:tcBorders>
            <w:vAlign w:val="center"/>
          </w:tcPr>
          <w:p w14:paraId="379DBFD4" w14:textId="77777777" w:rsidR="00845B1F" w:rsidRPr="007208E8" w:rsidRDefault="00845B1F" w:rsidP="0048007D">
            <w:pPr>
              <w:pStyle w:val="Paragraph"/>
              <w:spacing w:before="0" w:line="360" w:lineRule="auto"/>
              <w:jc w:val="center"/>
            </w:pPr>
            <w:r w:rsidRPr="007208E8">
              <w:t>R</w:t>
            </w:r>
            <w:r w:rsidRPr="0048007D">
              <w:rPr>
                <w:vertAlign w:val="subscript"/>
              </w:rPr>
              <w:t>AOH</w:t>
            </w:r>
            <w:r w:rsidRPr="007208E8">
              <w:t xml:space="preserve"> (%)</w:t>
            </w:r>
          </w:p>
        </w:tc>
        <w:tc>
          <w:tcPr>
            <w:tcW w:w="1155" w:type="dxa"/>
            <w:tcBorders>
              <w:top w:val="single" w:sz="4" w:space="0" w:color="auto"/>
              <w:bottom w:val="single" w:sz="4" w:space="0" w:color="auto"/>
            </w:tcBorders>
            <w:vAlign w:val="center"/>
          </w:tcPr>
          <w:p w14:paraId="39D5053A" w14:textId="77777777" w:rsidR="00845B1F" w:rsidRPr="007208E8" w:rsidRDefault="00845B1F" w:rsidP="0048007D">
            <w:pPr>
              <w:pStyle w:val="Paragraph"/>
              <w:spacing w:before="0" w:line="360" w:lineRule="auto"/>
              <w:jc w:val="center"/>
            </w:pPr>
            <w:r w:rsidRPr="007208E8">
              <w:t>RSD</w:t>
            </w:r>
            <w:r w:rsidRPr="0048007D">
              <w:rPr>
                <w:vertAlign w:val="subscript"/>
              </w:rPr>
              <w:t>AOH</w:t>
            </w:r>
            <w:r w:rsidRPr="007208E8">
              <w:t xml:space="preserve"> (%)</w:t>
            </w:r>
          </w:p>
        </w:tc>
        <w:tc>
          <w:tcPr>
            <w:tcW w:w="1166" w:type="dxa"/>
            <w:tcBorders>
              <w:top w:val="single" w:sz="4" w:space="0" w:color="auto"/>
              <w:bottom w:val="single" w:sz="4" w:space="0" w:color="auto"/>
            </w:tcBorders>
            <w:vAlign w:val="center"/>
          </w:tcPr>
          <w:p w14:paraId="3C365A69" w14:textId="77777777" w:rsidR="00845B1F" w:rsidRPr="007208E8" w:rsidRDefault="00845B1F" w:rsidP="0048007D">
            <w:pPr>
              <w:pStyle w:val="Paragraph"/>
              <w:spacing w:before="0" w:line="360" w:lineRule="auto"/>
              <w:jc w:val="center"/>
            </w:pPr>
            <w:r w:rsidRPr="007208E8">
              <w:t>R</w:t>
            </w:r>
            <w:r w:rsidRPr="0048007D">
              <w:rPr>
                <w:vertAlign w:val="subscript"/>
              </w:rPr>
              <w:t>AME</w:t>
            </w:r>
            <w:r w:rsidRPr="007208E8">
              <w:t xml:space="preserve"> (%)</w:t>
            </w:r>
          </w:p>
        </w:tc>
        <w:tc>
          <w:tcPr>
            <w:tcW w:w="1155" w:type="dxa"/>
            <w:tcBorders>
              <w:top w:val="single" w:sz="4" w:space="0" w:color="auto"/>
              <w:bottom w:val="single" w:sz="4" w:space="0" w:color="auto"/>
            </w:tcBorders>
            <w:vAlign w:val="center"/>
          </w:tcPr>
          <w:p w14:paraId="0C374DE8" w14:textId="77777777" w:rsidR="00845B1F" w:rsidRPr="007208E8" w:rsidRDefault="00845B1F" w:rsidP="0048007D">
            <w:pPr>
              <w:pStyle w:val="Paragraph"/>
              <w:spacing w:before="0" w:line="360" w:lineRule="auto"/>
              <w:jc w:val="center"/>
            </w:pPr>
            <w:r w:rsidRPr="007208E8">
              <w:t>RSD</w:t>
            </w:r>
            <w:r w:rsidRPr="0048007D">
              <w:rPr>
                <w:vertAlign w:val="subscript"/>
              </w:rPr>
              <w:t>AME</w:t>
            </w:r>
            <w:r w:rsidRPr="007208E8">
              <w:t xml:space="preserve"> (%)</w:t>
            </w:r>
          </w:p>
        </w:tc>
      </w:tr>
      <w:tr w:rsidR="00845B1F" w:rsidRPr="00A15D9C" w14:paraId="46B2BF96" w14:textId="77777777" w:rsidTr="0048007D">
        <w:trPr>
          <w:trHeight w:val="397"/>
        </w:trPr>
        <w:tc>
          <w:tcPr>
            <w:tcW w:w="805" w:type="dxa"/>
            <w:tcBorders>
              <w:top w:val="single" w:sz="4" w:space="0" w:color="auto"/>
            </w:tcBorders>
            <w:vAlign w:val="center"/>
          </w:tcPr>
          <w:p w14:paraId="661FCB18" w14:textId="77777777" w:rsidR="00845B1F" w:rsidRPr="007208E8" w:rsidRDefault="00845B1F" w:rsidP="0048007D">
            <w:pPr>
              <w:pStyle w:val="Paragraph"/>
              <w:spacing w:before="0"/>
              <w:jc w:val="center"/>
            </w:pPr>
            <w:r w:rsidRPr="007208E8">
              <w:t>100</w:t>
            </w:r>
          </w:p>
        </w:tc>
        <w:tc>
          <w:tcPr>
            <w:tcW w:w="964" w:type="dxa"/>
            <w:tcBorders>
              <w:top w:val="single" w:sz="4" w:space="0" w:color="auto"/>
            </w:tcBorders>
            <w:vAlign w:val="center"/>
          </w:tcPr>
          <w:p w14:paraId="6CBF438A" w14:textId="77777777" w:rsidR="00845B1F" w:rsidRPr="007208E8" w:rsidRDefault="00845B1F" w:rsidP="0048007D">
            <w:pPr>
              <w:pStyle w:val="Paragraph"/>
              <w:spacing w:before="0"/>
              <w:jc w:val="center"/>
            </w:pPr>
            <w:r w:rsidRPr="007208E8">
              <w:t>50</w:t>
            </w:r>
          </w:p>
        </w:tc>
        <w:tc>
          <w:tcPr>
            <w:tcW w:w="961" w:type="dxa"/>
            <w:tcBorders>
              <w:top w:val="single" w:sz="4" w:space="0" w:color="auto"/>
            </w:tcBorders>
            <w:vAlign w:val="center"/>
          </w:tcPr>
          <w:p w14:paraId="008EED96" w14:textId="77777777" w:rsidR="00845B1F" w:rsidRPr="007208E8" w:rsidRDefault="00845B1F" w:rsidP="0048007D">
            <w:pPr>
              <w:pStyle w:val="Paragraph"/>
              <w:spacing w:before="0"/>
              <w:jc w:val="center"/>
            </w:pPr>
            <w:r w:rsidRPr="007208E8">
              <w:t>1000</w:t>
            </w:r>
          </w:p>
        </w:tc>
        <w:tc>
          <w:tcPr>
            <w:tcW w:w="1158" w:type="dxa"/>
            <w:tcBorders>
              <w:top w:val="single" w:sz="4" w:space="0" w:color="auto"/>
            </w:tcBorders>
            <w:vAlign w:val="center"/>
          </w:tcPr>
          <w:p w14:paraId="063D4F10" w14:textId="77777777" w:rsidR="00845B1F" w:rsidRPr="007208E8" w:rsidRDefault="00845B1F" w:rsidP="0048007D">
            <w:pPr>
              <w:pStyle w:val="Paragraph"/>
              <w:spacing w:before="0"/>
              <w:jc w:val="center"/>
            </w:pPr>
            <w:r w:rsidRPr="007208E8">
              <w:t>1</w:t>
            </w:r>
          </w:p>
        </w:tc>
        <w:tc>
          <w:tcPr>
            <w:tcW w:w="1155" w:type="dxa"/>
            <w:tcBorders>
              <w:top w:val="single" w:sz="4" w:space="0" w:color="auto"/>
            </w:tcBorders>
            <w:vAlign w:val="center"/>
          </w:tcPr>
          <w:p w14:paraId="790EDBCC" w14:textId="77777777" w:rsidR="00845B1F" w:rsidRPr="007208E8" w:rsidRDefault="00845B1F" w:rsidP="0048007D">
            <w:pPr>
              <w:pStyle w:val="Paragraph"/>
              <w:spacing w:before="0"/>
              <w:jc w:val="center"/>
            </w:pPr>
            <w:r w:rsidRPr="007208E8">
              <w:t>97.6</w:t>
            </w:r>
          </w:p>
        </w:tc>
        <w:tc>
          <w:tcPr>
            <w:tcW w:w="1155" w:type="dxa"/>
            <w:tcBorders>
              <w:top w:val="single" w:sz="4" w:space="0" w:color="auto"/>
            </w:tcBorders>
            <w:vAlign w:val="center"/>
          </w:tcPr>
          <w:p w14:paraId="4A131548" w14:textId="77777777" w:rsidR="00845B1F" w:rsidRPr="007208E8" w:rsidRDefault="00845B1F" w:rsidP="0048007D">
            <w:pPr>
              <w:pStyle w:val="Paragraph"/>
              <w:spacing w:before="0"/>
              <w:jc w:val="center"/>
            </w:pPr>
            <w:r w:rsidRPr="007208E8">
              <w:t>3</w:t>
            </w:r>
          </w:p>
        </w:tc>
        <w:tc>
          <w:tcPr>
            <w:tcW w:w="1166" w:type="dxa"/>
            <w:tcBorders>
              <w:top w:val="single" w:sz="4" w:space="0" w:color="auto"/>
            </w:tcBorders>
            <w:vAlign w:val="center"/>
          </w:tcPr>
          <w:p w14:paraId="59244299" w14:textId="77777777" w:rsidR="00845B1F" w:rsidRPr="007208E8" w:rsidRDefault="00845B1F" w:rsidP="0048007D">
            <w:pPr>
              <w:pStyle w:val="Paragraph"/>
              <w:spacing w:before="0"/>
              <w:jc w:val="center"/>
            </w:pPr>
            <w:r w:rsidRPr="007208E8">
              <w:t>---</w:t>
            </w:r>
          </w:p>
        </w:tc>
        <w:tc>
          <w:tcPr>
            <w:tcW w:w="1155" w:type="dxa"/>
            <w:tcBorders>
              <w:top w:val="single" w:sz="4" w:space="0" w:color="auto"/>
            </w:tcBorders>
            <w:vAlign w:val="center"/>
          </w:tcPr>
          <w:p w14:paraId="5F1BC072" w14:textId="77777777" w:rsidR="00845B1F" w:rsidRPr="007208E8" w:rsidRDefault="00845B1F" w:rsidP="0048007D">
            <w:pPr>
              <w:pStyle w:val="Paragraph"/>
              <w:spacing w:before="0"/>
              <w:jc w:val="center"/>
            </w:pPr>
            <w:r w:rsidRPr="007208E8">
              <w:t>---</w:t>
            </w:r>
          </w:p>
        </w:tc>
      </w:tr>
      <w:tr w:rsidR="00845B1F" w:rsidRPr="00A15D9C" w14:paraId="04949B7E" w14:textId="77777777" w:rsidTr="0048007D">
        <w:trPr>
          <w:trHeight w:val="397"/>
        </w:trPr>
        <w:tc>
          <w:tcPr>
            <w:tcW w:w="805" w:type="dxa"/>
            <w:vAlign w:val="center"/>
          </w:tcPr>
          <w:p w14:paraId="526CC617" w14:textId="77777777" w:rsidR="00845B1F" w:rsidRPr="007208E8" w:rsidRDefault="00845B1F" w:rsidP="0048007D">
            <w:pPr>
              <w:pStyle w:val="Paragraph"/>
              <w:spacing w:before="0"/>
              <w:jc w:val="center"/>
            </w:pPr>
            <w:r w:rsidRPr="007208E8">
              <w:t>75</w:t>
            </w:r>
          </w:p>
        </w:tc>
        <w:tc>
          <w:tcPr>
            <w:tcW w:w="964" w:type="dxa"/>
            <w:vAlign w:val="center"/>
          </w:tcPr>
          <w:p w14:paraId="31F85013" w14:textId="77777777" w:rsidR="00845B1F" w:rsidRPr="007208E8" w:rsidRDefault="00845B1F" w:rsidP="0048007D">
            <w:pPr>
              <w:pStyle w:val="Paragraph"/>
              <w:spacing w:before="0"/>
              <w:jc w:val="center"/>
            </w:pPr>
            <w:r w:rsidRPr="007208E8">
              <w:t>50</w:t>
            </w:r>
          </w:p>
        </w:tc>
        <w:tc>
          <w:tcPr>
            <w:tcW w:w="961" w:type="dxa"/>
            <w:vAlign w:val="center"/>
          </w:tcPr>
          <w:p w14:paraId="1E24BC13" w14:textId="77777777" w:rsidR="00845B1F" w:rsidRPr="007208E8" w:rsidRDefault="00845B1F" w:rsidP="0048007D">
            <w:pPr>
              <w:pStyle w:val="Paragraph"/>
              <w:spacing w:before="0"/>
              <w:jc w:val="center"/>
            </w:pPr>
            <w:r w:rsidRPr="007208E8">
              <w:t>1000</w:t>
            </w:r>
          </w:p>
        </w:tc>
        <w:tc>
          <w:tcPr>
            <w:tcW w:w="1158" w:type="dxa"/>
            <w:vAlign w:val="center"/>
          </w:tcPr>
          <w:p w14:paraId="024FF036" w14:textId="77777777" w:rsidR="00845B1F" w:rsidRPr="007208E8" w:rsidRDefault="00845B1F" w:rsidP="0048007D">
            <w:pPr>
              <w:pStyle w:val="Paragraph"/>
              <w:spacing w:before="0"/>
              <w:jc w:val="center"/>
            </w:pPr>
            <w:r w:rsidRPr="007208E8">
              <w:t>1</w:t>
            </w:r>
          </w:p>
        </w:tc>
        <w:tc>
          <w:tcPr>
            <w:tcW w:w="1155" w:type="dxa"/>
            <w:vAlign w:val="center"/>
          </w:tcPr>
          <w:p w14:paraId="4FBEE9C9" w14:textId="77777777" w:rsidR="00845B1F" w:rsidRPr="007208E8" w:rsidRDefault="00845B1F" w:rsidP="0048007D">
            <w:pPr>
              <w:pStyle w:val="Paragraph"/>
              <w:spacing w:before="0"/>
              <w:jc w:val="center"/>
            </w:pPr>
            <w:r w:rsidRPr="007208E8">
              <w:t>91.1</w:t>
            </w:r>
          </w:p>
        </w:tc>
        <w:tc>
          <w:tcPr>
            <w:tcW w:w="1155" w:type="dxa"/>
            <w:vAlign w:val="center"/>
          </w:tcPr>
          <w:p w14:paraId="6A1B9744" w14:textId="77777777" w:rsidR="00845B1F" w:rsidRPr="007208E8" w:rsidRDefault="00845B1F" w:rsidP="0048007D">
            <w:pPr>
              <w:pStyle w:val="Paragraph"/>
              <w:spacing w:before="0"/>
              <w:jc w:val="center"/>
            </w:pPr>
            <w:r w:rsidRPr="007208E8">
              <w:t>5</w:t>
            </w:r>
          </w:p>
        </w:tc>
        <w:tc>
          <w:tcPr>
            <w:tcW w:w="1166" w:type="dxa"/>
            <w:vAlign w:val="center"/>
          </w:tcPr>
          <w:p w14:paraId="3F86F4FA" w14:textId="77777777" w:rsidR="00845B1F" w:rsidRPr="007208E8" w:rsidRDefault="00845B1F" w:rsidP="0048007D">
            <w:pPr>
              <w:pStyle w:val="Paragraph"/>
              <w:spacing w:before="0"/>
              <w:jc w:val="center"/>
            </w:pPr>
            <w:r w:rsidRPr="007208E8">
              <w:t>---</w:t>
            </w:r>
          </w:p>
        </w:tc>
        <w:tc>
          <w:tcPr>
            <w:tcW w:w="1155" w:type="dxa"/>
            <w:vAlign w:val="center"/>
          </w:tcPr>
          <w:p w14:paraId="3770FC87" w14:textId="77777777" w:rsidR="00845B1F" w:rsidRPr="007208E8" w:rsidRDefault="00845B1F" w:rsidP="0048007D">
            <w:pPr>
              <w:pStyle w:val="Paragraph"/>
              <w:spacing w:before="0"/>
              <w:jc w:val="center"/>
            </w:pPr>
            <w:r w:rsidRPr="007208E8">
              <w:t>---</w:t>
            </w:r>
          </w:p>
        </w:tc>
      </w:tr>
      <w:tr w:rsidR="00845B1F" w:rsidRPr="00A15D9C" w14:paraId="799B90CB" w14:textId="77777777" w:rsidTr="0048007D">
        <w:trPr>
          <w:trHeight w:val="397"/>
        </w:trPr>
        <w:tc>
          <w:tcPr>
            <w:tcW w:w="805" w:type="dxa"/>
            <w:vAlign w:val="center"/>
          </w:tcPr>
          <w:p w14:paraId="541DD915" w14:textId="77777777" w:rsidR="00845B1F" w:rsidRPr="007208E8" w:rsidRDefault="00845B1F" w:rsidP="0048007D">
            <w:pPr>
              <w:pStyle w:val="Paragraph"/>
              <w:spacing w:before="0"/>
              <w:jc w:val="center"/>
            </w:pPr>
            <w:r w:rsidRPr="007208E8">
              <w:t>50</w:t>
            </w:r>
          </w:p>
        </w:tc>
        <w:tc>
          <w:tcPr>
            <w:tcW w:w="964" w:type="dxa"/>
            <w:vAlign w:val="center"/>
          </w:tcPr>
          <w:p w14:paraId="181DF032" w14:textId="77777777" w:rsidR="00845B1F" w:rsidRPr="007208E8" w:rsidRDefault="00845B1F" w:rsidP="0048007D">
            <w:pPr>
              <w:pStyle w:val="Paragraph"/>
              <w:spacing w:before="0"/>
              <w:jc w:val="center"/>
            </w:pPr>
            <w:r w:rsidRPr="007208E8">
              <w:t>50</w:t>
            </w:r>
          </w:p>
        </w:tc>
        <w:tc>
          <w:tcPr>
            <w:tcW w:w="961" w:type="dxa"/>
            <w:vAlign w:val="center"/>
          </w:tcPr>
          <w:p w14:paraId="4F94616A" w14:textId="77777777" w:rsidR="00845B1F" w:rsidRPr="007208E8" w:rsidRDefault="00845B1F" w:rsidP="0048007D">
            <w:pPr>
              <w:pStyle w:val="Paragraph"/>
              <w:spacing w:before="0"/>
              <w:jc w:val="center"/>
            </w:pPr>
            <w:r w:rsidRPr="007208E8">
              <w:t>1000</w:t>
            </w:r>
          </w:p>
        </w:tc>
        <w:tc>
          <w:tcPr>
            <w:tcW w:w="1158" w:type="dxa"/>
            <w:vAlign w:val="center"/>
          </w:tcPr>
          <w:p w14:paraId="0A6A02A4" w14:textId="77777777" w:rsidR="00845B1F" w:rsidRPr="007208E8" w:rsidRDefault="00845B1F" w:rsidP="0048007D">
            <w:pPr>
              <w:pStyle w:val="Paragraph"/>
              <w:spacing w:before="0"/>
              <w:jc w:val="center"/>
            </w:pPr>
            <w:r w:rsidRPr="007208E8">
              <w:t>1</w:t>
            </w:r>
          </w:p>
        </w:tc>
        <w:tc>
          <w:tcPr>
            <w:tcW w:w="1155" w:type="dxa"/>
            <w:vAlign w:val="center"/>
          </w:tcPr>
          <w:p w14:paraId="1FF40CF8" w14:textId="77777777" w:rsidR="00845B1F" w:rsidRPr="007208E8" w:rsidRDefault="00845B1F" w:rsidP="0048007D">
            <w:pPr>
              <w:pStyle w:val="Paragraph"/>
              <w:spacing w:before="0"/>
              <w:jc w:val="center"/>
            </w:pPr>
            <w:r w:rsidRPr="007208E8">
              <w:t>87.8</w:t>
            </w:r>
          </w:p>
        </w:tc>
        <w:tc>
          <w:tcPr>
            <w:tcW w:w="1155" w:type="dxa"/>
            <w:vAlign w:val="center"/>
          </w:tcPr>
          <w:p w14:paraId="70A25331" w14:textId="77777777" w:rsidR="00845B1F" w:rsidRPr="007208E8" w:rsidRDefault="00845B1F" w:rsidP="0048007D">
            <w:pPr>
              <w:pStyle w:val="Paragraph"/>
              <w:spacing w:before="0"/>
              <w:jc w:val="center"/>
            </w:pPr>
            <w:r w:rsidRPr="007208E8">
              <w:t>4</w:t>
            </w:r>
          </w:p>
        </w:tc>
        <w:tc>
          <w:tcPr>
            <w:tcW w:w="1166" w:type="dxa"/>
            <w:vAlign w:val="center"/>
          </w:tcPr>
          <w:p w14:paraId="1E5E7B7C" w14:textId="77777777" w:rsidR="00845B1F" w:rsidRPr="007208E8" w:rsidRDefault="00845B1F" w:rsidP="0048007D">
            <w:pPr>
              <w:pStyle w:val="Paragraph"/>
              <w:spacing w:before="0"/>
              <w:jc w:val="center"/>
            </w:pPr>
            <w:r w:rsidRPr="007208E8">
              <w:t>---</w:t>
            </w:r>
          </w:p>
        </w:tc>
        <w:tc>
          <w:tcPr>
            <w:tcW w:w="1155" w:type="dxa"/>
            <w:vAlign w:val="center"/>
          </w:tcPr>
          <w:p w14:paraId="29B4011D" w14:textId="77777777" w:rsidR="00845B1F" w:rsidRPr="007208E8" w:rsidRDefault="00845B1F" w:rsidP="0048007D">
            <w:pPr>
              <w:pStyle w:val="Paragraph"/>
              <w:spacing w:before="0"/>
              <w:jc w:val="center"/>
            </w:pPr>
            <w:r w:rsidRPr="007208E8">
              <w:t>---</w:t>
            </w:r>
          </w:p>
        </w:tc>
      </w:tr>
      <w:tr w:rsidR="00845B1F" w:rsidRPr="00A15D9C" w14:paraId="71B43081" w14:textId="77777777" w:rsidTr="0048007D">
        <w:trPr>
          <w:trHeight w:val="397"/>
        </w:trPr>
        <w:tc>
          <w:tcPr>
            <w:tcW w:w="805" w:type="dxa"/>
            <w:vAlign w:val="center"/>
          </w:tcPr>
          <w:p w14:paraId="600EC517" w14:textId="77777777" w:rsidR="00845B1F" w:rsidRPr="007208E8" w:rsidRDefault="00845B1F" w:rsidP="0048007D">
            <w:pPr>
              <w:pStyle w:val="Paragraph"/>
              <w:spacing w:before="0"/>
              <w:jc w:val="center"/>
            </w:pPr>
            <w:r w:rsidRPr="007208E8">
              <w:t>25</w:t>
            </w:r>
          </w:p>
        </w:tc>
        <w:tc>
          <w:tcPr>
            <w:tcW w:w="964" w:type="dxa"/>
            <w:vAlign w:val="center"/>
          </w:tcPr>
          <w:p w14:paraId="31ABDB3F" w14:textId="77777777" w:rsidR="00845B1F" w:rsidRPr="007208E8" w:rsidRDefault="00845B1F" w:rsidP="0048007D">
            <w:pPr>
              <w:pStyle w:val="Paragraph"/>
              <w:spacing w:before="0"/>
              <w:jc w:val="center"/>
            </w:pPr>
            <w:r w:rsidRPr="007208E8">
              <w:t>50</w:t>
            </w:r>
          </w:p>
        </w:tc>
        <w:tc>
          <w:tcPr>
            <w:tcW w:w="961" w:type="dxa"/>
            <w:vAlign w:val="center"/>
          </w:tcPr>
          <w:p w14:paraId="2906DC33" w14:textId="77777777" w:rsidR="00845B1F" w:rsidRPr="007208E8" w:rsidRDefault="00845B1F" w:rsidP="0048007D">
            <w:pPr>
              <w:pStyle w:val="Paragraph"/>
              <w:spacing w:before="0"/>
              <w:jc w:val="center"/>
            </w:pPr>
            <w:r w:rsidRPr="007208E8">
              <w:t>1000</w:t>
            </w:r>
          </w:p>
        </w:tc>
        <w:tc>
          <w:tcPr>
            <w:tcW w:w="1158" w:type="dxa"/>
            <w:vAlign w:val="center"/>
          </w:tcPr>
          <w:p w14:paraId="073A61FA" w14:textId="77777777" w:rsidR="00845B1F" w:rsidRPr="007208E8" w:rsidRDefault="00845B1F" w:rsidP="0048007D">
            <w:pPr>
              <w:pStyle w:val="Paragraph"/>
              <w:spacing w:before="0"/>
              <w:jc w:val="center"/>
            </w:pPr>
            <w:r w:rsidRPr="007208E8">
              <w:t>1</w:t>
            </w:r>
          </w:p>
        </w:tc>
        <w:tc>
          <w:tcPr>
            <w:tcW w:w="1155" w:type="dxa"/>
            <w:vAlign w:val="center"/>
          </w:tcPr>
          <w:p w14:paraId="65CD784E" w14:textId="77777777" w:rsidR="00845B1F" w:rsidRPr="007208E8" w:rsidRDefault="00845B1F" w:rsidP="0048007D">
            <w:pPr>
              <w:pStyle w:val="Paragraph"/>
              <w:spacing w:before="0"/>
              <w:jc w:val="center"/>
            </w:pPr>
            <w:r w:rsidRPr="007208E8">
              <w:t>83.8</w:t>
            </w:r>
          </w:p>
        </w:tc>
        <w:tc>
          <w:tcPr>
            <w:tcW w:w="1155" w:type="dxa"/>
            <w:vAlign w:val="center"/>
          </w:tcPr>
          <w:p w14:paraId="168D22ED" w14:textId="77777777" w:rsidR="00845B1F" w:rsidRPr="007208E8" w:rsidRDefault="00845B1F" w:rsidP="0048007D">
            <w:pPr>
              <w:pStyle w:val="Paragraph"/>
              <w:spacing w:before="0"/>
              <w:jc w:val="center"/>
            </w:pPr>
            <w:r w:rsidRPr="007208E8">
              <w:t>9</w:t>
            </w:r>
          </w:p>
        </w:tc>
        <w:tc>
          <w:tcPr>
            <w:tcW w:w="1166" w:type="dxa"/>
            <w:vAlign w:val="center"/>
          </w:tcPr>
          <w:p w14:paraId="3F81A8BA" w14:textId="77777777" w:rsidR="00845B1F" w:rsidRPr="007208E8" w:rsidRDefault="00845B1F" w:rsidP="0048007D">
            <w:pPr>
              <w:pStyle w:val="Paragraph"/>
              <w:spacing w:before="0"/>
              <w:jc w:val="center"/>
            </w:pPr>
            <w:r w:rsidRPr="007208E8">
              <w:t>---</w:t>
            </w:r>
          </w:p>
        </w:tc>
        <w:tc>
          <w:tcPr>
            <w:tcW w:w="1155" w:type="dxa"/>
            <w:vAlign w:val="center"/>
          </w:tcPr>
          <w:p w14:paraId="6C32BE1C" w14:textId="77777777" w:rsidR="00845B1F" w:rsidRPr="007208E8" w:rsidRDefault="00845B1F" w:rsidP="0048007D">
            <w:pPr>
              <w:pStyle w:val="Paragraph"/>
              <w:spacing w:before="0"/>
              <w:jc w:val="center"/>
            </w:pPr>
            <w:r w:rsidRPr="007208E8">
              <w:t>---</w:t>
            </w:r>
          </w:p>
        </w:tc>
      </w:tr>
      <w:tr w:rsidR="00845B1F" w:rsidRPr="00A15D9C" w14:paraId="0F597628" w14:textId="77777777" w:rsidTr="0048007D">
        <w:trPr>
          <w:trHeight w:val="397"/>
        </w:trPr>
        <w:tc>
          <w:tcPr>
            <w:tcW w:w="805" w:type="dxa"/>
            <w:vAlign w:val="center"/>
          </w:tcPr>
          <w:p w14:paraId="28B5BA47" w14:textId="77777777" w:rsidR="00845B1F" w:rsidRPr="007208E8" w:rsidRDefault="00845B1F" w:rsidP="0048007D">
            <w:pPr>
              <w:pStyle w:val="Paragraph"/>
              <w:spacing w:before="0"/>
              <w:jc w:val="center"/>
            </w:pPr>
            <w:r w:rsidRPr="007208E8">
              <w:t>0</w:t>
            </w:r>
          </w:p>
        </w:tc>
        <w:tc>
          <w:tcPr>
            <w:tcW w:w="964" w:type="dxa"/>
            <w:vAlign w:val="center"/>
          </w:tcPr>
          <w:p w14:paraId="5EB8018B" w14:textId="77777777" w:rsidR="00845B1F" w:rsidRPr="007208E8" w:rsidRDefault="00845B1F" w:rsidP="0048007D">
            <w:pPr>
              <w:pStyle w:val="Paragraph"/>
              <w:spacing w:before="0"/>
              <w:jc w:val="center"/>
            </w:pPr>
            <w:r w:rsidRPr="007208E8">
              <w:t>50</w:t>
            </w:r>
          </w:p>
        </w:tc>
        <w:tc>
          <w:tcPr>
            <w:tcW w:w="961" w:type="dxa"/>
            <w:vAlign w:val="center"/>
          </w:tcPr>
          <w:p w14:paraId="542023D6" w14:textId="77777777" w:rsidR="00845B1F" w:rsidRPr="007208E8" w:rsidRDefault="00845B1F" w:rsidP="0048007D">
            <w:pPr>
              <w:pStyle w:val="Paragraph"/>
              <w:spacing w:before="0"/>
              <w:jc w:val="center"/>
            </w:pPr>
            <w:r w:rsidRPr="007208E8">
              <w:t>1000</w:t>
            </w:r>
          </w:p>
        </w:tc>
        <w:tc>
          <w:tcPr>
            <w:tcW w:w="1158" w:type="dxa"/>
            <w:vAlign w:val="center"/>
          </w:tcPr>
          <w:p w14:paraId="700BA99F" w14:textId="77777777" w:rsidR="00845B1F" w:rsidRPr="007208E8" w:rsidRDefault="00845B1F" w:rsidP="0048007D">
            <w:pPr>
              <w:pStyle w:val="Paragraph"/>
              <w:spacing w:before="0"/>
              <w:jc w:val="center"/>
            </w:pPr>
            <w:r w:rsidRPr="007208E8">
              <w:t>1</w:t>
            </w:r>
          </w:p>
        </w:tc>
        <w:tc>
          <w:tcPr>
            <w:tcW w:w="1155" w:type="dxa"/>
            <w:vAlign w:val="center"/>
          </w:tcPr>
          <w:p w14:paraId="0A7733A6" w14:textId="77777777" w:rsidR="00845B1F" w:rsidRPr="007208E8" w:rsidRDefault="00845B1F" w:rsidP="0048007D">
            <w:pPr>
              <w:pStyle w:val="Paragraph"/>
              <w:spacing w:before="0"/>
              <w:jc w:val="center"/>
            </w:pPr>
            <w:r w:rsidRPr="007208E8">
              <w:t>68.4</w:t>
            </w:r>
          </w:p>
        </w:tc>
        <w:tc>
          <w:tcPr>
            <w:tcW w:w="1155" w:type="dxa"/>
            <w:vAlign w:val="center"/>
          </w:tcPr>
          <w:p w14:paraId="1A051696" w14:textId="77777777" w:rsidR="00845B1F" w:rsidRPr="007208E8" w:rsidRDefault="00845B1F" w:rsidP="0048007D">
            <w:pPr>
              <w:pStyle w:val="Paragraph"/>
              <w:spacing w:before="0"/>
              <w:jc w:val="center"/>
            </w:pPr>
            <w:r w:rsidRPr="007208E8">
              <w:t>3</w:t>
            </w:r>
          </w:p>
        </w:tc>
        <w:tc>
          <w:tcPr>
            <w:tcW w:w="1166" w:type="dxa"/>
            <w:vAlign w:val="center"/>
          </w:tcPr>
          <w:p w14:paraId="50404392" w14:textId="77777777" w:rsidR="00845B1F" w:rsidRPr="007208E8" w:rsidRDefault="00845B1F" w:rsidP="0048007D">
            <w:pPr>
              <w:pStyle w:val="Paragraph"/>
              <w:spacing w:before="0"/>
              <w:jc w:val="center"/>
            </w:pPr>
            <w:r w:rsidRPr="007208E8">
              <w:t>---</w:t>
            </w:r>
          </w:p>
        </w:tc>
        <w:tc>
          <w:tcPr>
            <w:tcW w:w="1155" w:type="dxa"/>
            <w:vAlign w:val="center"/>
          </w:tcPr>
          <w:p w14:paraId="4C6D1207" w14:textId="77777777" w:rsidR="00845B1F" w:rsidRPr="007208E8" w:rsidRDefault="00845B1F" w:rsidP="0048007D">
            <w:pPr>
              <w:pStyle w:val="Paragraph"/>
              <w:spacing w:before="0"/>
              <w:jc w:val="center"/>
            </w:pPr>
            <w:r w:rsidRPr="007208E8">
              <w:t>---</w:t>
            </w:r>
          </w:p>
        </w:tc>
      </w:tr>
      <w:tr w:rsidR="00845B1F" w:rsidRPr="00A15D9C" w14:paraId="76806571" w14:textId="77777777" w:rsidTr="0048007D">
        <w:trPr>
          <w:trHeight w:val="397"/>
        </w:trPr>
        <w:tc>
          <w:tcPr>
            <w:tcW w:w="805" w:type="dxa"/>
            <w:vAlign w:val="center"/>
          </w:tcPr>
          <w:p w14:paraId="76168750" w14:textId="77777777" w:rsidR="00845B1F" w:rsidRPr="007208E8" w:rsidRDefault="00845B1F" w:rsidP="0048007D">
            <w:pPr>
              <w:pStyle w:val="Paragraph"/>
              <w:spacing w:before="0"/>
              <w:jc w:val="center"/>
            </w:pPr>
            <w:r w:rsidRPr="007208E8">
              <w:t>100</w:t>
            </w:r>
          </w:p>
        </w:tc>
        <w:tc>
          <w:tcPr>
            <w:tcW w:w="964" w:type="dxa"/>
            <w:vAlign w:val="center"/>
          </w:tcPr>
          <w:p w14:paraId="5951FD66" w14:textId="77777777" w:rsidR="00845B1F" w:rsidRPr="007208E8" w:rsidRDefault="00845B1F" w:rsidP="0048007D">
            <w:pPr>
              <w:pStyle w:val="Paragraph"/>
              <w:spacing w:before="0"/>
              <w:jc w:val="center"/>
            </w:pPr>
            <w:r w:rsidRPr="007208E8">
              <w:t>70</w:t>
            </w:r>
          </w:p>
        </w:tc>
        <w:tc>
          <w:tcPr>
            <w:tcW w:w="961" w:type="dxa"/>
            <w:vAlign w:val="center"/>
          </w:tcPr>
          <w:p w14:paraId="39731D47" w14:textId="77777777" w:rsidR="00845B1F" w:rsidRPr="007208E8" w:rsidRDefault="00845B1F" w:rsidP="0048007D">
            <w:pPr>
              <w:pStyle w:val="Paragraph"/>
              <w:spacing w:before="0"/>
              <w:jc w:val="center"/>
            </w:pPr>
            <w:r w:rsidRPr="007208E8">
              <w:t>1000</w:t>
            </w:r>
          </w:p>
        </w:tc>
        <w:tc>
          <w:tcPr>
            <w:tcW w:w="1158" w:type="dxa"/>
            <w:vAlign w:val="center"/>
          </w:tcPr>
          <w:p w14:paraId="103703DD" w14:textId="77777777" w:rsidR="00845B1F" w:rsidRPr="007208E8" w:rsidRDefault="00845B1F" w:rsidP="0048007D">
            <w:pPr>
              <w:pStyle w:val="Paragraph"/>
              <w:spacing w:before="0"/>
              <w:jc w:val="center"/>
            </w:pPr>
            <w:r w:rsidRPr="007208E8">
              <w:t>1</w:t>
            </w:r>
          </w:p>
        </w:tc>
        <w:tc>
          <w:tcPr>
            <w:tcW w:w="1155" w:type="dxa"/>
            <w:vAlign w:val="center"/>
          </w:tcPr>
          <w:p w14:paraId="299BEB4F" w14:textId="77777777" w:rsidR="00845B1F" w:rsidRPr="007208E8" w:rsidRDefault="00845B1F" w:rsidP="0048007D">
            <w:pPr>
              <w:pStyle w:val="Paragraph"/>
              <w:spacing w:before="0"/>
              <w:jc w:val="center"/>
            </w:pPr>
            <w:r w:rsidRPr="007208E8">
              <w:t>94.8</w:t>
            </w:r>
          </w:p>
        </w:tc>
        <w:tc>
          <w:tcPr>
            <w:tcW w:w="1155" w:type="dxa"/>
            <w:vAlign w:val="center"/>
          </w:tcPr>
          <w:p w14:paraId="5D9F0E1D" w14:textId="77777777" w:rsidR="00845B1F" w:rsidRPr="007208E8" w:rsidRDefault="00845B1F" w:rsidP="0048007D">
            <w:pPr>
              <w:pStyle w:val="Paragraph"/>
              <w:spacing w:before="0"/>
              <w:jc w:val="center"/>
            </w:pPr>
            <w:r w:rsidRPr="007208E8">
              <w:t>6</w:t>
            </w:r>
          </w:p>
        </w:tc>
        <w:tc>
          <w:tcPr>
            <w:tcW w:w="1166" w:type="dxa"/>
            <w:vAlign w:val="center"/>
          </w:tcPr>
          <w:p w14:paraId="39ED5543" w14:textId="77777777" w:rsidR="00845B1F" w:rsidRPr="007208E8" w:rsidRDefault="00845B1F" w:rsidP="0048007D">
            <w:pPr>
              <w:pStyle w:val="Paragraph"/>
              <w:spacing w:before="0"/>
              <w:jc w:val="center"/>
            </w:pPr>
            <w:r w:rsidRPr="007208E8">
              <w:t>95.3</w:t>
            </w:r>
          </w:p>
        </w:tc>
        <w:tc>
          <w:tcPr>
            <w:tcW w:w="1155" w:type="dxa"/>
            <w:vAlign w:val="center"/>
          </w:tcPr>
          <w:p w14:paraId="60ECC64D" w14:textId="77777777" w:rsidR="00845B1F" w:rsidRPr="007208E8" w:rsidRDefault="00845B1F" w:rsidP="0048007D">
            <w:pPr>
              <w:pStyle w:val="Paragraph"/>
              <w:spacing w:before="0"/>
              <w:jc w:val="center"/>
            </w:pPr>
            <w:r w:rsidRPr="007208E8">
              <w:t>3</w:t>
            </w:r>
          </w:p>
        </w:tc>
      </w:tr>
      <w:tr w:rsidR="00845B1F" w:rsidRPr="00A15D9C" w14:paraId="24DDE32B" w14:textId="77777777" w:rsidTr="0048007D">
        <w:trPr>
          <w:trHeight w:val="397"/>
        </w:trPr>
        <w:tc>
          <w:tcPr>
            <w:tcW w:w="805" w:type="dxa"/>
            <w:vAlign w:val="center"/>
          </w:tcPr>
          <w:p w14:paraId="36C0885A" w14:textId="77777777" w:rsidR="00845B1F" w:rsidRPr="007208E8" w:rsidRDefault="00845B1F" w:rsidP="0048007D">
            <w:pPr>
              <w:pStyle w:val="Paragraph"/>
              <w:spacing w:before="0"/>
              <w:jc w:val="center"/>
            </w:pPr>
            <w:r w:rsidRPr="007208E8">
              <w:t>75</w:t>
            </w:r>
          </w:p>
        </w:tc>
        <w:tc>
          <w:tcPr>
            <w:tcW w:w="964" w:type="dxa"/>
            <w:vAlign w:val="center"/>
          </w:tcPr>
          <w:p w14:paraId="133BB88B" w14:textId="77777777" w:rsidR="00845B1F" w:rsidRPr="007208E8" w:rsidRDefault="00845B1F" w:rsidP="0048007D">
            <w:pPr>
              <w:pStyle w:val="Paragraph"/>
              <w:spacing w:before="0"/>
              <w:jc w:val="center"/>
            </w:pPr>
            <w:r w:rsidRPr="007208E8">
              <w:t>70</w:t>
            </w:r>
          </w:p>
        </w:tc>
        <w:tc>
          <w:tcPr>
            <w:tcW w:w="961" w:type="dxa"/>
            <w:vAlign w:val="center"/>
          </w:tcPr>
          <w:p w14:paraId="752369C9" w14:textId="77777777" w:rsidR="00845B1F" w:rsidRPr="007208E8" w:rsidRDefault="00845B1F" w:rsidP="0048007D">
            <w:pPr>
              <w:pStyle w:val="Paragraph"/>
              <w:spacing w:before="0"/>
              <w:jc w:val="center"/>
            </w:pPr>
            <w:r w:rsidRPr="007208E8">
              <w:t>1000</w:t>
            </w:r>
          </w:p>
        </w:tc>
        <w:tc>
          <w:tcPr>
            <w:tcW w:w="1158" w:type="dxa"/>
            <w:vAlign w:val="center"/>
          </w:tcPr>
          <w:p w14:paraId="6A9E342F" w14:textId="77777777" w:rsidR="00845B1F" w:rsidRPr="007208E8" w:rsidRDefault="00845B1F" w:rsidP="0048007D">
            <w:pPr>
              <w:pStyle w:val="Paragraph"/>
              <w:spacing w:before="0"/>
              <w:jc w:val="center"/>
            </w:pPr>
            <w:r w:rsidRPr="007208E8">
              <w:t>1</w:t>
            </w:r>
          </w:p>
        </w:tc>
        <w:tc>
          <w:tcPr>
            <w:tcW w:w="1155" w:type="dxa"/>
            <w:vAlign w:val="center"/>
          </w:tcPr>
          <w:p w14:paraId="5244EC21" w14:textId="77777777" w:rsidR="00845B1F" w:rsidRPr="007208E8" w:rsidRDefault="00845B1F" w:rsidP="0048007D">
            <w:pPr>
              <w:pStyle w:val="Paragraph"/>
              <w:spacing w:before="0"/>
              <w:jc w:val="center"/>
            </w:pPr>
            <w:r w:rsidRPr="007208E8">
              <w:t>92.2</w:t>
            </w:r>
          </w:p>
        </w:tc>
        <w:tc>
          <w:tcPr>
            <w:tcW w:w="1155" w:type="dxa"/>
            <w:vAlign w:val="center"/>
          </w:tcPr>
          <w:p w14:paraId="39238DE6" w14:textId="77777777" w:rsidR="00845B1F" w:rsidRPr="007208E8" w:rsidRDefault="00845B1F" w:rsidP="0048007D">
            <w:pPr>
              <w:pStyle w:val="Paragraph"/>
              <w:spacing w:before="0"/>
              <w:jc w:val="center"/>
            </w:pPr>
            <w:r w:rsidRPr="007208E8">
              <w:t>8</w:t>
            </w:r>
          </w:p>
        </w:tc>
        <w:tc>
          <w:tcPr>
            <w:tcW w:w="1166" w:type="dxa"/>
            <w:vAlign w:val="center"/>
          </w:tcPr>
          <w:p w14:paraId="24077737" w14:textId="77777777" w:rsidR="00845B1F" w:rsidRPr="007208E8" w:rsidRDefault="00845B1F" w:rsidP="0048007D">
            <w:pPr>
              <w:pStyle w:val="Paragraph"/>
              <w:spacing w:before="0"/>
              <w:jc w:val="center"/>
            </w:pPr>
            <w:r w:rsidRPr="007208E8">
              <w:t>93.1</w:t>
            </w:r>
          </w:p>
        </w:tc>
        <w:tc>
          <w:tcPr>
            <w:tcW w:w="1155" w:type="dxa"/>
            <w:vAlign w:val="center"/>
          </w:tcPr>
          <w:p w14:paraId="4D753778" w14:textId="77777777" w:rsidR="00845B1F" w:rsidRPr="007208E8" w:rsidRDefault="00845B1F" w:rsidP="0048007D">
            <w:pPr>
              <w:pStyle w:val="Paragraph"/>
              <w:spacing w:before="0"/>
              <w:jc w:val="center"/>
            </w:pPr>
            <w:r w:rsidRPr="007208E8">
              <w:t>4</w:t>
            </w:r>
          </w:p>
        </w:tc>
      </w:tr>
      <w:tr w:rsidR="00845B1F" w:rsidRPr="00A15D9C" w14:paraId="60F151C0" w14:textId="77777777" w:rsidTr="0048007D">
        <w:trPr>
          <w:trHeight w:val="397"/>
        </w:trPr>
        <w:tc>
          <w:tcPr>
            <w:tcW w:w="805" w:type="dxa"/>
            <w:vAlign w:val="center"/>
          </w:tcPr>
          <w:p w14:paraId="6F60A3A9" w14:textId="77777777" w:rsidR="00845B1F" w:rsidRPr="007208E8" w:rsidRDefault="00845B1F" w:rsidP="0048007D">
            <w:pPr>
              <w:pStyle w:val="Paragraph"/>
              <w:spacing w:before="0"/>
              <w:jc w:val="center"/>
            </w:pPr>
            <w:r w:rsidRPr="007208E8">
              <w:t>50</w:t>
            </w:r>
          </w:p>
        </w:tc>
        <w:tc>
          <w:tcPr>
            <w:tcW w:w="964" w:type="dxa"/>
            <w:vAlign w:val="center"/>
          </w:tcPr>
          <w:p w14:paraId="69738FB1" w14:textId="77777777" w:rsidR="00845B1F" w:rsidRPr="007208E8" w:rsidRDefault="00845B1F" w:rsidP="0048007D">
            <w:pPr>
              <w:pStyle w:val="Paragraph"/>
              <w:spacing w:before="0"/>
              <w:jc w:val="center"/>
            </w:pPr>
            <w:r w:rsidRPr="007208E8">
              <w:t>70</w:t>
            </w:r>
          </w:p>
        </w:tc>
        <w:tc>
          <w:tcPr>
            <w:tcW w:w="961" w:type="dxa"/>
            <w:vAlign w:val="center"/>
          </w:tcPr>
          <w:p w14:paraId="115C588A" w14:textId="77777777" w:rsidR="00845B1F" w:rsidRPr="007208E8" w:rsidRDefault="00845B1F" w:rsidP="0048007D">
            <w:pPr>
              <w:pStyle w:val="Paragraph"/>
              <w:spacing w:before="0"/>
              <w:jc w:val="center"/>
            </w:pPr>
            <w:r w:rsidRPr="007208E8">
              <w:t>1000</w:t>
            </w:r>
          </w:p>
        </w:tc>
        <w:tc>
          <w:tcPr>
            <w:tcW w:w="1158" w:type="dxa"/>
            <w:vAlign w:val="center"/>
          </w:tcPr>
          <w:p w14:paraId="1EBD5471" w14:textId="77777777" w:rsidR="00845B1F" w:rsidRPr="007208E8" w:rsidRDefault="00845B1F" w:rsidP="0048007D">
            <w:pPr>
              <w:pStyle w:val="Paragraph"/>
              <w:spacing w:before="0"/>
              <w:jc w:val="center"/>
            </w:pPr>
            <w:r w:rsidRPr="007208E8">
              <w:t>1</w:t>
            </w:r>
          </w:p>
        </w:tc>
        <w:tc>
          <w:tcPr>
            <w:tcW w:w="1155" w:type="dxa"/>
            <w:vAlign w:val="center"/>
          </w:tcPr>
          <w:p w14:paraId="605D3044" w14:textId="77777777" w:rsidR="00845B1F" w:rsidRPr="007208E8" w:rsidRDefault="00845B1F" w:rsidP="0048007D">
            <w:pPr>
              <w:pStyle w:val="Paragraph"/>
              <w:spacing w:before="0"/>
              <w:jc w:val="center"/>
            </w:pPr>
            <w:r w:rsidRPr="007208E8">
              <w:t>93.5</w:t>
            </w:r>
          </w:p>
        </w:tc>
        <w:tc>
          <w:tcPr>
            <w:tcW w:w="1155" w:type="dxa"/>
            <w:vAlign w:val="center"/>
          </w:tcPr>
          <w:p w14:paraId="721189E6" w14:textId="77777777" w:rsidR="00845B1F" w:rsidRPr="007208E8" w:rsidRDefault="00845B1F" w:rsidP="0048007D">
            <w:pPr>
              <w:pStyle w:val="Paragraph"/>
              <w:spacing w:before="0"/>
              <w:jc w:val="center"/>
            </w:pPr>
            <w:r w:rsidRPr="007208E8">
              <w:t>6</w:t>
            </w:r>
          </w:p>
        </w:tc>
        <w:tc>
          <w:tcPr>
            <w:tcW w:w="1166" w:type="dxa"/>
            <w:vAlign w:val="center"/>
          </w:tcPr>
          <w:p w14:paraId="25E43DA8" w14:textId="77777777" w:rsidR="00845B1F" w:rsidRPr="007208E8" w:rsidRDefault="00845B1F" w:rsidP="0048007D">
            <w:pPr>
              <w:pStyle w:val="Paragraph"/>
              <w:spacing w:before="0"/>
              <w:jc w:val="center"/>
            </w:pPr>
            <w:r w:rsidRPr="007208E8">
              <w:t>90.9</w:t>
            </w:r>
          </w:p>
        </w:tc>
        <w:tc>
          <w:tcPr>
            <w:tcW w:w="1155" w:type="dxa"/>
            <w:vAlign w:val="center"/>
          </w:tcPr>
          <w:p w14:paraId="401E2EAC" w14:textId="77777777" w:rsidR="00845B1F" w:rsidRPr="007208E8" w:rsidRDefault="00845B1F" w:rsidP="0048007D">
            <w:pPr>
              <w:pStyle w:val="Paragraph"/>
              <w:spacing w:before="0"/>
              <w:jc w:val="center"/>
            </w:pPr>
            <w:r w:rsidRPr="007208E8">
              <w:t>7</w:t>
            </w:r>
          </w:p>
        </w:tc>
      </w:tr>
      <w:tr w:rsidR="00845B1F" w:rsidRPr="00A15D9C" w14:paraId="32A80A34" w14:textId="77777777" w:rsidTr="0048007D">
        <w:trPr>
          <w:trHeight w:val="397"/>
        </w:trPr>
        <w:tc>
          <w:tcPr>
            <w:tcW w:w="805" w:type="dxa"/>
            <w:vAlign w:val="center"/>
          </w:tcPr>
          <w:p w14:paraId="24DA27B7" w14:textId="77777777" w:rsidR="00845B1F" w:rsidRPr="007208E8" w:rsidRDefault="00845B1F" w:rsidP="0048007D">
            <w:pPr>
              <w:pStyle w:val="Paragraph"/>
              <w:spacing w:before="0"/>
              <w:jc w:val="center"/>
            </w:pPr>
            <w:r w:rsidRPr="007208E8">
              <w:t>25</w:t>
            </w:r>
          </w:p>
        </w:tc>
        <w:tc>
          <w:tcPr>
            <w:tcW w:w="964" w:type="dxa"/>
            <w:vAlign w:val="center"/>
          </w:tcPr>
          <w:p w14:paraId="60325FB6" w14:textId="77777777" w:rsidR="00845B1F" w:rsidRPr="007208E8" w:rsidRDefault="00845B1F" w:rsidP="0048007D">
            <w:pPr>
              <w:pStyle w:val="Paragraph"/>
              <w:spacing w:before="0"/>
              <w:jc w:val="center"/>
            </w:pPr>
            <w:r w:rsidRPr="007208E8">
              <w:t>70</w:t>
            </w:r>
          </w:p>
        </w:tc>
        <w:tc>
          <w:tcPr>
            <w:tcW w:w="961" w:type="dxa"/>
            <w:vAlign w:val="center"/>
          </w:tcPr>
          <w:p w14:paraId="078EA6DB" w14:textId="77777777" w:rsidR="00845B1F" w:rsidRPr="007208E8" w:rsidRDefault="00845B1F" w:rsidP="0048007D">
            <w:pPr>
              <w:pStyle w:val="Paragraph"/>
              <w:spacing w:before="0"/>
              <w:jc w:val="center"/>
            </w:pPr>
            <w:r w:rsidRPr="007208E8">
              <w:t>1000</w:t>
            </w:r>
          </w:p>
        </w:tc>
        <w:tc>
          <w:tcPr>
            <w:tcW w:w="1158" w:type="dxa"/>
            <w:vAlign w:val="center"/>
          </w:tcPr>
          <w:p w14:paraId="06A3DBF4" w14:textId="77777777" w:rsidR="00845B1F" w:rsidRPr="007208E8" w:rsidRDefault="00845B1F" w:rsidP="0048007D">
            <w:pPr>
              <w:pStyle w:val="Paragraph"/>
              <w:spacing w:before="0"/>
              <w:jc w:val="center"/>
            </w:pPr>
            <w:r w:rsidRPr="007208E8">
              <w:t>1</w:t>
            </w:r>
          </w:p>
        </w:tc>
        <w:tc>
          <w:tcPr>
            <w:tcW w:w="1155" w:type="dxa"/>
            <w:vAlign w:val="center"/>
          </w:tcPr>
          <w:p w14:paraId="5739E28D" w14:textId="77777777" w:rsidR="00845B1F" w:rsidRPr="007208E8" w:rsidRDefault="00845B1F" w:rsidP="0048007D">
            <w:pPr>
              <w:pStyle w:val="Paragraph"/>
              <w:spacing w:before="0"/>
              <w:jc w:val="center"/>
            </w:pPr>
            <w:r w:rsidRPr="007208E8">
              <w:t>96.9</w:t>
            </w:r>
          </w:p>
        </w:tc>
        <w:tc>
          <w:tcPr>
            <w:tcW w:w="1155" w:type="dxa"/>
            <w:vAlign w:val="center"/>
          </w:tcPr>
          <w:p w14:paraId="62B51CED" w14:textId="77777777" w:rsidR="00845B1F" w:rsidRPr="007208E8" w:rsidRDefault="00845B1F" w:rsidP="0048007D">
            <w:pPr>
              <w:pStyle w:val="Paragraph"/>
              <w:spacing w:before="0"/>
              <w:jc w:val="center"/>
            </w:pPr>
            <w:r w:rsidRPr="007208E8">
              <w:t>4</w:t>
            </w:r>
          </w:p>
        </w:tc>
        <w:tc>
          <w:tcPr>
            <w:tcW w:w="1166" w:type="dxa"/>
            <w:vAlign w:val="center"/>
          </w:tcPr>
          <w:p w14:paraId="5923AAE7" w14:textId="77777777" w:rsidR="00845B1F" w:rsidRPr="007208E8" w:rsidRDefault="00845B1F" w:rsidP="0048007D">
            <w:pPr>
              <w:pStyle w:val="Paragraph"/>
              <w:spacing w:before="0"/>
              <w:jc w:val="center"/>
            </w:pPr>
            <w:r w:rsidRPr="007208E8">
              <w:t>90.2</w:t>
            </w:r>
          </w:p>
        </w:tc>
        <w:tc>
          <w:tcPr>
            <w:tcW w:w="1155" w:type="dxa"/>
            <w:vAlign w:val="center"/>
          </w:tcPr>
          <w:p w14:paraId="486054F5" w14:textId="77777777" w:rsidR="00845B1F" w:rsidRPr="007208E8" w:rsidRDefault="00845B1F" w:rsidP="0048007D">
            <w:pPr>
              <w:pStyle w:val="Paragraph"/>
              <w:spacing w:before="0"/>
              <w:jc w:val="center"/>
            </w:pPr>
            <w:r w:rsidRPr="007208E8">
              <w:t>3</w:t>
            </w:r>
          </w:p>
        </w:tc>
      </w:tr>
      <w:tr w:rsidR="00845B1F" w:rsidRPr="00A15D9C" w14:paraId="6D0216CA" w14:textId="77777777" w:rsidTr="0048007D">
        <w:trPr>
          <w:trHeight w:val="397"/>
        </w:trPr>
        <w:tc>
          <w:tcPr>
            <w:tcW w:w="805" w:type="dxa"/>
            <w:vAlign w:val="center"/>
          </w:tcPr>
          <w:p w14:paraId="739C4681" w14:textId="77777777" w:rsidR="00845B1F" w:rsidRPr="007208E8" w:rsidRDefault="00845B1F" w:rsidP="0048007D">
            <w:pPr>
              <w:pStyle w:val="Paragraph"/>
              <w:spacing w:before="0"/>
              <w:jc w:val="center"/>
            </w:pPr>
            <w:r w:rsidRPr="007208E8">
              <w:t>10</w:t>
            </w:r>
          </w:p>
        </w:tc>
        <w:tc>
          <w:tcPr>
            <w:tcW w:w="964" w:type="dxa"/>
            <w:vAlign w:val="center"/>
          </w:tcPr>
          <w:p w14:paraId="4D49A5FE" w14:textId="77777777" w:rsidR="00845B1F" w:rsidRPr="007208E8" w:rsidRDefault="00845B1F" w:rsidP="0048007D">
            <w:pPr>
              <w:pStyle w:val="Paragraph"/>
              <w:spacing w:before="0"/>
              <w:jc w:val="center"/>
            </w:pPr>
            <w:r w:rsidRPr="007208E8">
              <w:t>70</w:t>
            </w:r>
          </w:p>
        </w:tc>
        <w:tc>
          <w:tcPr>
            <w:tcW w:w="961" w:type="dxa"/>
            <w:vAlign w:val="center"/>
          </w:tcPr>
          <w:p w14:paraId="1D71E71A" w14:textId="77777777" w:rsidR="00845B1F" w:rsidRPr="007208E8" w:rsidRDefault="00845B1F" w:rsidP="0048007D">
            <w:pPr>
              <w:pStyle w:val="Paragraph"/>
              <w:spacing w:before="0"/>
              <w:jc w:val="center"/>
            </w:pPr>
            <w:r w:rsidRPr="007208E8">
              <w:t>1000</w:t>
            </w:r>
          </w:p>
        </w:tc>
        <w:tc>
          <w:tcPr>
            <w:tcW w:w="1158" w:type="dxa"/>
            <w:vAlign w:val="center"/>
          </w:tcPr>
          <w:p w14:paraId="35BBA484" w14:textId="77777777" w:rsidR="00845B1F" w:rsidRPr="007208E8" w:rsidRDefault="00845B1F" w:rsidP="0048007D">
            <w:pPr>
              <w:pStyle w:val="Paragraph"/>
              <w:spacing w:before="0"/>
              <w:jc w:val="center"/>
            </w:pPr>
            <w:r w:rsidRPr="007208E8">
              <w:t>1</w:t>
            </w:r>
          </w:p>
        </w:tc>
        <w:tc>
          <w:tcPr>
            <w:tcW w:w="1155" w:type="dxa"/>
            <w:vAlign w:val="center"/>
          </w:tcPr>
          <w:p w14:paraId="7AA32E25" w14:textId="77777777" w:rsidR="00845B1F" w:rsidRPr="007208E8" w:rsidRDefault="00845B1F" w:rsidP="0048007D">
            <w:pPr>
              <w:pStyle w:val="Paragraph"/>
              <w:spacing w:before="0"/>
              <w:jc w:val="center"/>
            </w:pPr>
            <w:r w:rsidRPr="007208E8">
              <w:t>90.3</w:t>
            </w:r>
          </w:p>
        </w:tc>
        <w:tc>
          <w:tcPr>
            <w:tcW w:w="1155" w:type="dxa"/>
            <w:vAlign w:val="center"/>
          </w:tcPr>
          <w:p w14:paraId="612E4B9C" w14:textId="77777777" w:rsidR="00845B1F" w:rsidRPr="007208E8" w:rsidRDefault="00845B1F" w:rsidP="0048007D">
            <w:pPr>
              <w:pStyle w:val="Paragraph"/>
              <w:spacing w:before="0"/>
              <w:jc w:val="center"/>
            </w:pPr>
            <w:r w:rsidRPr="007208E8">
              <w:t>3</w:t>
            </w:r>
          </w:p>
        </w:tc>
        <w:tc>
          <w:tcPr>
            <w:tcW w:w="1166" w:type="dxa"/>
            <w:vAlign w:val="center"/>
          </w:tcPr>
          <w:p w14:paraId="4817776A" w14:textId="77777777" w:rsidR="00845B1F" w:rsidRPr="007208E8" w:rsidRDefault="00845B1F" w:rsidP="0048007D">
            <w:pPr>
              <w:pStyle w:val="Paragraph"/>
              <w:spacing w:before="0"/>
              <w:jc w:val="center"/>
            </w:pPr>
            <w:r w:rsidRPr="007208E8">
              <w:t>66.6</w:t>
            </w:r>
          </w:p>
        </w:tc>
        <w:tc>
          <w:tcPr>
            <w:tcW w:w="1155" w:type="dxa"/>
            <w:vAlign w:val="center"/>
          </w:tcPr>
          <w:p w14:paraId="474CEBE2" w14:textId="77777777" w:rsidR="00845B1F" w:rsidRPr="007208E8" w:rsidRDefault="00845B1F" w:rsidP="0048007D">
            <w:pPr>
              <w:pStyle w:val="Paragraph"/>
              <w:spacing w:before="0"/>
              <w:jc w:val="center"/>
            </w:pPr>
            <w:r w:rsidRPr="007208E8">
              <w:t>6</w:t>
            </w:r>
          </w:p>
        </w:tc>
      </w:tr>
      <w:tr w:rsidR="00845B1F" w:rsidRPr="00A15D9C" w14:paraId="48F28D4A" w14:textId="77777777" w:rsidTr="0048007D">
        <w:trPr>
          <w:trHeight w:val="397"/>
        </w:trPr>
        <w:tc>
          <w:tcPr>
            <w:tcW w:w="805" w:type="dxa"/>
            <w:vAlign w:val="center"/>
          </w:tcPr>
          <w:p w14:paraId="04312D7C" w14:textId="77777777" w:rsidR="00845B1F" w:rsidRPr="007208E8" w:rsidRDefault="00845B1F" w:rsidP="0048007D">
            <w:pPr>
              <w:pStyle w:val="Paragraph"/>
              <w:spacing w:before="0"/>
              <w:jc w:val="center"/>
            </w:pPr>
            <w:r w:rsidRPr="007208E8">
              <w:t>0</w:t>
            </w:r>
          </w:p>
        </w:tc>
        <w:tc>
          <w:tcPr>
            <w:tcW w:w="964" w:type="dxa"/>
            <w:vAlign w:val="center"/>
          </w:tcPr>
          <w:p w14:paraId="6DAAA950" w14:textId="77777777" w:rsidR="00845B1F" w:rsidRPr="007208E8" w:rsidRDefault="00845B1F" w:rsidP="0048007D">
            <w:pPr>
              <w:pStyle w:val="Paragraph"/>
              <w:spacing w:before="0"/>
              <w:jc w:val="center"/>
            </w:pPr>
            <w:r w:rsidRPr="007208E8">
              <w:t>70</w:t>
            </w:r>
          </w:p>
        </w:tc>
        <w:tc>
          <w:tcPr>
            <w:tcW w:w="961" w:type="dxa"/>
            <w:vAlign w:val="center"/>
          </w:tcPr>
          <w:p w14:paraId="472E55E7" w14:textId="77777777" w:rsidR="00845B1F" w:rsidRPr="007208E8" w:rsidRDefault="00845B1F" w:rsidP="0048007D">
            <w:pPr>
              <w:pStyle w:val="Paragraph"/>
              <w:spacing w:before="0"/>
              <w:jc w:val="center"/>
            </w:pPr>
            <w:r w:rsidRPr="007208E8">
              <w:t>1000</w:t>
            </w:r>
          </w:p>
        </w:tc>
        <w:tc>
          <w:tcPr>
            <w:tcW w:w="1158" w:type="dxa"/>
            <w:vAlign w:val="center"/>
          </w:tcPr>
          <w:p w14:paraId="57A251DD" w14:textId="77777777" w:rsidR="00845B1F" w:rsidRPr="007208E8" w:rsidRDefault="00845B1F" w:rsidP="0048007D">
            <w:pPr>
              <w:pStyle w:val="Paragraph"/>
              <w:spacing w:before="0"/>
              <w:jc w:val="center"/>
            </w:pPr>
            <w:r w:rsidRPr="007208E8">
              <w:t>1</w:t>
            </w:r>
          </w:p>
        </w:tc>
        <w:tc>
          <w:tcPr>
            <w:tcW w:w="1155" w:type="dxa"/>
            <w:vAlign w:val="center"/>
          </w:tcPr>
          <w:p w14:paraId="092B680D" w14:textId="77777777" w:rsidR="00845B1F" w:rsidRPr="007208E8" w:rsidRDefault="00845B1F" w:rsidP="0048007D">
            <w:pPr>
              <w:pStyle w:val="Paragraph"/>
              <w:spacing w:before="0"/>
              <w:jc w:val="center"/>
            </w:pPr>
            <w:r w:rsidRPr="007208E8">
              <w:t>84.1</w:t>
            </w:r>
          </w:p>
        </w:tc>
        <w:tc>
          <w:tcPr>
            <w:tcW w:w="1155" w:type="dxa"/>
            <w:vAlign w:val="center"/>
          </w:tcPr>
          <w:p w14:paraId="61436940" w14:textId="77777777" w:rsidR="00845B1F" w:rsidRPr="007208E8" w:rsidRDefault="00845B1F" w:rsidP="0048007D">
            <w:pPr>
              <w:pStyle w:val="Paragraph"/>
              <w:spacing w:before="0"/>
              <w:jc w:val="center"/>
            </w:pPr>
            <w:r w:rsidRPr="007208E8">
              <w:t>11</w:t>
            </w:r>
          </w:p>
        </w:tc>
        <w:tc>
          <w:tcPr>
            <w:tcW w:w="1166" w:type="dxa"/>
            <w:vAlign w:val="center"/>
          </w:tcPr>
          <w:p w14:paraId="7229B4BB" w14:textId="77777777" w:rsidR="00845B1F" w:rsidRPr="007208E8" w:rsidRDefault="00845B1F" w:rsidP="0048007D">
            <w:pPr>
              <w:pStyle w:val="Paragraph"/>
              <w:spacing w:before="0"/>
              <w:jc w:val="center"/>
            </w:pPr>
            <w:r w:rsidRPr="007208E8">
              <w:t>39.4</w:t>
            </w:r>
          </w:p>
        </w:tc>
        <w:tc>
          <w:tcPr>
            <w:tcW w:w="1155" w:type="dxa"/>
            <w:vAlign w:val="center"/>
          </w:tcPr>
          <w:p w14:paraId="45076D22" w14:textId="77777777" w:rsidR="00845B1F" w:rsidRPr="007208E8" w:rsidRDefault="00845B1F" w:rsidP="0048007D">
            <w:pPr>
              <w:pStyle w:val="Paragraph"/>
              <w:spacing w:before="0"/>
              <w:jc w:val="center"/>
            </w:pPr>
            <w:r w:rsidRPr="007208E8">
              <w:t>14</w:t>
            </w:r>
          </w:p>
        </w:tc>
      </w:tr>
      <w:tr w:rsidR="00845B1F" w:rsidRPr="00A15D9C" w14:paraId="725D2ACD" w14:textId="77777777" w:rsidTr="0048007D">
        <w:trPr>
          <w:trHeight w:val="397"/>
        </w:trPr>
        <w:tc>
          <w:tcPr>
            <w:tcW w:w="805" w:type="dxa"/>
            <w:vAlign w:val="center"/>
          </w:tcPr>
          <w:p w14:paraId="1C2324DB" w14:textId="77777777" w:rsidR="00845B1F" w:rsidRPr="007208E8" w:rsidRDefault="00845B1F" w:rsidP="0048007D">
            <w:pPr>
              <w:pStyle w:val="Paragraph"/>
              <w:spacing w:before="0"/>
              <w:jc w:val="center"/>
            </w:pPr>
            <w:r w:rsidRPr="007208E8">
              <w:t>25</w:t>
            </w:r>
          </w:p>
        </w:tc>
        <w:tc>
          <w:tcPr>
            <w:tcW w:w="964" w:type="dxa"/>
            <w:vAlign w:val="center"/>
          </w:tcPr>
          <w:p w14:paraId="0B49984A" w14:textId="77777777" w:rsidR="00845B1F" w:rsidRPr="007208E8" w:rsidRDefault="00845B1F" w:rsidP="0048007D">
            <w:pPr>
              <w:pStyle w:val="Paragraph"/>
              <w:spacing w:before="0"/>
              <w:jc w:val="center"/>
            </w:pPr>
            <w:r w:rsidRPr="007208E8">
              <w:t>70</w:t>
            </w:r>
          </w:p>
        </w:tc>
        <w:tc>
          <w:tcPr>
            <w:tcW w:w="961" w:type="dxa"/>
            <w:vAlign w:val="center"/>
          </w:tcPr>
          <w:p w14:paraId="2164013D" w14:textId="77777777" w:rsidR="00845B1F" w:rsidRPr="007208E8" w:rsidRDefault="00845B1F" w:rsidP="0048007D">
            <w:pPr>
              <w:pStyle w:val="Paragraph"/>
              <w:spacing w:before="0"/>
              <w:jc w:val="center"/>
            </w:pPr>
            <w:r w:rsidRPr="007208E8">
              <w:t>2000</w:t>
            </w:r>
          </w:p>
        </w:tc>
        <w:tc>
          <w:tcPr>
            <w:tcW w:w="1158" w:type="dxa"/>
            <w:vAlign w:val="center"/>
          </w:tcPr>
          <w:p w14:paraId="14903709" w14:textId="77777777" w:rsidR="00845B1F" w:rsidRPr="007208E8" w:rsidRDefault="00845B1F" w:rsidP="0048007D">
            <w:pPr>
              <w:pStyle w:val="Paragraph"/>
              <w:spacing w:before="0"/>
              <w:jc w:val="center"/>
            </w:pPr>
            <w:r w:rsidRPr="007208E8">
              <w:t>1</w:t>
            </w:r>
          </w:p>
        </w:tc>
        <w:tc>
          <w:tcPr>
            <w:tcW w:w="1155" w:type="dxa"/>
            <w:vAlign w:val="center"/>
          </w:tcPr>
          <w:p w14:paraId="7B9C1EBF" w14:textId="77777777" w:rsidR="00845B1F" w:rsidRPr="007208E8" w:rsidRDefault="00845B1F" w:rsidP="0048007D">
            <w:pPr>
              <w:pStyle w:val="Paragraph"/>
              <w:spacing w:before="0"/>
              <w:jc w:val="center"/>
            </w:pPr>
            <w:r w:rsidRPr="007208E8">
              <w:t>90.8</w:t>
            </w:r>
          </w:p>
        </w:tc>
        <w:tc>
          <w:tcPr>
            <w:tcW w:w="1155" w:type="dxa"/>
            <w:vAlign w:val="center"/>
          </w:tcPr>
          <w:p w14:paraId="2F54745B" w14:textId="77777777" w:rsidR="00845B1F" w:rsidRPr="007208E8" w:rsidRDefault="00845B1F" w:rsidP="0048007D">
            <w:pPr>
              <w:pStyle w:val="Paragraph"/>
              <w:spacing w:before="0"/>
              <w:jc w:val="center"/>
            </w:pPr>
            <w:r w:rsidRPr="007208E8">
              <w:t>1</w:t>
            </w:r>
          </w:p>
        </w:tc>
        <w:tc>
          <w:tcPr>
            <w:tcW w:w="1166" w:type="dxa"/>
            <w:vAlign w:val="center"/>
          </w:tcPr>
          <w:p w14:paraId="5600A159" w14:textId="77777777" w:rsidR="00845B1F" w:rsidRPr="007208E8" w:rsidRDefault="00845B1F" w:rsidP="0048007D">
            <w:pPr>
              <w:pStyle w:val="Paragraph"/>
              <w:spacing w:before="0"/>
              <w:jc w:val="center"/>
            </w:pPr>
            <w:r w:rsidRPr="007208E8">
              <w:t>86.7</w:t>
            </w:r>
          </w:p>
        </w:tc>
        <w:tc>
          <w:tcPr>
            <w:tcW w:w="1155" w:type="dxa"/>
            <w:vAlign w:val="center"/>
          </w:tcPr>
          <w:p w14:paraId="713AA873" w14:textId="77777777" w:rsidR="00845B1F" w:rsidRPr="007208E8" w:rsidRDefault="00845B1F" w:rsidP="0048007D">
            <w:pPr>
              <w:pStyle w:val="Paragraph"/>
              <w:spacing w:before="0"/>
              <w:jc w:val="center"/>
            </w:pPr>
            <w:r w:rsidRPr="007208E8">
              <w:t>2</w:t>
            </w:r>
          </w:p>
        </w:tc>
      </w:tr>
      <w:tr w:rsidR="00845B1F" w:rsidRPr="00A15D9C" w14:paraId="7F138185" w14:textId="77777777" w:rsidTr="0048007D">
        <w:trPr>
          <w:trHeight w:val="397"/>
        </w:trPr>
        <w:tc>
          <w:tcPr>
            <w:tcW w:w="805" w:type="dxa"/>
            <w:vAlign w:val="center"/>
          </w:tcPr>
          <w:p w14:paraId="7B3FF161" w14:textId="77777777" w:rsidR="00845B1F" w:rsidRPr="007208E8" w:rsidRDefault="00845B1F" w:rsidP="0048007D">
            <w:pPr>
              <w:pStyle w:val="Paragraph"/>
              <w:spacing w:before="0"/>
              <w:jc w:val="center"/>
            </w:pPr>
            <w:r w:rsidRPr="007208E8">
              <w:t>25</w:t>
            </w:r>
          </w:p>
        </w:tc>
        <w:tc>
          <w:tcPr>
            <w:tcW w:w="964" w:type="dxa"/>
            <w:vAlign w:val="center"/>
          </w:tcPr>
          <w:p w14:paraId="5F1C20A1" w14:textId="77777777" w:rsidR="00845B1F" w:rsidRPr="007208E8" w:rsidRDefault="00845B1F" w:rsidP="0048007D">
            <w:pPr>
              <w:pStyle w:val="Paragraph"/>
              <w:spacing w:before="0"/>
              <w:jc w:val="center"/>
            </w:pPr>
            <w:r w:rsidRPr="007208E8">
              <w:t>70</w:t>
            </w:r>
          </w:p>
        </w:tc>
        <w:tc>
          <w:tcPr>
            <w:tcW w:w="961" w:type="dxa"/>
            <w:vAlign w:val="center"/>
          </w:tcPr>
          <w:p w14:paraId="551CAD35" w14:textId="77777777" w:rsidR="00845B1F" w:rsidRPr="007208E8" w:rsidRDefault="00845B1F" w:rsidP="0048007D">
            <w:pPr>
              <w:pStyle w:val="Paragraph"/>
              <w:spacing w:before="0"/>
              <w:jc w:val="center"/>
            </w:pPr>
            <w:r w:rsidRPr="007208E8">
              <w:t>3000</w:t>
            </w:r>
          </w:p>
        </w:tc>
        <w:tc>
          <w:tcPr>
            <w:tcW w:w="1158" w:type="dxa"/>
            <w:vAlign w:val="center"/>
          </w:tcPr>
          <w:p w14:paraId="482DB999" w14:textId="77777777" w:rsidR="00845B1F" w:rsidRPr="007208E8" w:rsidRDefault="00845B1F" w:rsidP="0048007D">
            <w:pPr>
              <w:pStyle w:val="Paragraph"/>
              <w:spacing w:before="0"/>
              <w:jc w:val="center"/>
            </w:pPr>
            <w:r w:rsidRPr="007208E8">
              <w:t>1</w:t>
            </w:r>
          </w:p>
        </w:tc>
        <w:tc>
          <w:tcPr>
            <w:tcW w:w="1155" w:type="dxa"/>
            <w:vAlign w:val="center"/>
          </w:tcPr>
          <w:p w14:paraId="1D35F947" w14:textId="77777777" w:rsidR="00845B1F" w:rsidRPr="007208E8" w:rsidRDefault="00845B1F" w:rsidP="0048007D">
            <w:pPr>
              <w:pStyle w:val="Paragraph"/>
              <w:spacing w:before="0"/>
              <w:jc w:val="center"/>
            </w:pPr>
            <w:r w:rsidRPr="007208E8">
              <w:t>91.8</w:t>
            </w:r>
          </w:p>
        </w:tc>
        <w:tc>
          <w:tcPr>
            <w:tcW w:w="1155" w:type="dxa"/>
            <w:vAlign w:val="center"/>
          </w:tcPr>
          <w:p w14:paraId="3AA8D257" w14:textId="77777777" w:rsidR="00845B1F" w:rsidRPr="007208E8" w:rsidRDefault="00845B1F" w:rsidP="0048007D">
            <w:pPr>
              <w:pStyle w:val="Paragraph"/>
              <w:spacing w:before="0"/>
              <w:jc w:val="center"/>
            </w:pPr>
            <w:r w:rsidRPr="007208E8">
              <w:t>8</w:t>
            </w:r>
          </w:p>
        </w:tc>
        <w:tc>
          <w:tcPr>
            <w:tcW w:w="1166" w:type="dxa"/>
            <w:vAlign w:val="center"/>
          </w:tcPr>
          <w:p w14:paraId="799A1A42" w14:textId="77777777" w:rsidR="00845B1F" w:rsidRPr="007208E8" w:rsidRDefault="00845B1F" w:rsidP="0048007D">
            <w:pPr>
              <w:pStyle w:val="Paragraph"/>
              <w:spacing w:before="0"/>
              <w:jc w:val="center"/>
            </w:pPr>
            <w:r w:rsidRPr="007208E8">
              <w:t>88.6</w:t>
            </w:r>
          </w:p>
        </w:tc>
        <w:tc>
          <w:tcPr>
            <w:tcW w:w="1155" w:type="dxa"/>
            <w:vAlign w:val="center"/>
          </w:tcPr>
          <w:p w14:paraId="27EE6132" w14:textId="77777777" w:rsidR="00845B1F" w:rsidRPr="007208E8" w:rsidRDefault="00845B1F" w:rsidP="0048007D">
            <w:pPr>
              <w:pStyle w:val="Paragraph"/>
              <w:spacing w:before="0"/>
              <w:jc w:val="center"/>
            </w:pPr>
            <w:r w:rsidRPr="007208E8">
              <w:t>5</w:t>
            </w:r>
          </w:p>
        </w:tc>
      </w:tr>
      <w:tr w:rsidR="00845B1F" w:rsidRPr="00A15D9C" w14:paraId="66D55C67" w14:textId="77777777" w:rsidTr="0048007D">
        <w:trPr>
          <w:trHeight w:val="397"/>
        </w:trPr>
        <w:tc>
          <w:tcPr>
            <w:tcW w:w="805" w:type="dxa"/>
            <w:vAlign w:val="center"/>
          </w:tcPr>
          <w:p w14:paraId="2A5CBAA9" w14:textId="77777777" w:rsidR="00845B1F" w:rsidRPr="007208E8" w:rsidRDefault="00845B1F" w:rsidP="0048007D">
            <w:pPr>
              <w:pStyle w:val="Paragraph"/>
              <w:spacing w:before="0"/>
              <w:jc w:val="center"/>
            </w:pPr>
            <w:r w:rsidRPr="007208E8">
              <w:t>25</w:t>
            </w:r>
          </w:p>
        </w:tc>
        <w:tc>
          <w:tcPr>
            <w:tcW w:w="964" w:type="dxa"/>
            <w:vAlign w:val="center"/>
          </w:tcPr>
          <w:p w14:paraId="4271BC3D" w14:textId="77777777" w:rsidR="00845B1F" w:rsidRPr="007208E8" w:rsidRDefault="00845B1F" w:rsidP="0048007D">
            <w:pPr>
              <w:pStyle w:val="Paragraph"/>
              <w:spacing w:before="0"/>
              <w:jc w:val="center"/>
            </w:pPr>
            <w:r w:rsidRPr="007208E8">
              <w:t>70</w:t>
            </w:r>
          </w:p>
        </w:tc>
        <w:tc>
          <w:tcPr>
            <w:tcW w:w="961" w:type="dxa"/>
            <w:vAlign w:val="center"/>
          </w:tcPr>
          <w:p w14:paraId="204F37A5" w14:textId="77777777" w:rsidR="00845B1F" w:rsidRPr="007208E8" w:rsidRDefault="00845B1F" w:rsidP="0048007D">
            <w:pPr>
              <w:pStyle w:val="Paragraph"/>
              <w:spacing w:before="0"/>
              <w:jc w:val="center"/>
            </w:pPr>
            <w:r w:rsidRPr="007208E8">
              <w:t>1000</w:t>
            </w:r>
          </w:p>
        </w:tc>
        <w:tc>
          <w:tcPr>
            <w:tcW w:w="1158" w:type="dxa"/>
            <w:vAlign w:val="center"/>
          </w:tcPr>
          <w:p w14:paraId="1A16735C" w14:textId="77777777" w:rsidR="00845B1F" w:rsidRPr="007208E8" w:rsidRDefault="00845B1F" w:rsidP="0048007D">
            <w:pPr>
              <w:pStyle w:val="Paragraph"/>
              <w:spacing w:before="0"/>
              <w:jc w:val="center"/>
            </w:pPr>
            <w:r w:rsidRPr="007208E8">
              <w:t>2</w:t>
            </w:r>
          </w:p>
        </w:tc>
        <w:tc>
          <w:tcPr>
            <w:tcW w:w="1155" w:type="dxa"/>
            <w:vAlign w:val="center"/>
          </w:tcPr>
          <w:p w14:paraId="6A544FA9" w14:textId="77777777" w:rsidR="00845B1F" w:rsidRPr="007208E8" w:rsidRDefault="00845B1F" w:rsidP="0048007D">
            <w:pPr>
              <w:pStyle w:val="Paragraph"/>
              <w:spacing w:before="0"/>
              <w:jc w:val="center"/>
            </w:pPr>
            <w:r w:rsidRPr="007208E8">
              <w:t>82.7</w:t>
            </w:r>
          </w:p>
        </w:tc>
        <w:tc>
          <w:tcPr>
            <w:tcW w:w="1155" w:type="dxa"/>
            <w:vAlign w:val="center"/>
          </w:tcPr>
          <w:p w14:paraId="3F80EBEC" w14:textId="77777777" w:rsidR="00845B1F" w:rsidRPr="007208E8" w:rsidRDefault="00845B1F" w:rsidP="0048007D">
            <w:pPr>
              <w:pStyle w:val="Paragraph"/>
              <w:spacing w:before="0"/>
              <w:jc w:val="center"/>
            </w:pPr>
            <w:r w:rsidRPr="007208E8">
              <w:t>3</w:t>
            </w:r>
          </w:p>
        </w:tc>
        <w:tc>
          <w:tcPr>
            <w:tcW w:w="1166" w:type="dxa"/>
            <w:vAlign w:val="center"/>
          </w:tcPr>
          <w:p w14:paraId="4FE79B4B" w14:textId="77777777" w:rsidR="00845B1F" w:rsidRPr="007208E8" w:rsidRDefault="00845B1F" w:rsidP="0048007D">
            <w:pPr>
              <w:pStyle w:val="Paragraph"/>
              <w:spacing w:before="0"/>
              <w:jc w:val="center"/>
            </w:pPr>
            <w:r w:rsidRPr="007208E8">
              <w:t>42.7</w:t>
            </w:r>
          </w:p>
        </w:tc>
        <w:tc>
          <w:tcPr>
            <w:tcW w:w="1155" w:type="dxa"/>
            <w:vAlign w:val="center"/>
          </w:tcPr>
          <w:p w14:paraId="033D6EEE" w14:textId="77777777" w:rsidR="00845B1F" w:rsidRPr="007208E8" w:rsidRDefault="00845B1F" w:rsidP="0048007D">
            <w:pPr>
              <w:pStyle w:val="Paragraph"/>
              <w:spacing w:before="0"/>
              <w:jc w:val="center"/>
            </w:pPr>
            <w:r w:rsidRPr="007208E8">
              <w:t>12</w:t>
            </w:r>
          </w:p>
        </w:tc>
      </w:tr>
      <w:tr w:rsidR="00845B1F" w:rsidRPr="00A15D9C" w14:paraId="6540720D" w14:textId="77777777" w:rsidTr="0048007D">
        <w:trPr>
          <w:trHeight w:val="397"/>
        </w:trPr>
        <w:tc>
          <w:tcPr>
            <w:tcW w:w="805" w:type="dxa"/>
            <w:tcBorders>
              <w:bottom w:val="single" w:sz="4" w:space="0" w:color="auto"/>
            </w:tcBorders>
            <w:vAlign w:val="center"/>
          </w:tcPr>
          <w:p w14:paraId="2246C140" w14:textId="77777777" w:rsidR="00845B1F" w:rsidRPr="007208E8" w:rsidRDefault="00845B1F" w:rsidP="0048007D">
            <w:pPr>
              <w:pStyle w:val="Paragraph"/>
              <w:spacing w:before="0"/>
              <w:jc w:val="center"/>
            </w:pPr>
            <w:r w:rsidRPr="007208E8">
              <w:t>25</w:t>
            </w:r>
          </w:p>
        </w:tc>
        <w:tc>
          <w:tcPr>
            <w:tcW w:w="964" w:type="dxa"/>
            <w:tcBorders>
              <w:bottom w:val="single" w:sz="4" w:space="0" w:color="auto"/>
            </w:tcBorders>
            <w:vAlign w:val="center"/>
          </w:tcPr>
          <w:p w14:paraId="0F7078F6" w14:textId="77777777" w:rsidR="00845B1F" w:rsidRPr="007208E8" w:rsidRDefault="00845B1F" w:rsidP="0048007D">
            <w:pPr>
              <w:pStyle w:val="Paragraph"/>
              <w:spacing w:before="0"/>
              <w:jc w:val="center"/>
            </w:pPr>
            <w:r w:rsidRPr="007208E8">
              <w:t>70</w:t>
            </w:r>
          </w:p>
        </w:tc>
        <w:tc>
          <w:tcPr>
            <w:tcW w:w="961" w:type="dxa"/>
            <w:tcBorders>
              <w:bottom w:val="single" w:sz="4" w:space="0" w:color="auto"/>
            </w:tcBorders>
            <w:vAlign w:val="center"/>
          </w:tcPr>
          <w:p w14:paraId="68DD3E7F" w14:textId="77777777" w:rsidR="00845B1F" w:rsidRPr="007208E8" w:rsidRDefault="00845B1F" w:rsidP="0048007D">
            <w:pPr>
              <w:pStyle w:val="Paragraph"/>
              <w:spacing w:before="0"/>
              <w:jc w:val="center"/>
            </w:pPr>
            <w:r w:rsidRPr="007208E8">
              <w:t>1000</w:t>
            </w:r>
          </w:p>
        </w:tc>
        <w:tc>
          <w:tcPr>
            <w:tcW w:w="1158" w:type="dxa"/>
            <w:tcBorders>
              <w:bottom w:val="single" w:sz="4" w:space="0" w:color="auto"/>
            </w:tcBorders>
            <w:vAlign w:val="center"/>
          </w:tcPr>
          <w:p w14:paraId="0AB372C5" w14:textId="77777777" w:rsidR="00845B1F" w:rsidRPr="007208E8" w:rsidRDefault="00845B1F" w:rsidP="0048007D">
            <w:pPr>
              <w:pStyle w:val="Paragraph"/>
              <w:spacing w:before="0"/>
              <w:jc w:val="center"/>
            </w:pPr>
            <w:r w:rsidRPr="007208E8">
              <w:t>3</w:t>
            </w:r>
          </w:p>
        </w:tc>
        <w:tc>
          <w:tcPr>
            <w:tcW w:w="1155" w:type="dxa"/>
            <w:tcBorders>
              <w:bottom w:val="single" w:sz="4" w:space="0" w:color="auto"/>
            </w:tcBorders>
            <w:vAlign w:val="center"/>
          </w:tcPr>
          <w:p w14:paraId="2146A0DF" w14:textId="77777777" w:rsidR="00845B1F" w:rsidRPr="007208E8" w:rsidRDefault="00845B1F" w:rsidP="0048007D">
            <w:pPr>
              <w:pStyle w:val="Paragraph"/>
              <w:spacing w:before="0"/>
              <w:jc w:val="center"/>
            </w:pPr>
            <w:r w:rsidRPr="007208E8">
              <w:t>88.2</w:t>
            </w:r>
          </w:p>
        </w:tc>
        <w:tc>
          <w:tcPr>
            <w:tcW w:w="1155" w:type="dxa"/>
            <w:tcBorders>
              <w:bottom w:val="single" w:sz="4" w:space="0" w:color="auto"/>
            </w:tcBorders>
            <w:vAlign w:val="center"/>
          </w:tcPr>
          <w:p w14:paraId="2D96526B" w14:textId="77777777" w:rsidR="00845B1F" w:rsidRPr="007208E8" w:rsidRDefault="00845B1F" w:rsidP="0048007D">
            <w:pPr>
              <w:pStyle w:val="Paragraph"/>
              <w:spacing w:before="0"/>
              <w:jc w:val="center"/>
            </w:pPr>
            <w:r w:rsidRPr="007208E8">
              <w:t>2</w:t>
            </w:r>
          </w:p>
        </w:tc>
        <w:tc>
          <w:tcPr>
            <w:tcW w:w="1166" w:type="dxa"/>
            <w:tcBorders>
              <w:bottom w:val="single" w:sz="4" w:space="0" w:color="auto"/>
            </w:tcBorders>
            <w:vAlign w:val="center"/>
          </w:tcPr>
          <w:p w14:paraId="7AE4B0AE" w14:textId="77777777" w:rsidR="00845B1F" w:rsidRPr="007208E8" w:rsidRDefault="00845B1F" w:rsidP="0048007D">
            <w:pPr>
              <w:pStyle w:val="Paragraph"/>
              <w:spacing w:before="0"/>
              <w:jc w:val="center"/>
            </w:pPr>
            <w:r w:rsidRPr="007208E8">
              <w:t>55.2</w:t>
            </w:r>
          </w:p>
        </w:tc>
        <w:tc>
          <w:tcPr>
            <w:tcW w:w="1155" w:type="dxa"/>
            <w:tcBorders>
              <w:bottom w:val="single" w:sz="4" w:space="0" w:color="auto"/>
            </w:tcBorders>
            <w:vAlign w:val="center"/>
          </w:tcPr>
          <w:p w14:paraId="325AECF0" w14:textId="77777777" w:rsidR="00845B1F" w:rsidRPr="007208E8" w:rsidRDefault="00845B1F" w:rsidP="0048007D">
            <w:pPr>
              <w:pStyle w:val="Paragraph"/>
              <w:spacing w:before="0"/>
              <w:jc w:val="center"/>
            </w:pPr>
            <w:r w:rsidRPr="007208E8">
              <w:t>3</w:t>
            </w:r>
          </w:p>
        </w:tc>
      </w:tr>
    </w:tbl>
    <w:p w14:paraId="746445C5" w14:textId="77777777" w:rsidR="00DC2E35" w:rsidRDefault="00845B1F">
      <w:pPr>
        <w:widowControl/>
        <w:jc w:val="left"/>
        <w:sectPr w:rsidR="00DC2E35" w:rsidSect="00F82557">
          <w:footerReference w:type="default" r:id="rId11"/>
          <w:pgSz w:w="11906" w:h="16838"/>
          <w:pgMar w:top="1417" w:right="1701" w:bottom="1417" w:left="1701" w:header="708" w:footer="708" w:gutter="0"/>
          <w:cols w:space="708"/>
          <w:docGrid w:linePitch="360"/>
        </w:sectPr>
      </w:pPr>
      <w:r>
        <w:br w:type="page"/>
      </w:r>
    </w:p>
    <w:p w14:paraId="45D589BB" w14:textId="77777777" w:rsidR="00DC2E35" w:rsidRPr="00DC2E35" w:rsidRDefault="00DC2E35" w:rsidP="00DC2E35">
      <w:pPr>
        <w:pStyle w:val="Tabletitle"/>
      </w:pPr>
      <w:bookmarkStart w:id="2" w:name="_Ref447618493"/>
      <w:r w:rsidRPr="00DC2E35">
        <w:lastRenderedPageBreak/>
        <w:t xml:space="preserve">Table </w:t>
      </w:r>
      <w:bookmarkEnd w:id="2"/>
      <w:r w:rsidRPr="00DC2E35">
        <w:t>S2. Comparison of the recoveries of selected analytical extraction methods for AOH and AME in tomato or tomato-based samples.</w:t>
      </w:r>
    </w:p>
    <w:tbl>
      <w:tblPr>
        <w:tblStyle w:val="TableGrid1"/>
        <w:tblW w:w="51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1538"/>
        <w:gridCol w:w="1764"/>
        <w:gridCol w:w="2079"/>
        <w:gridCol w:w="1452"/>
        <w:gridCol w:w="2545"/>
        <w:gridCol w:w="1955"/>
        <w:gridCol w:w="1527"/>
      </w:tblGrid>
      <w:tr w:rsidR="005649E2" w:rsidRPr="005649E2" w14:paraId="048ED7F0" w14:textId="77777777" w:rsidTr="005649E2">
        <w:trPr>
          <w:trHeight w:val="680"/>
          <w:jc w:val="center"/>
        </w:trPr>
        <w:tc>
          <w:tcPr>
            <w:tcW w:w="553" w:type="pct"/>
            <w:tcBorders>
              <w:top w:val="single" w:sz="12" w:space="0" w:color="auto"/>
              <w:bottom w:val="single" w:sz="4" w:space="0" w:color="auto"/>
            </w:tcBorders>
            <w:vAlign w:val="center"/>
          </w:tcPr>
          <w:p w14:paraId="3CF94572" w14:textId="77777777" w:rsidR="0092350B" w:rsidRPr="005649E2" w:rsidRDefault="0092350B" w:rsidP="008A6A82">
            <w:pPr>
              <w:ind w:left="-108"/>
              <w:jc w:val="center"/>
              <w:rPr>
                <w:b/>
                <w:sz w:val="24"/>
                <w:szCs w:val="24"/>
                <w:lang w:val="en-GB"/>
              </w:rPr>
            </w:pPr>
            <w:r w:rsidRPr="005649E2">
              <w:rPr>
                <w:b/>
                <w:sz w:val="24"/>
                <w:szCs w:val="24"/>
                <w:lang w:val="en-GB"/>
              </w:rPr>
              <w:t>Extraction technique</w:t>
            </w:r>
          </w:p>
        </w:tc>
        <w:tc>
          <w:tcPr>
            <w:tcW w:w="532" w:type="pct"/>
            <w:tcBorders>
              <w:top w:val="single" w:sz="12" w:space="0" w:color="auto"/>
              <w:bottom w:val="single" w:sz="4" w:space="0" w:color="auto"/>
            </w:tcBorders>
            <w:vAlign w:val="center"/>
          </w:tcPr>
          <w:p w14:paraId="4B171F86" w14:textId="7FB4E177" w:rsidR="0092350B" w:rsidRPr="005649E2" w:rsidRDefault="005649E2" w:rsidP="00446E1D">
            <w:pPr>
              <w:ind w:left="-108"/>
              <w:jc w:val="center"/>
              <w:rPr>
                <w:b/>
                <w:szCs w:val="24"/>
                <w:lang w:val="en-GB"/>
              </w:rPr>
            </w:pPr>
            <w:r w:rsidRPr="005649E2">
              <w:rPr>
                <w:b/>
                <w:sz w:val="24"/>
                <w:szCs w:val="24"/>
                <w:lang w:val="en-GB"/>
              </w:rPr>
              <w:t>Extraction Solvent</w:t>
            </w:r>
          </w:p>
        </w:tc>
        <w:tc>
          <w:tcPr>
            <w:tcW w:w="610" w:type="pct"/>
            <w:tcBorders>
              <w:top w:val="single" w:sz="12" w:space="0" w:color="auto"/>
              <w:bottom w:val="single" w:sz="4" w:space="0" w:color="auto"/>
            </w:tcBorders>
            <w:vAlign w:val="center"/>
          </w:tcPr>
          <w:p w14:paraId="774623C7" w14:textId="1D045AAB" w:rsidR="0092350B" w:rsidRPr="005649E2" w:rsidRDefault="0092350B" w:rsidP="008A6A82">
            <w:pPr>
              <w:ind w:left="-108"/>
              <w:jc w:val="center"/>
              <w:rPr>
                <w:b/>
                <w:szCs w:val="24"/>
                <w:lang w:val="en-GB"/>
              </w:rPr>
            </w:pPr>
            <w:r w:rsidRPr="005649E2">
              <w:rPr>
                <w:b/>
                <w:sz w:val="24"/>
                <w:szCs w:val="24"/>
                <w:lang w:val="en-GB"/>
              </w:rPr>
              <w:t>Extraction recovery (%)</w:t>
            </w:r>
          </w:p>
        </w:tc>
        <w:tc>
          <w:tcPr>
            <w:tcW w:w="719" w:type="pct"/>
            <w:tcBorders>
              <w:top w:val="single" w:sz="12" w:space="0" w:color="auto"/>
              <w:bottom w:val="single" w:sz="4" w:space="0" w:color="auto"/>
            </w:tcBorders>
            <w:vAlign w:val="center"/>
          </w:tcPr>
          <w:p w14:paraId="41E9FC0F" w14:textId="6F9D0E9A" w:rsidR="0092350B" w:rsidRPr="005649E2" w:rsidRDefault="0092350B" w:rsidP="008A6A82">
            <w:pPr>
              <w:ind w:left="-108"/>
              <w:jc w:val="center"/>
              <w:rPr>
                <w:b/>
                <w:sz w:val="24"/>
                <w:szCs w:val="24"/>
                <w:lang w:val="en-GB"/>
              </w:rPr>
            </w:pPr>
            <w:r w:rsidRPr="005649E2">
              <w:rPr>
                <w:b/>
                <w:sz w:val="24"/>
                <w:szCs w:val="24"/>
                <w:lang w:val="en-GB"/>
              </w:rPr>
              <w:t>Preconcentration</w:t>
            </w:r>
          </w:p>
          <w:p w14:paraId="48779687" w14:textId="77777777" w:rsidR="0092350B" w:rsidRPr="005649E2" w:rsidRDefault="0092350B" w:rsidP="008A6A82">
            <w:pPr>
              <w:ind w:left="-108"/>
              <w:jc w:val="center"/>
              <w:rPr>
                <w:b/>
                <w:sz w:val="24"/>
                <w:szCs w:val="24"/>
                <w:lang w:val="en-GB"/>
              </w:rPr>
            </w:pPr>
            <w:r w:rsidRPr="005649E2">
              <w:rPr>
                <w:b/>
                <w:sz w:val="24"/>
                <w:szCs w:val="24"/>
                <w:lang w:val="en-GB"/>
              </w:rPr>
              <w:t>and clean-up</w:t>
            </w:r>
          </w:p>
        </w:tc>
        <w:tc>
          <w:tcPr>
            <w:tcW w:w="502" w:type="pct"/>
            <w:tcBorders>
              <w:top w:val="single" w:sz="12" w:space="0" w:color="auto"/>
              <w:bottom w:val="single" w:sz="4" w:space="0" w:color="auto"/>
            </w:tcBorders>
            <w:vAlign w:val="center"/>
          </w:tcPr>
          <w:p w14:paraId="37BFAA81" w14:textId="60170F84" w:rsidR="0092350B" w:rsidRPr="005649E2" w:rsidRDefault="0092350B" w:rsidP="008A6A82">
            <w:pPr>
              <w:ind w:left="-108" w:right="-107"/>
              <w:jc w:val="center"/>
              <w:rPr>
                <w:b/>
                <w:sz w:val="24"/>
                <w:szCs w:val="24"/>
                <w:lang w:val="en-GB"/>
              </w:rPr>
            </w:pPr>
            <w:r w:rsidRPr="005649E2">
              <w:rPr>
                <w:b/>
                <w:sz w:val="24"/>
                <w:szCs w:val="24"/>
                <w:lang w:val="en-GB"/>
              </w:rPr>
              <w:t xml:space="preserve">Analysis </w:t>
            </w:r>
          </w:p>
          <w:p w14:paraId="2ED69309" w14:textId="4C1E0C03" w:rsidR="0092350B" w:rsidRPr="005649E2" w:rsidRDefault="0092350B" w:rsidP="008A6A82">
            <w:pPr>
              <w:ind w:left="-108" w:right="-107"/>
              <w:jc w:val="center"/>
              <w:rPr>
                <w:b/>
                <w:sz w:val="24"/>
                <w:szCs w:val="24"/>
                <w:lang w:val="en-GB"/>
              </w:rPr>
            </w:pPr>
            <w:r w:rsidRPr="005649E2">
              <w:rPr>
                <w:b/>
                <w:sz w:val="24"/>
                <w:szCs w:val="24"/>
                <w:lang w:val="en-GB"/>
              </w:rPr>
              <w:t>Technique</w:t>
            </w:r>
          </w:p>
        </w:tc>
        <w:tc>
          <w:tcPr>
            <w:tcW w:w="880" w:type="pct"/>
            <w:tcBorders>
              <w:top w:val="single" w:sz="12" w:space="0" w:color="auto"/>
              <w:bottom w:val="single" w:sz="4" w:space="0" w:color="auto"/>
            </w:tcBorders>
            <w:vAlign w:val="center"/>
          </w:tcPr>
          <w:p w14:paraId="63E98E19" w14:textId="77777777" w:rsidR="0092350B" w:rsidRPr="005649E2" w:rsidRDefault="0092350B" w:rsidP="008A6A82">
            <w:pPr>
              <w:ind w:left="-108" w:right="-48"/>
              <w:jc w:val="center"/>
              <w:rPr>
                <w:b/>
                <w:sz w:val="24"/>
                <w:szCs w:val="24"/>
                <w:lang w:val="en-GB"/>
              </w:rPr>
            </w:pPr>
            <w:r w:rsidRPr="005649E2">
              <w:rPr>
                <w:b/>
                <w:sz w:val="24"/>
                <w:szCs w:val="24"/>
                <w:lang w:val="en-GB"/>
              </w:rPr>
              <w:t>Total recovery</w:t>
            </w:r>
          </w:p>
          <w:p w14:paraId="11FD4A7F" w14:textId="77777777" w:rsidR="0092350B" w:rsidRPr="005649E2" w:rsidRDefault="0092350B" w:rsidP="008A6A82">
            <w:pPr>
              <w:ind w:left="-108" w:right="-48"/>
              <w:jc w:val="center"/>
              <w:rPr>
                <w:b/>
                <w:sz w:val="24"/>
                <w:szCs w:val="24"/>
                <w:lang w:val="en-GB"/>
              </w:rPr>
            </w:pPr>
            <w:r w:rsidRPr="005649E2">
              <w:rPr>
                <w:b/>
                <w:sz w:val="24"/>
                <w:szCs w:val="24"/>
                <w:lang w:val="en-GB"/>
              </w:rPr>
              <w:t>(%)</w:t>
            </w:r>
          </w:p>
        </w:tc>
        <w:tc>
          <w:tcPr>
            <w:tcW w:w="676" w:type="pct"/>
            <w:tcBorders>
              <w:top w:val="single" w:sz="12" w:space="0" w:color="auto"/>
              <w:bottom w:val="single" w:sz="4" w:space="0" w:color="auto"/>
            </w:tcBorders>
            <w:vAlign w:val="center"/>
          </w:tcPr>
          <w:p w14:paraId="789BC888" w14:textId="77777777" w:rsidR="005649E2" w:rsidRPr="00944C07" w:rsidRDefault="005649E2" w:rsidP="005649E2">
            <w:pPr>
              <w:jc w:val="center"/>
              <w:rPr>
                <w:b/>
                <w:szCs w:val="24"/>
                <w:lang w:val="en-GB"/>
              </w:rPr>
            </w:pPr>
            <w:r w:rsidRPr="005649E2">
              <w:rPr>
                <w:b/>
                <w:szCs w:val="24"/>
                <w:lang w:val="en-GB"/>
              </w:rPr>
              <w:t>LOD</w:t>
            </w:r>
          </w:p>
          <w:p w14:paraId="002CCE33" w14:textId="6F553FD8" w:rsidR="0092350B" w:rsidRPr="005649E2" w:rsidRDefault="005649E2" w:rsidP="005649E2">
            <w:pPr>
              <w:jc w:val="center"/>
              <w:rPr>
                <w:b/>
                <w:szCs w:val="24"/>
                <w:lang w:val="en-GB"/>
              </w:rPr>
            </w:pPr>
            <w:r w:rsidRPr="00944C07">
              <w:rPr>
                <w:b/>
                <w:szCs w:val="24"/>
                <w:lang w:val="en-GB"/>
              </w:rPr>
              <w:t>(µg·kg</w:t>
            </w:r>
            <w:r w:rsidRPr="00944C07">
              <w:rPr>
                <w:b/>
                <w:szCs w:val="24"/>
                <w:vertAlign w:val="superscript"/>
                <w:lang w:val="en-GB"/>
              </w:rPr>
              <w:t>-1</w:t>
            </w:r>
            <w:r w:rsidRPr="00944C07">
              <w:rPr>
                <w:b/>
                <w:szCs w:val="24"/>
                <w:lang w:val="en-GB"/>
              </w:rPr>
              <w:t xml:space="preserve"> / µg·L</w:t>
            </w:r>
            <w:r w:rsidRPr="00944C07">
              <w:rPr>
                <w:b/>
                <w:szCs w:val="24"/>
                <w:vertAlign w:val="superscript"/>
                <w:lang w:val="en-GB"/>
              </w:rPr>
              <w:t>-1</w:t>
            </w:r>
            <w:r w:rsidRPr="00944C07">
              <w:rPr>
                <w:b/>
                <w:szCs w:val="24"/>
                <w:lang w:val="en-GB"/>
              </w:rPr>
              <w:t>)</w:t>
            </w:r>
          </w:p>
        </w:tc>
        <w:tc>
          <w:tcPr>
            <w:tcW w:w="528" w:type="pct"/>
            <w:tcBorders>
              <w:top w:val="single" w:sz="12" w:space="0" w:color="auto"/>
              <w:bottom w:val="single" w:sz="4" w:space="0" w:color="auto"/>
            </w:tcBorders>
            <w:vAlign w:val="center"/>
          </w:tcPr>
          <w:p w14:paraId="3D1FB5D1" w14:textId="18BF5BAE" w:rsidR="0092350B" w:rsidRPr="005649E2" w:rsidRDefault="0092350B" w:rsidP="008A6A82">
            <w:pPr>
              <w:jc w:val="center"/>
              <w:rPr>
                <w:b/>
                <w:sz w:val="24"/>
                <w:szCs w:val="24"/>
                <w:lang w:val="en-GB"/>
              </w:rPr>
            </w:pPr>
            <w:r w:rsidRPr="005649E2">
              <w:rPr>
                <w:b/>
                <w:sz w:val="24"/>
                <w:szCs w:val="24"/>
                <w:lang w:val="en-GB"/>
              </w:rPr>
              <w:t>Reference</w:t>
            </w:r>
          </w:p>
        </w:tc>
      </w:tr>
      <w:tr w:rsidR="005649E2" w:rsidRPr="005649E2" w14:paraId="38F80988" w14:textId="77777777" w:rsidTr="005649E2">
        <w:trPr>
          <w:trHeight w:val="680"/>
          <w:jc w:val="center"/>
        </w:trPr>
        <w:tc>
          <w:tcPr>
            <w:tcW w:w="553" w:type="pct"/>
            <w:vAlign w:val="center"/>
          </w:tcPr>
          <w:p w14:paraId="12BCE6D3" w14:textId="1131CB70" w:rsidR="0092350B" w:rsidRPr="005649E2" w:rsidRDefault="0092350B" w:rsidP="005F7F0D">
            <w:pPr>
              <w:ind w:left="-108"/>
              <w:jc w:val="center"/>
              <w:rPr>
                <w:sz w:val="24"/>
                <w:szCs w:val="24"/>
                <w:lang w:val="en-GB"/>
              </w:rPr>
            </w:pPr>
            <w:r w:rsidRPr="005649E2">
              <w:rPr>
                <w:sz w:val="24"/>
                <w:szCs w:val="24"/>
                <w:lang w:val="en-GB"/>
              </w:rPr>
              <w:t>LLE</w:t>
            </w:r>
          </w:p>
        </w:tc>
        <w:tc>
          <w:tcPr>
            <w:tcW w:w="532" w:type="pct"/>
            <w:vAlign w:val="center"/>
          </w:tcPr>
          <w:p w14:paraId="7E63856D" w14:textId="133A4E70" w:rsidR="0092350B" w:rsidRPr="005649E2" w:rsidRDefault="005649E2" w:rsidP="00446E1D">
            <w:pPr>
              <w:ind w:left="-108"/>
              <w:jc w:val="center"/>
              <w:rPr>
                <w:szCs w:val="24"/>
                <w:lang w:val="en-GB"/>
              </w:rPr>
            </w:pPr>
            <w:r w:rsidRPr="005649E2">
              <w:rPr>
                <w:szCs w:val="24"/>
                <w:lang w:val="en-GB"/>
              </w:rPr>
              <w:t>PBS</w:t>
            </w:r>
          </w:p>
        </w:tc>
        <w:tc>
          <w:tcPr>
            <w:tcW w:w="610" w:type="pct"/>
            <w:vAlign w:val="center"/>
          </w:tcPr>
          <w:p w14:paraId="64C989A7" w14:textId="083F45C0" w:rsidR="0092350B" w:rsidRPr="005649E2" w:rsidRDefault="0092350B" w:rsidP="008A6A82">
            <w:pPr>
              <w:ind w:left="-108"/>
              <w:jc w:val="center"/>
              <w:rPr>
                <w:szCs w:val="24"/>
                <w:lang w:val="en-GB"/>
              </w:rPr>
            </w:pPr>
            <w:r w:rsidRPr="005649E2">
              <w:rPr>
                <w:sz w:val="24"/>
                <w:szCs w:val="24"/>
                <w:lang w:val="en-GB"/>
              </w:rPr>
              <w:t>n.d.</w:t>
            </w:r>
          </w:p>
        </w:tc>
        <w:tc>
          <w:tcPr>
            <w:tcW w:w="719" w:type="pct"/>
            <w:vAlign w:val="center"/>
          </w:tcPr>
          <w:p w14:paraId="73EFDD47" w14:textId="4504D0C2" w:rsidR="0092350B" w:rsidRPr="005649E2" w:rsidRDefault="0092350B" w:rsidP="008A6A82">
            <w:pPr>
              <w:ind w:left="-108"/>
              <w:jc w:val="center"/>
              <w:rPr>
                <w:sz w:val="24"/>
                <w:szCs w:val="24"/>
                <w:lang w:val="en-GB"/>
              </w:rPr>
            </w:pPr>
            <w:r w:rsidRPr="005649E2">
              <w:rPr>
                <w:sz w:val="24"/>
                <w:szCs w:val="24"/>
                <w:lang w:val="en-GB"/>
              </w:rPr>
              <w:t>SPE</w:t>
            </w:r>
          </w:p>
        </w:tc>
        <w:tc>
          <w:tcPr>
            <w:tcW w:w="502" w:type="pct"/>
            <w:vAlign w:val="center"/>
          </w:tcPr>
          <w:p w14:paraId="5408E893" w14:textId="77777777" w:rsidR="0092350B" w:rsidRPr="005649E2" w:rsidRDefault="0092350B" w:rsidP="008A6A82">
            <w:pPr>
              <w:ind w:left="-108" w:right="-107"/>
              <w:jc w:val="center"/>
              <w:rPr>
                <w:sz w:val="24"/>
                <w:szCs w:val="24"/>
                <w:lang w:val="en-GB"/>
              </w:rPr>
            </w:pPr>
            <w:r w:rsidRPr="005649E2">
              <w:rPr>
                <w:sz w:val="24"/>
                <w:szCs w:val="24"/>
                <w:lang w:val="en-GB"/>
              </w:rPr>
              <w:t>LC-MS/MS</w:t>
            </w:r>
          </w:p>
        </w:tc>
        <w:tc>
          <w:tcPr>
            <w:tcW w:w="880" w:type="pct"/>
            <w:vAlign w:val="center"/>
          </w:tcPr>
          <w:p w14:paraId="4AD57C8A" w14:textId="77777777" w:rsidR="0092350B" w:rsidRPr="005649E2" w:rsidRDefault="0092350B" w:rsidP="008A6A82">
            <w:pPr>
              <w:ind w:left="-108" w:right="-48"/>
              <w:jc w:val="center"/>
              <w:rPr>
                <w:sz w:val="24"/>
                <w:szCs w:val="24"/>
                <w:lang w:val="en-GB"/>
              </w:rPr>
            </w:pPr>
            <w:r w:rsidRPr="005649E2">
              <w:rPr>
                <w:sz w:val="24"/>
                <w:szCs w:val="24"/>
                <w:lang w:val="en-GB"/>
              </w:rPr>
              <w:t>AOH: 81.3 – 102.2</w:t>
            </w:r>
          </w:p>
          <w:p w14:paraId="7B1798C4" w14:textId="77777777" w:rsidR="0092350B" w:rsidRPr="005649E2" w:rsidRDefault="0092350B" w:rsidP="008A6A82">
            <w:pPr>
              <w:ind w:left="-108" w:right="-48"/>
              <w:jc w:val="center"/>
              <w:rPr>
                <w:sz w:val="24"/>
                <w:szCs w:val="24"/>
                <w:lang w:val="en-GB"/>
              </w:rPr>
            </w:pPr>
            <w:r w:rsidRPr="005649E2">
              <w:rPr>
                <w:sz w:val="24"/>
                <w:szCs w:val="24"/>
                <w:lang w:val="en-GB"/>
              </w:rPr>
              <w:t>AME: 50.8 – 82.0</w:t>
            </w:r>
          </w:p>
        </w:tc>
        <w:tc>
          <w:tcPr>
            <w:tcW w:w="676" w:type="pct"/>
            <w:vAlign w:val="center"/>
          </w:tcPr>
          <w:p w14:paraId="68A3876C" w14:textId="77777777" w:rsidR="005649E2" w:rsidRPr="00944C07" w:rsidRDefault="005649E2" w:rsidP="005649E2">
            <w:pPr>
              <w:jc w:val="center"/>
              <w:rPr>
                <w:szCs w:val="24"/>
                <w:lang w:val="en-GB"/>
              </w:rPr>
            </w:pPr>
            <w:r w:rsidRPr="00944C07">
              <w:rPr>
                <w:szCs w:val="24"/>
                <w:lang w:val="en-GB"/>
              </w:rPr>
              <w:t>AOH: 1.01</w:t>
            </w:r>
          </w:p>
          <w:p w14:paraId="483C59A8" w14:textId="43B33966" w:rsidR="0092350B" w:rsidRPr="005649E2" w:rsidRDefault="005649E2" w:rsidP="0092350B">
            <w:pPr>
              <w:jc w:val="center"/>
              <w:rPr>
                <w:szCs w:val="24"/>
                <w:lang w:val="en-GB"/>
              </w:rPr>
            </w:pPr>
            <w:r w:rsidRPr="00944C07">
              <w:rPr>
                <w:szCs w:val="24"/>
                <w:lang w:val="en-GB"/>
              </w:rPr>
              <w:t>AME: 1.21</w:t>
            </w:r>
          </w:p>
        </w:tc>
        <w:tc>
          <w:tcPr>
            <w:tcW w:w="528" w:type="pct"/>
            <w:vAlign w:val="center"/>
          </w:tcPr>
          <w:p w14:paraId="534C80DA" w14:textId="743FA225" w:rsidR="0092350B" w:rsidRPr="005649E2" w:rsidRDefault="0092350B" w:rsidP="008A6A82">
            <w:pPr>
              <w:jc w:val="center"/>
              <w:rPr>
                <w:sz w:val="24"/>
                <w:szCs w:val="24"/>
                <w:lang w:val="en-GB"/>
              </w:rPr>
            </w:pPr>
            <w:r w:rsidRPr="005649E2">
              <w:rPr>
                <w:szCs w:val="24"/>
                <w:lang w:val="en-GB"/>
              </w:rPr>
              <w:fldChar w:fldCharType="begin"/>
            </w:r>
            <w:r w:rsidRPr="005649E2">
              <w:rPr>
                <w:sz w:val="24"/>
                <w:szCs w:val="24"/>
                <w:lang w:val="en-GB"/>
              </w:rPr>
              <w:instrText xml:space="preserve"> ADDIN EN.CITE &lt;EndNote&gt;&lt;Cite&gt;&lt;Author&gt;Prelle&lt;/Author&gt;&lt;Year&gt;2013&lt;/Year&gt;&lt;RecNum&gt;62&lt;/RecNum&gt;&lt;DisplayText&gt;(Prelle et al. 2013)&lt;/DisplayText&gt;&lt;record&gt;&lt;rec-number&gt;62&lt;/rec-number&gt;&lt;foreign-keys&gt;&lt;key app="EN" db-id="z5ax5apa7sppfyer05cpra0e2sw2f9rraft2" timestamp="1475751361"&gt;62&lt;/key&gt;&lt;/foreign-keys&gt;&lt;ref-type name="Journal Article"&gt;17&lt;/ref-type&gt;&lt;contributors&gt;&lt;authors&gt;&lt;author&gt;Prelle, Ambra&lt;/author&gt;&lt;author&gt;Spadaro, Davide&lt;/author&gt;&lt;author&gt;Garibaldi, Angelo&lt;/author&gt;&lt;author&gt;Gullino, Maria Lodovica&lt;/author&gt;&lt;/authors&gt;&lt;/contributors&gt;&lt;titles&gt;&lt;title&gt;A new method for detection of five alternaria toxins in food matrices based on LC–APCI-MS&lt;/title&gt;&lt;secondary-title&gt;Food Chemistry&lt;/secondary-title&gt;&lt;/titles&gt;&lt;periodical&gt;&lt;full-title&gt;Food Chemistry&lt;/full-title&gt;&lt;/periodical&gt;&lt;pages&gt;161-167&lt;/pages&gt;&lt;volume&gt;140&lt;/volume&gt;&lt;number&gt;1–2&lt;/number&gt;&lt;keywords&gt;&lt;keyword&gt;Alternaria toxins&lt;/keyword&gt;&lt;keyword&gt;Apple juice&lt;/keyword&gt;&lt;keyword&gt;Atmospheric pressure chemical ionisation&lt;/keyword&gt;&lt;keyword&gt;Basil&lt;/keyword&gt;&lt;keyword&gt;Beer&lt;/keyword&gt;&lt;keyword&gt;LC–MS&lt;/keyword&gt;&lt;keyword&gt;Olives&lt;/keyword&gt;&lt;keyword&gt;Tomato sauce&lt;/keyword&gt;&lt;/keywords&gt;&lt;dates&gt;&lt;year&gt;2013&lt;/year&gt;&lt;pub-dates&gt;&lt;date&gt;//&lt;/date&gt;&lt;/pub-dates&gt;&lt;/dates&gt;&lt;isbn&gt;0308-8146&lt;/isbn&gt;&lt;urls&gt;&lt;related-urls&gt;&lt;url&gt;http://www.sciencedirect.com/science/article/pii/S0308814613002306&lt;/url&gt;&lt;/related-urls&gt;&lt;/urls&gt;&lt;electronic-resource-num&gt;http://dx.doi.org/10.1016/j.foodchem.2012.12.065&lt;/electronic-resource-num&gt;&lt;access-date&gt;2013/9/15/&lt;/access-date&gt;&lt;/record&gt;&lt;/Cite&gt;&lt;/EndNote&gt;</w:instrText>
            </w:r>
            <w:r w:rsidRPr="005649E2">
              <w:rPr>
                <w:szCs w:val="24"/>
                <w:lang w:val="en-GB"/>
              </w:rPr>
              <w:fldChar w:fldCharType="separate"/>
            </w:r>
            <w:r w:rsidRPr="005649E2">
              <w:rPr>
                <w:noProof/>
                <w:sz w:val="24"/>
                <w:szCs w:val="24"/>
                <w:lang w:val="en-GB"/>
              </w:rPr>
              <w:t>(Prelle et al. 2013)</w:t>
            </w:r>
            <w:r w:rsidRPr="005649E2">
              <w:rPr>
                <w:szCs w:val="24"/>
                <w:lang w:val="en-GB"/>
              </w:rPr>
              <w:fldChar w:fldCharType="end"/>
            </w:r>
          </w:p>
        </w:tc>
      </w:tr>
      <w:tr w:rsidR="005649E2" w:rsidRPr="007D28B0" w14:paraId="5413C1E9" w14:textId="77777777" w:rsidTr="005649E2">
        <w:trPr>
          <w:trHeight w:val="680"/>
          <w:jc w:val="center"/>
        </w:trPr>
        <w:tc>
          <w:tcPr>
            <w:tcW w:w="553" w:type="pct"/>
            <w:vAlign w:val="center"/>
          </w:tcPr>
          <w:p w14:paraId="737FF761" w14:textId="77777777" w:rsidR="0092350B" w:rsidRPr="005649E2" w:rsidRDefault="0092350B" w:rsidP="008A6A82">
            <w:pPr>
              <w:ind w:left="-108"/>
              <w:jc w:val="center"/>
              <w:rPr>
                <w:sz w:val="24"/>
                <w:szCs w:val="24"/>
                <w:lang w:val="en-GB"/>
              </w:rPr>
            </w:pPr>
            <w:r w:rsidRPr="005649E2">
              <w:rPr>
                <w:sz w:val="24"/>
                <w:szCs w:val="24"/>
                <w:lang w:val="en-GB"/>
              </w:rPr>
              <w:t>SLE</w:t>
            </w:r>
          </w:p>
        </w:tc>
        <w:tc>
          <w:tcPr>
            <w:tcW w:w="532" w:type="pct"/>
            <w:vAlign w:val="center"/>
          </w:tcPr>
          <w:p w14:paraId="3AD7C7FE" w14:textId="77777777" w:rsidR="005649E2" w:rsidRPr="005649E2" w:rsidRDefault="005649E2" w:rsidP="005649E2">
            <w:pPr>
              <w:ind w:left="-108"/>
              <w:jc w:val="center"/>
            </w:pPr>
            <w:r w:rsidRPr="005649E2">
              <w:t>ACN</w:t>
            </w:r>
          </w:p>
          <w:p w14:paraId="03203F02" w14:textId="77777777" w:rsidR="005649E2" w:rsidRPr="005649E2" w:rsidRDefault="005649E2" w:rsidP="005649E2">
            <w:pPr>
              <w:ind w:left="-108"/>
              <w:jc w:val="center"/>
            </w:pPr>
            <w:r w:rsidRPr="005649E2">
              <w:t>Ethyl acetate</w:t>
            </w:r>
          </w:p>
          <w:p w14:paraId="40B46D90" w14:textId="56718A28" w:rsidR="0092350B" w:rsidRPr="005649E2" w:rsidRDefault="005649E2" w:rsidP="005649E2">
            <w:pPr>
              <w:ind w:left="-108"/>
              <w:jc w:val="center"/>
              <w:rPr>
                <w:szCs w:val="24"/>
                <w:lang w:val="en-GB"/>
              </w:rPr>
            </w:pPr>
            <w:r w:rsidRPr="005649E2">
              <w:t>Formic acid</w:t>
            </w:r>
          </w:p>
        </w:tc>
        <w:tc>
          <w:tcPr>
            <w:tcW w:w="610" w:type="pct"/>
            <w:vAlign w:val="center"/>
          </w:tcPr>
          <w:p w14:paraId="51778995" w14:textId="4B02AD05" w:rsidR="0092350B" w:rsidRPr="005649E2" w:rsidRDefault="0092350B" w:rsidP="008A6A82">
            <w:pPr>
              <w:ind w:left="-108"/>
              <w:jc w:val="center"/>
              <w:rPr>
                <w:sz w:val="24"/>
                <w:szCs w:val="24"/>
                <w:lang w:val="en-GB"/>
              </w:rPr>
            </w:pPr>
            <w:r w:rsidRPr="005649E2">
              <w:rPr>
                <w:sz w:val="24"/>
                <w:szCs w:val="24"/>
                <w:lang w:val="en-GB"/>
              </w:rPr>
              <w:t>AOH: 83.0</w:t>
            </w:r>
          </w:p>
          <w:p w14:paraId="3B339603" w14:textId="71E5F73C" w:rsidR="0092350B" w:rsidRPr="005649E2" w:rsidRDefault="0092350B" w:rsidP="008A6A82">
            <w:pPr>
              <w:ind w:left="-108"/>
              <w:jc w:val="center"/>
              <w:rPr>
                <w:szCs w:val="24"/>
                <w:lang w:val="en-GB"/>
              </w:rPr>
            </w:pPr>
            <w:r w:rsidRPr="005649E2">
              <w:rPr>
                <w:sz w:val="24"/>
                <w:szCs w:val="24"/>
                <w:lang w:val="en-GB"/>
              </w:rPr>
              <w:t>AME: 96.0</w:t>
            </w:r>
          </w:p>
        </w:tc>
        <w:tc>
          <w:tcPr>
            <w:tcW w:w="719" w:type="pct"/>
            <w:vAlign w:val="center"/>
          </w:tcPr>
          <w:p w14:paraId="0F4228F2" w14:textId="20F474E5" w:rsidR="0092350B" w:rsidRPr="005649E2" w:rsidRDefault="0092350B" w:rsidP="008A6A82">
            <w:pPr>
              <w:ind w:left="-108"/>
              <w:jc w:val="center"/>
              <w:rPr>
                <w:sz w:val="24"/>
                <w:szCs w:val="24"/>
                <w:lang w:val="en-GB"/>
              </w:rPr>
            </w:pPr>
            <w:r w:rsidRPr="005649E2">
              <w:rPr>
                <w:sz w:val="24"/>
                <w:szCs w:val="24"/>
                <w:lang w:val="en-GB"/>
              </w:rPr>
              <w:t>---</w:t>
            </w:r>
          </w:p>
        </w:tc>
        <w:tc>
          <w:tcPr>
            <w:tcW w:w="502" w:type="pct"/>
            <w:vAlign w:val="center"/>
          </w:tcPr>
          <w:p w14:paraId="7829842F" w14:textId="77777777" w:rsidR="0092350B" w:rsidRPr="005649E2" w:rsidRDefault="0092350B" w:rsidP="008A6A82">
            <w:pPr>
              <w:ind w:left="-108" w:right="-107"/>
              <w:jc w:val="center"/>
              <w:rPr>
                <w:sz w:val="24"/>
                <w:szCs w:val="24"/>
                <w:lang w:val="en-GB"/>
              </w:rPr>
            </w:pPr>
            <w:r w:rsidRPr="005649E2">
              <w:rPr>
                <w:sz w:val="24"/>
                <w:szCs w:val="24"/>
                <w:lang w:val="en-GB"/>
              </w:rPr>
              <w:t>HPLC-MS</w:t>
            </w:r>
          </w:p>
        </w:tc>
        <w:tc>
          <w:tcPr>
            <w:tcW w:w="880" w:type="pct"/>
            <w:vAlign w:val="center"/>
          </w:tcPr>
          <w:p w14:paraId="1D08A559" w14:textId="77777777" w:rsidR="0092350B" w:rsidRPr="005649E2" w:rsidRDefault="0092350B" w:rsidP="008A6A82">
            <w:pPr>
              <w:ind w:left="-108" w:right="-48"/>
              <w:jc w:val="center"/>
              <w:rPr>
                <w:sz w:val="24"/>
                <w:szCs w:val="24"/>
                <w:lang w:val="en-GB"/>
              </w:rPr>
            </w:pPr>
            <w:r w:rsidRPr="005649E2">
              <w:rPr>
                <w:sz w:val="24"/>
                <w:szCs w:val="24"/>
                <w:lang w:val="en-GB"/>
              </w:rPr>
              <w:t>AOH: 74.0</w:t>
            </w:r>
          </w:p>
          <w:p w14:paraId="6FBC169B" w14:textId="77777777" w:rsidR="0092350B" w:rsidRPr="005649E2" w:rsidRDefault="0092350B" w:rsidP="008A6A82">
            <w:pPr>
              <w:ind w:left="-108" w:right="-48"/>
              <w:jc w:val="center"/>
              <w:rPr>
                <w:sz w:val="24"/>
                <w:szCs w:val="24"/>
                <w:lang w:val="en-GB"/>
              </w:rPr>
            </w:pPr>
            <w:r w:rsidRPr="005649E2">
              <w:rPr>
                <w:sz w:val="24"/>
                <w:szCs w:val="24"/>
                <w:lang w:val="en-GB"/>
              </w:rPr>
              <w:t>AME: 90.0</w:t>
            </w:r>
          </w:p>
        </w:tc>
        <w:tc>
          <w:tcPr>
            <w:tcW w:w="676" w:type="pct"/>
            <w:vAlign w:val="center"/>
          </w:tcPr>
          <w:p w14:paraId="6DE6AE74" w14:textId="77777777" w:rsidR="005649E2" w:rsidRPr="00944C07" w:rsidRDefault="005649E2" w:rsidP="005649E2">
            <w:pPr>
              <w:jc w:val="center"/>
              <w:rPr>
                <w:szCs w:val="24"/>
                <w:lang w:val="en-GB"/>
              </w:rPr>
            </w:pPr>
            <w:r w:rsidRPr="00944C07">
              <w:rPr>
                <w:szCs w:val="24"/>
                <w:lang w:val="en-GB"/>
              </w:rPr>
              <w:t>AOH: 12.2</w:t>
            </w:r>
          </w:p>
          <w:p w14:paraId="4766DDCA" w14:textId="768F8AFC" w:rsidR="0092350B" w:rsidRPr="005649E2" w:rsidRDefault="005649E2" w:rsidP="0092350B">
            <w:pPr>
              <w:jc w:val="center"/>
              <w:rPr>
                <w:szCs w:val="24"/>
                <w:lang w:val="en-GB"/>
              </w:rPr>
            </w:pPr>
            <w:r w:rsidRPr="00944C07">
              <w:rPr>
                <w:szCs w:val="24"/>
                <w:lang w:val="en-GB"/>
              </w:rPr>
              <w:t>AME: 13.5</w:t>
            </w:r>
          </w:p>
        </w:tc>
        <w:tc>
          <w:tcPr>
            <w:tcW w:w="528" w:type="pct"/>
            <w:vAlign w:val="center"/>
          </w:tcPr>
          <w:p w14:paraId="1DBC18E5" w14:textId="4E485161" w:rsidR="0092350B" w:rsidRPr="005649E2" w:rsidRDefault="0092350B" w:rsidP="008A6A82">
            <w:pPr>
              <w:jc w:val="center"/>
              <w:rPr>
                <w:sz w:val="24"/>
                <w:szCs w:val="24"/>
                <w:lang w:val="es-ES"/>
              </w:rPr>
            </w:pPr>
            <w:r w:rsidRPr="005649E2">
              <w:rPr>
                <w:szCs w:val="24"/>
                <w:lang w:val="en-GB"/>
              </w:rPr>
              <w:fldChar w:fldCharType="begin"/>
            </w:r>
            <w:r w:rsidRPr="005649E2">
              <w:rPr>
                <w:sz w:val="24"/>
                <w:szCs w:val="24"/>
                <w:lang w:val="es-ES"/>
              </w:rPr>
              <w:instrText xml:space="preserve"> ADDIN EN.CITE &lt;EndNote&gt;&lt;Cite&gt;&lt;Author&gt;Van de Perre&lt;/Author&gt;&lt;Year&gt;2014&lt;/Year&gt;&lt;RecNum&gt;67&lt;/RecNum&gt;&lt;DisplayText&gt;(Van de Perre et al. 2014)&lt;/DisplayText&gt;&lt;record&gt;&lt;rec-number&gt;67&lt;/rec-number&gt;&lt;foreign-keys&gt;&lt;key app="EN" db-id="z5ax5apa7sppfyer05cpra0e2sw2f9rraft2" timestamp="1475751617"&gt;67&lt;/key&gt;&lt;/foreign-keys&gt;&lt;ref-type name="Journal Article"&gt;17&lt;/ref-type&gt;&lt;contributors&gt;&lt;authors&gt;&lt;author&gt;Van de Perre, Evelien&lt;/author&gt;&lt;author&gt;Deschuyffeleer, Nick&lt;/author&gt;&lt;author&gt;Jacxsens, Liesbeth&lt;/author&gt;&lt;author&gt;Vekeman, Femke&lt;/author&gt;&lt;author&gt;Van Der Hauwaert, Wendy&lt;/author&gt;&lt;author&gt;Asam, Stefan&lt;/author&gt;&lt;author&gt;Rychlik, Michael&lt;/author&gt;&lt;author&gt;Devlieghere, Frank&lt;/author&gt;&lt;author&gt;De Meulenaer, Bruno&lt;/author&gt;&lt;/authors&gt;&lt;/contributors&gt;&lt;titles&gt;&lt;title&gt;Screening of moulds and mycotoxins in tomatoes, bell peppers, onions, soft red fruits and derived tomato products&lt;/title&gt;&lt;secondary-title&gt;Food Control&lt;/secondary-title&gt;&lt;/titles&gt;&lt;periodical&gt;&lt;full-title&gt;Food Control&lt;/full-title&gt;&lt;/periodical&gt;&lt;pages&gt;165-170&lt;/pages&gt;&lt;volume&gt;37&lt;/volume&gt;&lt;keywords&gt;&lt;keyword&gt;Mycotoxin&lt;/keyword&gt;&lt;keyword&gt;Fruit&lt;/keyword&gt;&lt;keyword&gt;Vegetable&lt;/keyword&gt;&lt;keyword&gt;Mould&lt;/keyword&gt;&lt;keyword&gt;Alternaria&lt;/keyword&gt;&lt;/keywords&gt;&lt;dates&gt;&lt;year&gt;2014&lt;/year&gt;&lt;pub-dates&gt;&lt;date&gt;3//&lt;/date&gt;&lt;/pub-dates&gt;&lt;/dates&gt;&lt;isbn&gt;0956-7135&lt;/isbn&gt;&lt;urls&gt;&lt;related-urls&gt;&lt;url&gt;http://www.sciencedirect.com/science/article/pii/S0956713513004805&lt;/url&gt;&lt;/related-urls&gt;&lt;/urls&gt;&lt;electronic-resource-num&gt;http://dx.doi.org/10.1016/j.foodcont.2013.09.034&lt;/electronic-resource-num&gt;&lt;/record&gt;&lt;/Cite&gt;&lt;/EndNote&gt;</w:instrText>
            </w:r>
            <w:r w:rsidRPr="005649E2">
              <w:rPr>
                <w:szCs w:val="24"/>
                <w:lang w:val="en-GB"/>
              </w:rPr>
              <w:fldChar w:fldCharType="separate"/>
            </w:r>
            <w:r w:rsidRPr="005649E2">
              <w:rPr>
                <w:noProof/>
                <w:sz w:val="24"/>
                <w:szCs w:val="24"/>
                <w:lang w:val="es-ES"/>
              </w:rPr>
              <w:t>(Van de Perre et al. 2014)</w:t>
            </w:r>
            <w:r w:rsidRPr="005649E2">
              <w:rPr>
                <w:szCs w:val="24"/>
                <w:lang w:val="en-GB"/>
              </w:rPr>
              <w:fldChar w:fldCharType="end"/>
            </w:r>
          </w:p>
        </w:tc>
      </w:tr>
      <w:tr w:rsidR="005649E2" w:rsidRPr="005649E2" w14:paraId="0F645468" w14:textId="77777777" w:rsidTr="005649E2">
        <w:trPr>
          <w:trHeight w:val="680"/>
          <w:jc w:val="center"/>
        </w:trPr>
        <w:tc>
          <w:tcPr>
            <w:tcW w:w="553" w:type="pct"/>
            <w:vAlign w:val="center"/>
          </w:tcPr>
          <w:p w14:paraId="2D73E27C" w14:textId="6E11870D" w:rsidR="0092350B" w:rsidRPr="005649E2" w:rsidRDefault="0092350B" w:rsidP="00446E1D">
            <w:pPr>
              <w:ind w:left="-108"/>
              <w:jc w:val="center"/>
              <w:rPr>
                <w:sz w:val="24"/>
                <w:szCs w:val="24"/>
                <w:lang w:val="en-GB"/>
              </w:rPr>
            </w:pPr>
            <w:r w:rsidRPr="005649E2">
              <w:rPr>
                <w:sz w:val="24"/>
                <w:szCs w:val="24"/>
                <w:lang w:val="en-GB"/>
              </w:rPr>
              <w:t>SLE</w:t>
            </w:r>
          </w:p>
        </w:tc>
        <w:tc>
          <w:tcPr>
            <w:tcW w:w="532" w:type="pct"/>
            <w:vAlign w:val="center"/>
          </w:tcPr>
          <w:p w14:paraId="59804C37" w14:textId="77777777" w:rsidR="005649E2" w:rsidRPr="005649E2" w:rsidRDefault="005649E2" w:rsidP="005649E2">
            <w:pPr>
              <w:ind w:left="-108"/>
              <w:jc w:val="center"/>
              <w:rPr>
                <w:sz w:val="24"/>
                <w:szCs w:val="24"/>
                <w:lang w:val="en-GB"/>
              </w:rPr>
            </w:pPr>
            <w:r w:rsidRPr="005649E2">
              <w:rPr>
                <w:sz w:val="24"/>
                <w:szCs w:val="24"/>
                <w:lang w:val="en-GB"/>
              </w:rPr>
              <w:t>MeOH</w:t>
            </w:r>
          </w:p>
          <w:p w14:paraId="64CC7A37" w14:textId="44D8F1CB" w:rsidR="0092350B" w:rsidRPr="005649E2" w:rsidRDefault="005649E2" w:rsidP="00446E1D">
            <w:pPr>
              <w:ind w:left="-108"/>
              <w:jc w:val="center"/>
              <w:rPr>
                <w:szCs w:val="24"/>
                <w:lang w:val="en-GB"/>
              </w:rPr>
            </w:pPr>
            <w:r w:rsidRPr="005649E2">
              <w:rPr>
                <w:sz w:val="24"/>
                <w:szCs w:val="24"/>
                <w:lang w:val="en-GB"/>
              </w:rPr>
              <w:t>DNPH</w:t>
            </w:r>
          </w:p>
        </w:tc>
        <w:tc>
          <w:tcPr>
            <w:tcW w:w="610" w:type="pct"/>
            <w:vAlign w:val="center"/>
          </w:tcPr>
          <w:p w14:paraId="1E4ABE65" w14:textId="64DBF17F" w:rsidR="0092350B" w:rsidRPr="005649E2" w:rsidRDefault="0092350B" w:rsidP="00446E1D">
            <w:pPr>
              <w:ind w:left="-108"/>
              <w:jc w:val="center"/>
              <w:rPr>
                <w:sz w:val="24"/>
                <w:szCs w:val="24"/>
                <w:lang w:val="en-GB"/>
              </w:rPr>
            </w:pPr>
            <w:r w:rsidRPr="005649E2">
              <w:rPr>
                <w:sz w:val="24"/>
                <w:szCs w:val="24"/>
                <w:lang w:val="en-GB"/>
              </w:rPr>
              <w:t>AOH: &gt; 70</w:t>
            </w:r>
          </w:p>
          <w:p w14:paraId="604D2382" w14:textId="3476FD70" w:rsidR="0092350B" w:rsidRPr="005649E2" w:rsidRDefault="0092350B" w:rsidP="00446E1D">
            <w:pPr>
              <w:ind w:left="-108"/>
              <w:jc w:val="center"/>
              <w:rPr>
                <w:szCs w:val="24"/>
                <w:lang w:val="en-GB"/>
              </w:rPr>
            </w:pPr>
            <w:r w:rsidRPr="005649E2">
              <w:rPr>
                <w:sz w:val="24"/>
                <w:szCs w:val="24"/>
                <w:lang w:val="en-GB"/>
              </w:rPr>
              <w:t>AME: &gt; 70</w:t>
            </w:r>
          </w:p>
        </w:tc>
        <w:tc>
          <w:tcPr>
            <w:tcW w:w="719" w:type="pct"/>
            <w:vAlign w:val="center"/>
          </w:tcPr>
          <w:p w14:paraId="51C47122" w14:textId="450EB546" w:rsidR="0092350B" w:rsidRPr="005649E2" w:rsidRDefault="0092350B" w:rsidP="00446E1D">
            <w:pPr>
              <w:ind w:left="-108"/>
              <w:jc w:val="center"/>
              <w:rPr>
                <w:sz w:val="24"/>
                <w:szCs w:val="24"/>
                <w:lang w:val="en-GB"/>
              </w:rPr>
            </w:pPr>
            <w:r w:rsidRPr="005649E2">
              <w:rPr>
                <w:sz w:val="24"/>
                <w:szCs w:val="24"/>
                <w:lang w:val="en-GB"/>
              </w:rPr>
              <w:t>SPE</w:t>
            </w:r>
          </w:p>
        </w:tc>
        <w:tc>
          <w:tcPr>
            <w:tcW w:w="502" w:type="pct"/>
            <w:vAlign w:val="center"/>
          </w:tcPr>
          <w:p w14:paraId="78350721" w14:textId="77777777" w:rsidR="0092350B" w:rsidRPr="005649E2" w:rsidRDefault="0092350B" w:rsidP="00446E1D">
            <w:pPr>
              <w:ind w:left="-108" w:right="-107"/>
              <w:jc w:val="center"/>
              <w:rPr>
                <w:sz w:val="24"/>
                <w:szCs w:val="24"/>
                <w:lang w:val="en-GB"/>
              </w:rPr>
            </w:pPr>
            <w:r w:rsidRPr="005649E2">
              <w:rPr>
                <w:sz w:val="24"/>
                <w:szCs w:val="24"/>
                <w:lang w:val="en-GB"/>
              </w:rPr>
              <w:t>LC-MS/MS</w:t>
            </w:r>
          </w:p>
        </w:tc>
        <w:tc>
          <w:tcPr>
            <w:tcW w:w="880" w:type="pct"/>
            <w:vAlign w:val="center"/>
          </w:tcPr>
          <w:p w14:paraId="1590B50E" w14:textId="77777777" w:rsidR="0092350B" w:rsidRPr="005649E2" w:rsidRDefault="0092350B" w:rsidP="00446E1D">
            <w:pPr>
              <w:ind w:left="-108" w:right="-48"/>
              <w:jc w:val="center"/>
              <w:rPr>
                <w:sz w:val="24"/>
                <w:szCs w:val="24"/>
                <w:lang w:val="en-GB"/>
              </w:rPr>
            </w:pPr>
            <w:r w:rsidRPr="005649E2">
              <w:rPr>
                <w:sz w:val="24"/>
                <w:szCs w:val="24"/>
                <w:lang w:val="en-GB"/>
              </w:rPr>
              <w:t>AOH: 89.0 – 92.6</w:t>
            </w:r>
          </w:p>
          <w:p w14:paraId="6B7E89D0" w14:textId="77777777" w:rsidR="0092350B" w:rsidRPr="005649E2" w:rsidRDefault="0092350B" w:rsidP="00446E1D">
            <w:pPr>
              <w:ind w:left="-108" w:right="-48"/>
              <w:jc w:val="center"/>
              <w:rPr>
                <w:sz w:val="24"/>
                <w:szCs w:val="24"/>
                <w:lang w:val="en-GB"/>
              </w:rPr>
            </w:pPr>
            <w:r w:rsidRPr="005649E2">
              <w:rPr>
                <w:sz w:val="24"/>
                <w:szCs w:val="24"/>
                <w:lang w:val="en-GB"/>
              </w:rPr>
              <w:t>AME: 89.0 – 89.3</w:t>
            </w:r>
          </w:p>
        </w:tc>
        <w:tc>
          <w:tcPr>
            <w:tcW w:w="676" w:type="pct"/>
            <w:vAlign w:val="center"/>
          </w:tcPr>
          <w:p w14:paraId="42AD2C9C" w14:textId="77777777" w:rsidR="005649E2" w:rsidRPr="00944C07" w:rsidRDefault="005649E2" w:rsidP="005649E2">
            <w:pPr>
              <w:jc w:val="center"/>
              <w:rPr>
                <w:szCs w:val="24"/>
                <w:lang w:val="en-GB"/>
              </w:rPr>
            </w:pPr>
            <w:r w:rsidRPr="00944C07">
              <w:rPr>
                <w:szCs w:val="24"/>
                <w:lang w:val="en-GB"/>
              </w:rPr>
              <w:t>AOH: 2</w:t>
            </w:r>
          </w:p>
          <w:p w14:paraId="446E6292" w14:textId="3B83FCB3" w:rsidR="0092350B" w:rsidRPr="005649E2" w:rsidRDefault="005649E2" w:rsidP="0092350B">
            <w:pPr>
              <w:jc w:val="center"/>
              <w:rPr>
                <w:szCs w:val="24"/>
                <w:lang w:val="en-GB"/>
              </w:rPr>
            </w:pPr>
            <w:r w:rsidRPr="00944C07">
              <w:rPr>
                <w:szCs w:val="24"/>
                <w:lang w:val="en-GB"/>
              </w:rPr>
              <w:t>AME: 1</w:t>
            </w:r>
          </w:p>
        </w:tc>
        <w:tc>
          <w:tcPr>
            <w:tcW w:w="528" w:type="pct"/>
            <w:vAlign w:val="center"/>
          </w:tcPr>
          <w:p w14:paraId="7079E573" w14:textId="50576945" w:rsidR="0092350B" w:rsidRPr="005649E2" w:rsidRDefault="0092350B" w:rsidP="00446E1D">
            <w:pPr>
              <w:jc w:val="center"/>
              <w:rPr>
                <w:sz w:val="24"/>
                <w:szCs w:val="24"/>
                <w:lang w:val="en-GB"/>
              </w:rPr>
            </w:pPr>
            <w:r w:rsidRPr="005649E2">
              <w:rPr>
                <w:szCs w:val="24"/>
                <w:lang w:val="en-GB"/>
              </w:rPr>
              <w:fldChar w:fldCharType="begin"/>
            </w:r>
            <w:r w:rsidRPr="005649E2">
              <w:rPr>
                <w:sz w:val="24"/>
                <w:szCs w:val="24"/>
                <w:lang w:val="en-GB"/>
              </w:rPr>
              <w:instrText xml:space="preserve"> ADDIN EN.CITE &lt;EndNote&gt;&lt;Cite&gt;&lt;Author&gt;Tölgyesi&lt;/Author&gt;&lt;Year&gt;2015&lt;/Year&gt;&lt;RecNum&gt;59&lt;/RecNum&gt;&lt;DisplayText&gt;(Tölgyesi et al. 2015)&lt;/DisplayText&gt;&lt;record&gt;&lt;rec-number&gt;59&lt;/rec-number&gt;&lt;foreign-keys&gt;&lt;key app="EN" db-id="z5ax5apa7sppfyer05cpra0e2sw2f9rraft2" timestamp="1475751162"&gt;59&lt;/key&gt;&lt;/foreign-keys&gt;&lt;ref-type name="Journal Article"&gt;17&lt;/ref-type&gt;&lt;contributors&gt;&lt;authors&gt;&lt;author&gt;Tölgyesi, Ádám&lt;/author&gt;&lt;author&gt;Stroka, Joerg&lt;/author&gt;&lt;author&gt;Tamosiunas, Vytautas&lt;/author&gt;&lt;author&gt;Zwickel, Theresa&lt;/author&gt;&lt;/authors&gt;&lt;/contributors&gt;&lt;titles&gt;&lt;title&gt;Simultaneous analysis of Alternaria toxins and citrinin in tomato: an optimised method using liquid chromatography-tandem mass spectrometry&lt;/title&gt;&lt;secondary-title&gt;Food Additives &amp;amp; Contaminants: Part A&lt;/secondary-title&gt;&lt;/titles&gt;&lt;periodical&gt;&lt;full-title&gt;Food Additives &amp;amp; Contaminants: Part A&lt;/full-title&gt;&lt;/periodical&gt;&lt;pages&gt;1512-1522&lt;/pages&gt;&lt;volume&gt;32&lt;/volume&gt;&lt;number&gt;9&lt;/number&gt;&lt;dates&gt;&lt;year&gt;2015&lt;/year&gt;&lt;pub-dates&gt;&lt;date&gt;2015/09/02&lt;/date&gt;&lt;/pub-dates&gt;&lt;/dates&gt;&lt;publisher&gt;Taylor &amp;amp; Francis&lt;/publisher&gt;&lt;isbn&gt;1944-0049&lt;/isbn&gt;&lt;urls&gt;&lt;related-urls&gt;&lt;url&gt;http://dx.doi.org/10.1080/19440049.2015.1072644&lt;/url&gt;&lt;/related-urls&gt;&lt;/urls&gt;&lt;electronic-resource-num&gt;https://doi.org/10.1021/cm011207+10.1080/19440049.2015.1072644&lt;/electronic-resource-num&gt;&lt;/record&gt;&lt;/Cite&gt;&lt;/EndNote&gt;</w:instrText>
            </w:r>
            <w:r w:rsidRPr="005649E2">
              <w:rPr>
                <w:szCs w:val="24"/>
                <w:lang w:val="en-GB"/>
              </w:rPr>
              <w:fldChar w:fldCharType="separate"/>
            </w:r>
            <w:r w:rsidRPr="005649E2">
              <w:rPr>
                <w:noProof/>
                <w:sz w:val="24"/>
                <w:szCs w:val="24"/>
                <w:lang w:val="en-GB"/>
              </w:rPr>
              <w:t>(Tölgyesi et al. 2015)</w:t>
            </w:r>
            <w:r w:rsidRPr="005649E2">
              <w:rPr>
                <w:szCs w:val="24"/>
                <w:lang w:val="en-GB"/>
              </w:rPr>
              <w:fldChar w:fldCharType="end"/>
            </w:r>
          </w:p>
        </w:tc>
      </w:tr>
      <w:tr w:rsidR="005649E2" w:rsidRPr="005649E2" w14:paraId="7E5409C3" w14:textId="77777777" w:rsidTr="005649E2">
        <w:trPr>
          <w:trHeight w:val="680"/>
          <w:jc w:val="center"/>
        </w:trPr>
        <w:tc>
          <w:tcPr>
            <w:tcW w:w="553" w:type="pct"/>
            <w:vAlign w:val="center"/>
          </w:tcPr>
          <w:p w14:paraId="7C33A0AE" w14:textId="77777777" w:rsidR="0092350B" w:rsidRPr="005649E2" w:rsidRDefault="0092350B" w:rsidP="00446E1D">
            <w:pPr>
              <w:ind w:left="-108"/>
              <w:jc w:val="center"/>
              <w:rPr>
                <w:sz w:val="24"/>
                <w:szCs w:val="24"/>
                <w:lang w:val="en-GB"/>
              </w:rPr>
            </w:pPr>
            <w:r w:rsidRPr="005649E2">
              <w:rPr>
                <w:sz w:val="24"/>
                <w:szCs w:val="24"/>
                <w:lang w:val="en-GB"/>
              </w:rPr>
              <w:t>UAE</w:t>
            </w:r>
          </w:p>
        </w:tc>
        <w:tc>
          <w:tcPr>
            <w:tcW w:w="532" w:type="pct"/>
            <w:vAlign w:val="center"/>
          </w:tcPr>
          <w:p w14:paraId="2CD04E8C" w14:textId="77777777" w:rsidR="0092350B" w:rsidRDefault="005649E2" w:rsidP="00446E1D">
            <w:pPr>
              <w:ind w:left="-108"/>
              <w:jc w:val="center"/>
              <w:rPr>
                <w:szCs w:val="24"/>
                <w:lang w:val="en-GB"/>
              </w:rPr>
            </w:pPr>
            <w:r>
              <w:rPr>
                <w:szCs w:val="24"/>
                <w:lang w:val="en-GB"/>
              </w:rPr>
              <w:t>ACN</w:t>
            </w:r>
          </w:p>
          <w:p w14:paraId="628A19C2" w14:textId="77777777" w:rsidR="005649E2" w:rsidRDefault="005649E2" w:rsidP="00446E1D">
            <w:pPr>
              <w:ind w:left="-108"/>
              <w:jc w:val="center"/>
              <w:rPr>
                <w:szCs w:val="24"/>
                <w:lang w:val="en-GB"/>
              </w:rPr>
            </w:pPr>
            <w:r>
              <w:rPr>
                <w:szCs w:val="24"/>
                <w:lang w:val="en-GB"/>
              </w:rPr>
              <w:t>Water</w:t>
            </w:r>
          </w:p>
          <w:p w14:paraId="340E4CC3" w14:textId="2925AFB3" w:rsidR="005649E2" w:rsidRPr="005649E2" w:rsidRDefault="005649E2" w:rsidP="00446E1D">
            <w:pPr>
              <w:ind w:left="-108"/>
              <w:jc w:val="center"/>
              <w:rPr>
                <w:szCs w:val="24"/>
                <w:lang w:val="en-GB"/>
              </w:rPr>
            </w:pPr>
            <w:r>
              <w:rPr>
                <w:szCs w:val="24"/>
                <w:lang w:val="en-GB"/>
              </w:rPr>
              <w:t>MeOH</w:t>
            </w:r>
          </w:p>
        </w:tc>
        <w:tc>
          <w:tcPr>
            <w:tcW w:w="610" w:type="pct"/>
            <w:vAlign w:val="center"/>
          </w:tcPr>
          <w:p w14:paraId="6F0497A6" w14:textId="13796B19" w:rsidR="0092350B" w:rsidRPr="005649E2" w:rsidRDefault="0092350B" w:rsidP="00446E1D">
            <w:pPr>
              <w:ind w:left="-108"/>
              <w:jc w:val="center"/>
              <w:rPr>
                <w:szCs w:val="24"/>
                <w:lang w:val="en-GB"/>
              </w:rPr>
            </w:pPr>
            <w:r w:rsidRPr="005649E2">
              <w:rPr>
                <w:sz w:val="24"/>
                <w:szCs w:val="24"/>
                <w:lang w:val="en-GB"/>
              </w:rPr>
              <w:t>n.d.</w:t>
            </w:r>
          </w:p>
        </w:tc>
        <w:tc>
          <w:tcPr>
            <w:tcW w:w="719" w:type="pct"/>
            <w:vAlign w:val="center"/>
          </w:tcPr>
          <w:p w14:paraId="63A81BE2" w14:textId="0A580D58" w:rsidR="0092350B" w:rsidRPr="005649E2" w:rsidRDefault="0092350B" w:rsidP="00446E1D">
            <w:pPr>
              <w:ind w:left="-108"/>
              <w:jc w:val="center"/>
              <w:rPr>
                <w:sz w:val="24"/>
                <w:szCs w:val="24"/>
                <w:lang w:val="en-GB"/>
              </w:rPr>
            </w:pPr>
            <w:r w:rsidRPr="005649E2">
              <w:rPr>
                <w:sz w:val="24"/>
                <w:szCs w:val="24"/>
                <w:lang w:val="en-GB"/>
              </w:rPr>
              <w:t>SPE</w:t>
            </w:r>
          </w:p>
        </w:tc>
        <w:tc>
          <w:tcPr>
            <w:tcW w:w="502" w:type="pct"/>
            <w:vAlign w:val="center"/>
          </w:tcPr>
          <w:p w14:paraId="4342A3DD" w14:textId="77777777" w:rsidR="0092350B" w:rsidRPr="005649E2" w:rsidRDefault="0092350B" w:rsidP="00446E1D">
            <w:pPr>
              <w:ind w:left="-108" w:right="-107"/>
              <w:jc w:val="center"/>
              <w:rPr>
                <w:sz w:val="24"/>
                <w:szCs w:val="24"/>
                <w:lang w:val="en-GB"/>
              </w:rPr>
            </w:pPr>
            <w:r w:rsidRPr="005649E2">
              <w:rPr>
                <w:sz w:val="24"/>
                <w:szCs w:val="24"/>
                <w:lang w:val="en-GB"/>
              </w:rPr>
              <w:t>LC-MS/MS</w:t>
            </w:r>
          </w:p>
        </w:tc>
        <w:tc>
          <w:tcPr>
            <w:tcW w:w="880" w:type="pct"/>
            <w:vAlign w:val="center"/>
          </w:tcPr>
          <w:p w14:paraId="6BAB16E4" w14:textId="77777777" w:rsidR="0092350B" w:rsidRPr="005649E2" w:rsidRDefault="0092350B" w:rsidP="00446E1D">
            <w:pPr>
              <w:ind w:left="-108" w:right="-48"/>
              <w:jc w:val="center"/>
              <w:rPr>
                <w:sz w:val="24"/>
                <w:szCs w:val="24"/>
                <w:lang w:val="en-GB"/>
              </w:rPr>
            </w:pPr>
            <w:r w:rsidRPr="005649E2">
              <w:rPr>
                <w:sz w:val="24"/>
                <w:szCs w:val="24"/>
                <w:lang w:val="en-GB"/>
              </w:rPr>
              <w:t>AOH: 78.4 – 82.1</w:t>
            </w:r>
          </w:p>
          <w:p w14:paraId="1D9A14A7" w14:textId="77777777" w:rsidR="0092350B" w:rsidRPr="005649E2" w:rsidRDefault="0092350B" w:rsidP="00446E1D">
            <w:pPr>
              <w:ind w:left="-108" w:right="-48"/>
              <w:jc w:val="center"/>
              <w:rPr>
                <w:sz w:val="24"/>
                <w:szCs w:val="24"/>
                <w:lang w:val="en-GB"/>
              </w:rPr>
            </w:pPr>
            <w:r w:rsidRPr="005649E2">
              <w:rPr>
                <w:sz w:val="24"/>
                <w:szCs w:val="24"/>
                <w:lang w:val="en-GB"/>
              </w:rPr>
              <w:t>AME: 65.9 – 79.3</w:t>
            </w:r>
          </w:p>
        </w:tc>
        <w:tc>
          <w:tcPr>
            <w:tcW w:w="676" w:type="pct"/>
            <w:vAlign w:val="center"/>
          </w:tcPr>
          <w:p w14:paraId="1E30E06C" w14:textId="776464CA" w:rsidR="005649E2" w:rsidRPr="00944C07" w:rsidRDefault="005649E2" w:rsidP="005649E2">
            <w:pPr>
              <w:jc w:val="center"/>
              <w:rPr>
                <w:szCs w:val="24"/>
                <w:lang w:val="en-GB"/>
              </w:rPr>
            </w:pPr>
            <w:r w:rsidRPr="00944C07">
              <w:rPr>
                <w:szCs w:val="24"/>
                <w:lang w:val="en-GB"/>
              </w:rPr>
              <w:t xml:space="preserve">AOH: </w:t>
            </w:r>
            <w:r>
              <w:rPr>
                <w:szCs w:val="24"/>
                <w:lang w:val="en-GB"/>
              </w:rPr>
              <w:t>5</w:t>
            </w:r>
          </w:p>
          <w:p w14:paraId="72762F8D" w14:textId="382506B6" w:rsidR="0092350B" w:rsidRPr="005649E2" w:rsidRDefault="005649E2" w:rsidP="0092350B">
            <w:pPr>
              <w:jc w:val="center"/>
              <w:rPr>
                <w:szCs w:val="24"/>
                <w:lang w:val="en-GB"/>
              </w:rPr>
            </w:pPr>
            <w:r w:rsidRPr="00944C07">
              <w:rPr>
                <w:szCs w:val="24"/>
                <w:lang w:val="en-GB"/>
              </w:rPr>
              <w:t>AME:</w:t>
            </w:r>
            <w:r>
              <w:rPr>
                <w:szCs w:val="24"/>
                <w:lang w:val="en-GB"/>
              </w:rPr>
              <w:t xml:space="preserve"> 0.1</w:t>
            </w:r>
          </w:p>
        </w:tc>
        <w:tc>
          <w:tcPr>
            <w:tcW w:w="528" w:type="pct"/>
            <w:vAlign w:val="center"/>
          </w:tcPr>
          <w:p w14:paraId="3B170CD5" w14:textId="59C84119" w:rsidR="0092350B" w:rsidRPr="005649E2" w:rsidRDefault="0092350B" w:rsidP="00446E1D">
            <w:pPr>
              <w:jc w:val="center"/>
              <w:rPr>
                <w:sz w:val="24"/>
                <w:szCs w:val="24"/>
                <w:lang w:val="en-GB"/>
              </w:rPr>
            </w:pPr>
            <w:r w:rsidRPr="005649E2">
              <w:rPr>
                <w:szCs w:val="24"/>
                <w:lang w:val="en-GB"/>
              </w:rPr>
              <w:fldChar w:fldCharType="begin"/>
            </w:r>
            <w:r w:rsidRPr="005649E2">
              <w:rPr>
                <w:sz w:val="24"/>
                <w:szCs w:val="24"/>
                <w:lang w:val="en-GB"/>
              </w:rPr>
              <w:instrText xml:space="preserve"> ADDIN EN.CITE &lt;EndNote&gt;&lt;Cite&gt;&lt;Author&gt;Zhao&lt;/Author&gt;&lt;Year&gt;2015&lt;/Year&gt;&lt;RecNum&gt;82&lt;/RecNum&gt;&lt;DisplayText&gt;(Zhao et al. 2015)&lt;/DisplayText&gt;&lt;record&gt;&lt;rec-number&gt;82&lt;/rec-number&gt;&lt;foreign-keys&gt;&lt;key app="EN" db-id="z5ax5apa7sppfyer05cpra0e2sw2f9rraft2" timestamp="1475757043"&gt;82&lt;/key&gt;&lt;/foreign-keys&gt;&lt;ref-type name="Journal Article"&gt;17&lt;/ref-type&gt;&lt;contributors&gt;&lt;authors&gt;&lt;author&gt;Zhao, Kai&lt;/author&gt;&lt;author&gt;Shao, Bing&lt;/author&gt;&lt;author&gt;Yang, Dajin&lt;/author&gt;&lt;author&gt;Li, Fengqin&lt;/author&gt;&lt;/authors&gt;&lt;/contributors&gt;&lt;titles&gt;&lt;title&gt;Natural Occurrence of Four Alternaria Mycotoxins in Tomato- and Citrus-Based Foods in China&lt;/title&gt;&lt;secondary-title&gt;Journal of Agricultural and Food Chemistry&lt;/secondary-title&gt;&lt;/titles&gt;&lt;periodical&gt;&lt;full-title&gt;Journal of Agricultural and Food Chemistry&lt;/full-title&gt;&lt;/periodical&gt;&lt;pages&gt;343-348&lt;/pages&gt;&lt;volume&gt;63&lt;/volume&gt;&lt;number&gt;1&lt;/number&gt;&lt;dates&gt;&lt;year&gt;2015&lt;/year&gt;&lt;pub-dates&gt;&lt;date&gt;2015/01/14&lt;/date&gt;&lt;/pub-dates&gt;&lt;/dates&gt;&lt;publisher&gt;American Chemical Society&lt;/publisher&gt;&lt;isbn&gt;0021-8561&lt;/isbn&gt;&lt;urls&gt;&lt;related-urls&gt;&lt;url&gt;http://dx.doi.org/10.1021/jf5052738&lt;/url&gt;&lt;/related-urls&gt;&lt;/urls&gt;&lt;electronic-resource-num&gt;10.1021/jf5052738&lt;/electronic-resource-num&gt;&lt;/record&gt;&lt;/Cite&gt;&lt;/EndNote&gt;</w:instrText>
            </w:r>
            <w:r w:rsidRPr="005649E2">
              <w:rPr>
                <w:szCs w:val="24"/>
                <w:lang w:val="en-GB"/>
              </w:rPr>
              <w:fldChar w:fldCharType="separate"/>
            </w:r>
            <w:r w:rsidRPr="005649E2">
              <w:rPr>
                <w:noProof/>
                <w:sz w:val="24"/>
                <w:szCs w:val="24"/>
                <w:lang w:val="en-GB"/>
              </w:rPr>
              <w:t>(Zhao et al. 2015)</w:t>
            </w:r>
            <w:r w:rsidRPr="005649E2">
              <w:rPr>
                <w:szCs w:val="24"/>
                <w:lang w:val="en-GB"/>
              </w:rPr>
              <w:fldChar w:fldCharType="end"/>
            </w:r>
          </w:p>
        </w:tc>
      </w:tr>
      <w:tr w:rsidR="005649E2" w:rsidRPr="005649E2" w14:paraId="6FFB1209" w14:textId="77777777" w:rsidTr="005649E2">
        <w:trPr>
          <w:trHeight w:val="680"/>
          <w:jc w:val="center"/>
        </w:trPr>
        <w:tc>
          <w:tcPr>
            <w:tcW w:w="553" w:type="pct"/>
            <w:vAlign w:val="center"/>
          </w:tcPr>
          <w:p w14:paraId="2F198224" w14:textId="77777777" w:rsidR="0092350B" w:rsidRPr="005649E2" w:rsidRDefault="0092350B" w:rsidP="00446E1D">
            <w:pPr>
              <w:ind w:left="-108"/>
              <w:jc w:val="center"/>
              <w:rPr>
                <w:sz w:val="24"/>
                <w:szCs w:val="24"/>
                <w:lang w:val="en-GB"/>
              </w:rPr>
            </w:pPr>
            <w:r w:rsidRPr="005649E2">
              <w:rPr>
                <w:sz w:val="24"/>
                <w:szCs w:val="24"/>
                <w:lang w:val="en-GB"/>
              </w:rPr>
              <w:t>UAE</w:t>
            </w:r>
          </w:p>
        </w:tc>
        <w:tc>
          <w:tcPr>
            <w:tcW w:w="532" w:type="pct"/>
            <w:vAlign w:val="center"/>
          </w:tcPr>
          <w:p w14:paraId="5A5FB026" w14:textId="50931180" w:rsidR="0092350B" w:rsidRPr="005649E2" w:rsidRDefault="005649E2" w:rsidP="00446E1D">
            <w:pPr>
              <w:ind w:left="-108"/>
              <w:jc w:val="center"/>
              <w:rPr>
                <w:szCs w:val="24"/>
                <w:lang w:val="en-GB"/>
              </w:rPr>
            </w:pPr>
            <w:r>
              <w:rPr>
                <w:szCs w:val="24"/>
                <w:lang w:val="en-GB"/>
              </w:rPr>
              <w:t>PB</w:t>
            </w:r>
          </w:p>
        </w:tc>
        <w:tc>
          <w:tcPr>
            <w:tcW w:w="610" w:type="pct"/>
            <w:vAlign w:val="center"/>
          </w:tcPr>
          <w:p w14:paraId="49671387" w14:textId="23A3B4E6" w:rsidR="0092350B" w:rsidRPr="005649E2" w:rsidRDefault="0092350B" w:rsidP="00446E1D">
            <w:pPr>
              <w:ind w:left="-108"/>
              <w:jc w:val="center"/>
              <w:rPr>
                <w:szCs w:val="24"/>
                <w:lang w:val="en-GB"/>
              </w:rPr>
            </w:pPr>
            <w:r w:rsidRPr="005649E2">
              <w:rPr>
                <w:sz w:val="24"/>
                <w:szCs w:val="24"/>
                <w:lang w:val="en-GB"/>
              </w:rPr>
              <w:t>n.d.</w:t>
            </w:r>
          </w:p>
        </w:tc>
        <w:tc>
          <w:tcPr>
            <w:tcW w:w="719" w:type="pct"/>
            <w:vAlign w:val="center"/>
          </w:tcPr>
          <w:p w14:paraId="00A2722E" w14:textId="1E3A9B5D" w:rsidR="0092350B" w:rsidRPr="005649E2" w:rsidRDefault="0092350B" w:rsidP="00446E1D">
            <w:pPr>
              <w:ind w:left="-108"/>
              <w:jc w:val="center"/>
              <w:rPr>
                <w:sz w:val="24"/>
                <w:szCs w:val="24"/>
                <w:lang w:val="en-GB"/>
              </w:rPr>
            </w:pPr>
            <w:r w:rsidRPr="005649E2">
              <w:rPr>
                <w:sz w:val="24"/>
                <w:szCs w:val="24"/>
                <w:lang w:val="en-GB"/>
              </w:rPr>
              <w:t>MISPE</w:t>
            </w:r>
          </w:p>
        </w:tc>
        <w:tc>
          <w:tcPr>
            <w:tcW w:w="502" w:type="pct"/>
            <w:vAlign w:val="center"/>
          </w:tcPr>
          <w:p w14:paraId="7302ECAE" w14:textId="77777777" w:rsidR="0092350B" w:rsidRPr="005649E2" w:rsidRDefault="0092350B" w:rsidP="00446E1D">
            <w:pPr>
              <w:ind w:left="-108" w:right="-107"/>
              <w:jc w:val="center"/>
              <w:rPr>
                <w:sz w:val="24"/>
                <w:szCs w:val="24"/>
                <w:lang w:val="en-GB"/>
              </w:rPr>
            </w:pPr>
            <w:r w:rsidRPr="005649E2">
              <w:rPr>
                <w:sz w:val="24"/>
                <w:szCs w:val="24"/>
                <w:lang w:val="en-GB"/>
              </w:rPr>
              <w:t>HPLC-FLD</w:t>
            </w:r>
          </w:p>
        </w:tc>
        <w:tc>
          <w:tcPr>
            <w:tcW w:w="880" w:type="pct"/>
            <w:vAlign w:val="center"/>
          </w:tcPr>
          <w:p w14:paraId="4CAE098E" w14:textId="77777777" w:rsidR="0092350B" w:rsidRPr="005649E2" w:rsidRDefault="0092350B" w:rsidP="00446E1D">
            <w:pPr>
              <w:ind w:left="-108" w:right="-48"/>
              <w:jc w:val="center"/>
              <w:rPr>
                <w:sz w:val="24"/>
                <w:szCs w:val="24"/>
                <w:lang w:val="en-GB"/>
              </w:rPr>
            </w:pPr>
            <w:r w:rsidRPr="005649E2">
              <w:rPr>
                <w:sz w:val="24"/>
                <w:szCs w:val="24"/>
                <w:lang w:val="en-GB"/>
              </w:rPr>
              <w:t>AOH: 81.0 – 103.0</w:t>
            </w:r>
          </w:p>
        </w:tc>
        <w:tc>
          <w:tcPr>
            <w:tcW w:w="676" w:type="pct"/>
            <w:vAlign w:val="center"/>
          </w:tcPr>
          <w:p w14:paraId="3426F68A" w14:textId="64C605A2" w:rsidR="0092350B" w:rsidRPr="005649E2" w:rsidRDefault="005649E2" w:rsidP="0092350B">
            <w:pPr>
              <w:jc w:val="center"/>
              <w:rPr>
                <w:szCs w:val="24"/>
                <w:lang w:val="en-GB"/>
              </w:rPr>
            </w:pPr>
            <w:r w:rsidRPr="00944C07">
              <w:rPr>
                <w:szCs w:val="24"/>
                <w:lang w:val="en-GB"/>
              </w:rPr>
              <w:t>AOH:</w:t>
            </w:r>
            <w:r>
              <w:rPr>
                <w:szCs w:val="24"/>
                <w:lang w:val="en-GB"/>
              </w:rPr>
              <w:t xml:space="preserve"> </w:t>
            </w:r>
            <w:r w:rsidR="00F5583D">
              <w:rPr>
                <w:szCs w:val="24"/>
                <w:lang w:val="en-GB"/>
              </w:rPr>
              <w:t>n.d.</w:t>
            </w:r>
          </w:p>
        </w:tc>
        <w:tc>
          <w:tcPr>
            <w:tcW w:w="528" w:type="pct"/>
            <w:vAlign w:val="center"/>
          </w:tcPr>
          <w:p w14:paraId="4BB1684C" w14:textId="3B0B1B66" w:rsidR="0092350B" w:rsidRPr="005649E2" w:rsidRDefault="0092350B" w:rsidP="00446E1D">
            <w:pPr>
              <w:jc w:val="center"/>
              <w:rPr>
                <w:sz w:val="24"/>
                <w:szCs w:val="24"/>
                <w:lang w:val="en-GB"/>
              </w:rPr>
            </w:pPr>
            <w:r w:rsidRPr="005649E2">
              <w:rPr>
                <w:szCs w:val="24"/>
                <w:lang w:val="en-GB"/>
              </w:rPr>
              <w:fldChar w:fldCharType="begin"/>
            </w:r>
            <w:r w:rsidRPr="005649E2">
              <w:rPr>
                <w:sz w:val="24"/>
                <w:szCs w:val="24"/>
                <w:lang w:val="en-GB"/>
              </w:rPr>
              <w:instrText xml:space="preserve"> ADDIN EN.CITE &lt;EndNote&gt;&lt;Cite&gt;&lt;Author&gt;Abou-Hany&lt;/Author&gt;&lt;Year&gt;2015&lt;/Year&gt;&lt;RecNum&gt;87&lt;/RecNum&gt;&lt;DisplayText&gt;(Abou-Hany et al. 2015)&lt;/DisplayText&gt;&lt;record&gt;&lt;rec-number&gt;87&lt;/rec-number&gt;&lt;foreign-keys&gt;&lt;key app="EN" db-id="z5ax5apa7sppfyer05cpra0e2sw2f9rraft2" timestamp="1475757324"&gt;87&lt;/key&gt;&lt;/foreign-keys&gt;&lt;ref-type name="Journal Article"&gt;17&lt;/ref-type&gt;&lt;contributors&gt;&lt;authors&gt;&lt;author&gt;Abou-Hany, Rahma A. G.&lt;/author&gt;&lt;author&gt;Urraca, Javier L.&lt;/author&gt;&lt;author&gt;Descalzo, Ana B.&lt;/author&gt;&lt;author&gt;Gómez-Arribas, Lidia N.&lt;/author&gt;&lt;author&gt;Moreno-Bondi, María C.&lt;/author&gt;&lt;author&gt;Orellana, Guillermo&lt;/author&gt;&lt;/authors&gt;&lt;/contributors&gt;&lt;titles&gt;&lt;title&gt;Tailoring molecularly imprinted polymer beads for alternariol recognition and analysis by a screening with mycotoxin surrogates&lt;/title&gt;&lt;secondary-title&gt;Journal of Chromatography A&lt;/secondary-title&gt;&lt;/titles&gt;&lt;periodical&gt;&lt;full-title&gt;Journal of Chromatography A&lt;/full-title&gt;&lt;/periodical&gt;&lt;pages&gt;231-239&lt;/pages&gt;&lt;volume&gt;1425&lt;/volume&gt;&lt;keywords&gt;&lt;keyword&gt;Molecularly imprinted polymers&lt;/keyword&gt;&lt;keyword&gt;Food mycotoxin&lt;/keyword&gt;&lt;keyword&gt;Alternariol&lt;/keyword&gt;&lt;keyword&gt;Porous polymer microspheres&lt;/keyword&gt;&lt;keyword&gt;MISPE&lt;/keyword&gt;&lt;keyword&gt;Tomato&lt;/keyword&gt;&lt;/keywords&gt;&lt;dates&gt;&lt;year&gt;2015&lt;/year&gt;&lt;pub-dates&gt;&lt;date&gt;12/18/&lt;/date&gt;&lt;/pub-dates&gt;&lt;/dates&gt;&lt;isbn&gt;0021-9673&lt;/isbn&gt;&lt;urls&gt;&lt;related-urls&gt;&lt;url&gt;http://www.sciencedirect.com/science/article/pii/S0021967315016830&lt;/url&gt;&lt;/related-urls&gt;&lt;/urls&gt;&lt;electronic-resource-num&gt;http://dx.doi.org/10.1016/j.chroma.2015.11.055&lt;/electronic-resource-num&gt;&lt;/record&gt;&lt;/Cite&gt;&lt;/EndNote&gt;</w:instrText>
            </w:r>
            <w:r w:rsidRPr="005649E2">
              <w:rPr>
                <w:szCs w:val="24"/>
                <w:lang w:val="en-GB"/>
              </w:rPr>
              <w:fldChar w:fldCharType="separate"/>
            </w:r>
            <w:r w:rsidRPr="005649E2">
              <w:rPr>
                <w:noProof/>
                <w:sz w:val="24"/>
                <w:szCs w:val="24"/>
                <w:lang w:val="en-GB"/>
              </w:rPr>
              <w:t>(Abou-Hany et al. 2015)</w:t>
            </w:r>
            <w:r w:rsidRPr="005649E2">
              <w:rPr>
                <w:szCs w:val="24"/>
                <w:lang w:val="en-GB"/>
              </w:rPr>
              <w:fldChar w:fldCharType="end"/>
            </w:r>
          </w:p>
        </w:tc>
      </w:tr>
      <w:tr w:rsidR="005649E2" w:rsidRPr="005649E2" w14:paraId="727ACF9E" w14:textId="77777777" w:rsidTr="005649E2">
        <w:trPr>
          <w:trHeight w:val="680"/>
          <w:jc w:val="center"/>
        </w:trPr>
        <w:tc>
          <w:tcPr>
            <w:tcW w:w="553" w:type="pct"/>
            <w:vAlign w:val="center"/>
          </w:tcPr>
          <w:p w14:paraId="42F438F3" w14:textId="77777777" w:rsidR="0092350B" w:rsidRPr="005649E2" w:rsidRDefault="0092350B" w:rsidP="00446E1D">
            <w:pPr>
              <w:ind w:left="-108"/>
              <w:jc w:val="center"/>
              <w:rPr>
                <w:sz w:val="24"/>
                <w:szCs w:val="24"/>
                <w:lang w:val="en-GB"/>
              </w:rPr>
            </w:pPr>
            <w:r w:rsidRPr="005649E2">
              <w:rPr>
                <w:sz w:val="24"/>
                <w:szCs w:val="24"/>
                <w:lang w:val="en-GB"/>
              </w:rPr>
              <w:t>QuEChERS</w:t>
            </w:r>
          </w:p>
        </w:tc>
        <w:tc>
          <w:tcPr>
            <w:tcW w:w="532" w:type="pct"/>
            <w:vAlign w:val="center"/>
          </w:tcPr>
          <w:p w14:paraId="1EE9916B" w14:textId="77777777" w:rsidR="00F5583D" w:rsidRPr="005649E2" w:rsidRDefault="00F5583D" w:rsidP="00F5583D">
            <w:pPr>
              <w:ind w:left="-108"/>
              <w:jc w:val="center"/>
            </w:pPr>
            <w:r w:rsidRPr="005649E2">
              <w:t>ACN</w:t>
            </w:r>
          </w:p>
          <w:p w14:paraId="017C829A" w14:textId="20E007DC" w:rsidR="00F5583D" w:rsidRPr="005649E2" w:rsidRDefault="00F5583D" w:rsidP="00F5583D">
            <w:pPr>
              <w:ind w:left="-108"/>
              <w:jc w:val="center"/>
            </w:pPr>
            <w:r>
              <w:t>Water</w:t>
            </w:r>
          </w:p>
          <w:p w14:paraId="1BFF95D5" w14:textId="20AB0CED" w:rsidR="0092350B" w:rsidRPr="005649E2" w:rsidRDefault="00F5583D" w:rsidP="00F5583D">
            <w:pPr>
              <w:ind w:left="-108"/>
              <w:jc w:val="center"/>
              <w:rPr>
                <w:szCs w:val="24"/>
                <w:lang w:val="en-GB"/>
              </w:rPr>
            </w:pPr>
            <w:r w:rsidRPr="005649E2">
              <w:t>Formic acid</w:t>
            </w:r>
          </w:p>
        </w:tc>
        <w:tc>
          <w:tcPr>
            <w:tcW w:w="610" w:type="pct"/>
            <w:vAlign w:val="center"/>
          </w:tcPr>
          <w:p w14:paraId="49A0E1EF" w14:textId="23F57E6B" w:rsidR="0092350B" w:rsidRPr="005649E2" w:rsidRDefault="0092350B" w:rsidP="00446E1D">
            <w:pPr>
              <w:ind w:left="-108"/>
              <w:jc w:val="center"/>
              <w:rPr>
                <w:szCs w:val="24"/>
                <w:lang w:val="en-GB"/>
              </w:rPr>
            </w:pPr>
            <w:r w:rsidRPr="005649E2">
              <w:rPr>
                <w:sz w:val="24"/>
                <w:szCs w:val="24"/>
                <w:lang w:val="en-GB"/>
              </w:rPr>
              <w:t>n.d.</w:t>
            </w:r>
          </w:p>
        </w:tc>
        <w:tc>
          <w:tcPr>
            <w:tcW w:w="719" w:type="pct"/>
            <w:vAlign w:val="center"/>
          </w:tcPr>
          <w:p w14:paraId="2E3990A7" w14:textId="667CADCC" w:rsidR="0092350B" w:rsidRPr="005649E2" w:rsidRDefault="0092350B" w:rsidP="00446E1D">
            <w:pPr>
              <w:ind w:left="-108"/>
              <w:jc w:val="center"/>
              <w:rPr>
                <w:sz w:val="24"/>
                <w:szCs w:val="24"/>
                <w:lang w:val="en-GB"/>
              </w:rPr>
            </w:pPr>
            <w:r w:rsidRPr="005649E2">
              <w:rPr>
                <w:sz w:val="24"/>
                <w:szCs w:val="24"/>
                <w:lang w:val="en-GB"/>
              </w:rPr>
              <w:t>---</w:t>
            </w:r>
          </w:p>
        </w:tc>
        <w:tc>
          <w:tcPr>
            <w:tcW w:w="502" w:type="pct"/>
            <w:vAlign w:val="center"/>
          </w:tcPr>
          <w:p w14:paraId="716F305B" w14:textId="77777777" w:rsidR="0092350B" w:rsidRPr="005649E2" w:rsidRDefault="0092350B" w:rsidP="00446E1D">
            <w:pPr>
              <w:ind w:left="-108" w:right="-107"/>
              <w:jc w:val="center"/>
              <w:rPr>
                <w:sz w:val="24"/>
                <w:szCs w:val="24"/>
                <w:lang w:val="en-GB"/>
              </w:rPr>
            </w:pPr>
            <w:r w:rsidRPr="005649E2">
              <w:rPr>
                <w:sz w:val="24"/>
                <w:szCs w:val="24"/>
                <w:lang w:val="en-GB"/>
              </w:rPr>
              <w:t>LC-MS/MS</w:t>
            </w:r>
          </w:p>
        </w:tc>
        <w:tc>
          <w:tcPr>
            <w:tcW w:w="880" w:type="pct"/>
            <w:vAlign w:val="center"/>
          </w:tcPr>
          <w:p w14:paraId="5B62C929" w14:textId="77777777" w:rsidR="0092350B" w:rsidRPr="005649E2" w:rsidRDefault="0092350B" w:rsidP="00446E1D">
            <w:pPr>
              <w:ind w:left="-108" w:right="-48"/>
              <w:jc w:val="center"/>
              <w:rPr>
                <w:sz w:val="24"/>
                <w:szCs w:val="24"/>
                <w:lang w:val="en-GB"/>
              </w:rPr>
            </w:pPr>
            <w:r w:rsidRPr="005649E2">
              <w:rPr>
                <w:sz w:val="24"/>
                <w:szCs w:val="24"/>
                <w:lang w:val="en-GB"/>
              </w:rPr>
              <w:t>AOH: 112.0</w:t>
            </w:r>
          </w:p>
          <w:p w14:paraId="77CC1DBB" w14:textId="77777777" w:rsidR="0092350B" w:rsidRPr="005649E2" w:rsidRDefault="0092350B" w:rsidP="00446E1D">
            <w:pPr>
              <w:ind w:left="-108" w:right="-48"/>
              <w:jc w:val="center"/>
              <w:rPr>
                <w:sz w:val="24"/>
                <w:szCs w:val="24"/>
                <w:lang w:val="en-GB"/>
              </w:rPr>
            </w:pPr>
            <w:r w:rsidRPr="005649E2">
              <w:rPr>
                <w:sz w:val="24"/>
                <w:szCs w:val="24"/>
                <w:lang w:val="en-GB"/>
              </w:rPr>
              <w:t>AME: 101.0</w:t>
            </w:r>
          </w:p>
        </w:tc>
        <w:tc>
          <w:tcPr>
            <w:tcW w:w="676" w:type="pct"/>
            <w:vAlign w:val="center"/>
          </w:tcPr>
          <w:p w14:paraId="1741015F" w14:textId="3BA701B5" w:rsidR="005649E2" w:rsidRPr="00944C07" w:rsidRDefault="005649E2" w:rsidP="005649E2">
            <w:pPr>
              <w:jc w:val="center"/>
              <w:rPr>
                <w:szCs w:val="24"/>
                <w:lang w:val="en-GB"/>
              </w:rPr>
            </w:pPr>
            <w:r w:rsidRPr="00944C07">
              <w:rPr>
                <w:szCs w:val="24"/>
                <w:lang w:val="en-GB"/>
              </w:rPr>
              <w:t xml:space="preserve">AOH: </w:t>
            </w:r>
            <w:r w:rsidR="00F5583D">
              <w:rPr>
                <w:szCs w:val="24"/>
                <w:lang w:val="en-GB"/>
              </w:rPr>
              <w:t>0.7</w:t>
            </w:r>
          </w:p>
          <w:p w14:paraId="30E72FE6" w14:textId="2872ABBB" w:rsidR="0092350B" w:rsidRPr="005649E2" w:rsidRDefault="005649E2" w:rsidP="0092350B">
            <w:pPr>
              <w:jc w:val="center"/>
              <w:rPr>
                <w:szCs w:val="24"/>
                <w:lang w:val="en-GB"/>
              </w:rPr>
            </w:pPr>
            <w:r w:rsidRPr="00944C07">
              <w:rPr>
                <w:szCs w:val="24"/>
                <w:lang w:val="en-GB"/>
              </w:rPr>
              <w:t>AME:</w:t>
            </w:r>
            <w:r w:rsidR="00F5583D">
              <w:rPr>
                <w:szCs w:val="24"/>
                <w:lang w:val="en-GB"/>
              </w:rPr>
              <w:t xml:space="preserve"> 0.3</w:t>
            </w:r>
          </w:p>
        </w:tc>
        <w:tc>
          <w:tcPr>
            <w:tcW w:w="528" w:type="pct"/>
            <w:vAlign w:val="center"/>
          </w:tcPr>
          <w:p w14:paraId="6C9D8817" w14:textId="55CCE7D8" w:rsidR="0092350B" w:rsidRPr="005649E2" w:rsidRDefault="0092350B" w:rsidP="00446E1D">
            <w:pPr>
              <w:jc w:val="center"/>
              <w:rPr>
                <w:sz w:val="24"/>
                <w:szCs w:val="24"/>
                <w:lang w:val="en-GB"/>
              </w:rPr>
            </w:pPr>
            <w:r w:rsidRPr="005649E2">
              <w:rPr>
                <w:szCs w:val="24"/>
                <w:lang w:val="en-GB"/>
              </w:rPr>
              <w:fldChar w:fldCharType="begin"/>
            </w:r>
            <w:r w:rsidRPr="005649E2">
              <w:rPr>
                <w:sz w:val="24"/>
                <w:szCs w:val="24"/>
                <w:lang w:val="en-GB"/>
              </w:rPr>
              <w:instrText xml:space="preserve"> ADDIN EN.CITE &lt;EndNote&gt;&lt;Cite&gt;&lt;Author&gt;López&lt;/Author&gt;&lt;Year&gt;2016&lt;/Year&gt;&lt;RecNum&gt;68&lt;/RecNum&gt;&lt;DisplayText&gt;(López et al. 2016)&lt;/DisplayText&gt;&lt;record&gt;&lt;rec-number&gt;68&lt;/rec-number&gt;&lt;foreign-keys&gt;&lt;key app="EN" db-id="z5ax5apa7sppfyer05cpra0e2sw2f9rraft2" timestamp="1475751649"&gt;68&lt;/key&gt;&lt;/foreign-keys&gt;&lt;ref-type name="Journal Article"&gt;17&lt;/ref-type&gt;&lt;contributors&gt;&lt;authors&gt;&lt;author&gt;López, Patricia&lt;/author&gt;&lt;author&gt;Venema, Dini&lt;/author&gt;&lt;author&gt;de Rijk, Theo&lt;/author&gt;&lt;author&gt;de Kok, André&lt;/author&gt;&lt;author&gt;Scholten, Jos M.&lt;/author&gt;&lt;author&gt;Mol, Hans G. J.&lt;/author&gt;&lt;author&gt;de Nijs, Monique&lt;/author&gt;&lt;/authors&gt;&lt;/contributors&gt;&lt;titles&gt;&lt;title&gt;Occurrence of Alternaria toxins in food products in The Netherlands&lt;/title&gt;&lt;secondary-title&gt;Food Control&lt;/secondary-title&gt;&lt;/titles&gt;&lt;periodical&gt;&lt;full-title&gt;Food Control&lt;/full-title&gt;&lt;/periodical&gt;&lt;pages&gt;196-204&lt;/pages&gt;&lt;volume&gt;60&lt;/volume&gt;&lt;keywords&gt;&lt;keyword&gt;Liquid chromatography tandem mass-spectrometry&lt;/keyword&gt;&lt;keyword&gt;Mycotoxins&lt;/keyword&gt;&lt;keyword&gt;Alternaria toxins&lt;/keyword&gt;&lt;keyword&gt;Occurrence&lt;/keyword&gt;&lt;keyword&gt;Processed food&lt;/keyword&gt;&lt;/keywords&gt;&lt;dates&gt;&lt;year&gt;2016&lt;/year&gt;&lt;pub-dates&gt;&lt;date&gt;2//&lt;/date&gt;&lt;/pub-dates&gt;&lt;/dates&gt;&lt;isbn&gt;0956-7135&lt;/isbn&gt;&lt;urls&gt;&lt;related-urls&gt;&lt;url&gt;http://www.sciencedirect.com/science/article/pii/S0956713515301201&lt;/url&gt;&lt;/related-urls&gt;&lt;/urls&gt;&lt;electronic-resource-num&gt;http://dx.doi.org/10.1016/j.foodcont.2015.07.032&lt;/electronic-resource-num&gt;&lt;/record&gt;&lt;/Cite&gt;&lt;/EndNote&gt;</w:instrText>
            </w:r>
            <w:r w:rsidRPr="005649E2">
              <w:rPr>
                <w:szCs w:val="24"/>
                <w:lang w:val="en-GB"/>
              </w:rPr>
              <w:fldChar w:fldCharType="separate"/>
            </w:r>
            <w:r w:rsidRPr="005649E2">
              <w:rPr>
                <w:noProof/>
                <w:sz w:val="24"/>
                <w:szCs w:val="24"/>
                <w:lang w:val="en-GB"/>
              </w:rPr>
              <w:t>(López et al. 2016)</w:t>
            </w:r>
            <w:r w:rsidRPr="005649E2">
              <w:rPr>
                <w:szCs w:val="24"/>
                <w:lang w:val="en-GB"/>
              </w:rPr>
              <w:fldChar w:fldCharType="end"/>
            </w:r>
          </w:p>
        </w:tc>
      </w:tr>
      <w:tr w:rsidR="005649E2" w:rsidRPr="005649E2" w14:paraId="176BA9F8" w14:textId="77777777" w:rsidTr="005649E2">
        <w:trPr>
          <w:trHeight w:val="680"/>
          <w:jc w:val="center"/>
        </w:trPr>
        <w:tc>
          <w:tcPr>
            <w:tcW w:w="553" w:type="pct"/>
            <w:vAlign w:val="center"/>
          </w:tcPr>
          <w:p w14:paraId="6331360F" w14:textId="77777777" w:rsidR="0092350B" w:rsidRPr="005649E2" w:rsidRDefault="0092350B" w:rsidP="00446E1D">
            <w:pPr>
              <w:ind w:left="-108"/>
              <w:jc w:val="center"/>
              <w:rPr>
                <w:sz w:val="24"/>
                <w:szCs w:val="24"/>
                <w:lang w:val="en-GB"/>
              </w:rPr>
            </w:pPr>
            <w:r w:rsidRPr="005649E2">
              <w:rPr>
                <w:sz w:val="24"/>
                <w:szCs w:val="24"/>
                <w:lang w:val="en-GB"/>
              </w:rPr>
              <w:t>QuEChERS</w:t>
            </w:r>
          </w:p>
        </w:tc>
        <w:tc>
          <w:tcPr>
            <w:tcW w:w="532" w:type="pct"/>
            <w:vAlign w:val="center"/>
          </w:tcPr>
          <w:p w14:paraId="522BF078" w14:textId="77777777" w:rsidR="0092350B" w:rsidRDefault="00F5583D" w:rsidP="00446E1D">
            <w:pPr>
              <w:ind w:left="-108"/>
              <w:jc w:val="center"/>
              <w:rPr>
                <w:szCs w:val="24"/>
                <w:lang w:val="en-GB"/>
              </w:rPr>
            </w:pPr>
            <w:r>
              <w:rPr>
                <w:szCs w:val="24"/>
                <w:lang w:val="en-GB"/>
              </w:rPr>
              <w:t>ACN</w:t>
            </w:r>
          </w:p>
          <w:p w14:paraId="71982553" w14:textId="44CE4930" w:rsidR="00F5583D" w:rsidRPr="005649E2" w:rsidRDefault="00F5583D" w:rsidP="00446E1D">
            <w:pPr>
              <w:ind w:left="-108"/>
              <w:jc w:val="center"/>
              <w:rPr>
                <w:szCs w:val="24"/>
                <w:lang w:val="en-GB"/>
              </w:rPr>
            </w:pPr>
            <w:r>
              <w:rPr>
                <w:szCs w:val="24"/>
                <w:lang w:val="en-GB"/>
              </w:rPr>
              <w:t>Water</w:t>
            </w:r>
          </w:p>
        </w:tc>
        <w:tc>
          <w:tcPr>
            <w:tcW w:w="610" w:type="pct"/>
            <w:vAlign w:val="center"/>
          </w:tcPr>
          <w:p w14:paraId="29AE943C" w14:textId="3723C061" w:rsidR="0092350B" w:rsidRPr="005649E2" w:rsidRDefault="0092350B" w:rsidP="00446E1D">
            <w:pPr>
              <w:ind w:left="-108"/>
              <w:jc w:val="center"/>
              <w:rPr>
                <w:szCs w:val="24"/>
                <w:lang w:val="en-GB"/>
              </w:rPr>
            </w:pPr>
            <w:r w:rsidRPr="005649E2">
              <w:rPr>
                <w:sz w:val="24"/>
                <w:szCs w:val="24"/>
                <w:lang w:val="en-GB"/>
              </w:rPr>
              <w:t>59.0 – 86.0</w:t>
            </w:r>
          </w:p>
        </w:tc>
        <w:tc>
          <w:tcPr>
            <w:tcW w:w="719" w:type="pct"/>
            <w:vAlign w:val="center"/>
          </w:tcPr>
          <w:p w14:paraId="71F3C49F" w14:textId="5A601C0D" w:rsidR="0092350B" w:rsidRPr="005649E2" w:rsidRDefault="0092350B" w:rsidP="00446E1D">
            <w:pPr>
              <w:ind w:left="-108"/>
              <w:jc w:val="center"/>
              <w:rPr>
                <w:sz w:val="24"/>
                <w:szCs w:val="24"/>
                <w:lang w:val="en-GB"/>
              </w:rPr>
            </w:pPr>
            <w:r w:rsidRPr="005649E2">
              <w:rPr>
                <w:sz w:val="24"/>
                <w:szCs w:val="24"/>
                <w:lang w:val="en-GB"/>
              </w:rPr>
              <w:t>---</w:t>
            </w:r>
          </w:p>
        </w:tc>
        <w:tc>
          <w:tcPr>
            <w:tcW w:w="502" w:type="pct"/>
            <w:vAlign w:val="center"/>
          </w:tcPr>
          <w:p w14:paraId="2FCB0C89" w14:textId="77777777" w:rsidR="0092350B" w:rsidRPr="005649E2" w:rsidRDefault="0092350B" w:rsidP="00446E1D">
            <w:pPr>
              <w:ind w:left="-108" w:right="-107"/>
              <w:jc w:val="center"/>
              <w:rPr>
                <w:sz w:val="24"/>
                <w:szCs w:val="24"/>
                <w:lang w:val="en-GB"/>
              </w:rPr>
            </w:pPr>
            <w:r w:rsidRPr="005649E2">
              <w:rPr>
                <w:sz w:val="24"/>
                <w:szCs w:val="24"/>
                <w:lang w:val="en-GB"/>
              </w:rPr>
              <w:t>LC-MS/MS</w:t>
            </w:r>
          </w:p>
        </w:tc>
        <w:tc>
          <w:tcPr>
            <w:tcW w:w="880" w:type="pct"/>
            <w:vAlign w:val="center"/>
          </w:tcPr>
          <w:p w14:paraId="4C2F6423" w14:textId="77777777" w:rsidR="0092350B" w:rsidRPr="005649E2" w:rsidRDefault="0092350B" w:rsidP="00446E1D">
            <w:pPr>
              <w:ind w:left="-108" w:right="-48"/>
              <w:jc w:val="center"/>
              <w:rPr>
                <w:sz w:val="24"/>
                <w:szCs w:val="24"/>
                <w:lang w:val="en-GB"/>
              </w:rPr>
            </w:pPr>
            <w:r w:rsidRPr="005649E2">
              <w:rPr>
                <w:sz w:val="24"/>
                <w:szCs w:val="24"/>
                <w:lang w:val="en-GB"/>
              </w:rPr>
              <w:t>AOH: 90.4 – 108.4</w:t>
            </w:r>
          </w:p>
          <w:p w14:paraId="512177CB" w14:textId="77777777" w:rsidR="0092350B" w:rsidRPr="005649E2" w:rsidRDefault="0092350B" w:rsidP="00446E1D">
            <w:pPr>
              <w:ind w:left="-108" w:right="-48"/>
              <w:jc w:val="center"/>
              <w:rPr>
                <w:sz w:val="24"/>
                <w:szCs w:val="24"/>
                <w:lang w:val="en-GB"/>
              </w:rPr>
            </w:pPr>
            <w:r w:rsidRPr="005649E2">
              <w:rPr>
                <w:sz w:val="24"/>
                <w:szCs w:val="24"/>
                <w:lang w:val="en-GB"/>
              </w:rPr>
              <w:t>AME: 90.7 – 105.6</w:t>
            </w:r>
          </w:p>
        </w:tc>
        <w:tc>
          <w:tcPr>
            <w:tcW w:w="676" w:type="pct"/>
            <w:vAlign w:val="center"/>
          </w:tcPr>
          <w:p w14:paraId="58AA8DBB" w14:textId="6232E353" w:rsidR="005649E2" w:rsidRPr="00944C07" w:rsidRDefault="005649E2" w:rsidP="005649E2">
            <w:pPr>
              <w:jc w:val="center"/>
              <w:rPr>
                <w:szCs w:val="24"/>
                <w:lang w:val="en-GB"/>
              </w:rPr>
            </w:pPr>
            <w:r w:rsidRPr="00944C07">
              <w:rPr>
                <w:szCs w:val="24"/>
                <w:lang w:val="en-GB"/>
              </w:rPr>
              <w:t xml:space="preserve">AOH: </w:t>
            </w:r>
            <w:r w:rsidR="00F5583D">
              <w:rPr>
                <w:szCs w:val="24"/>
                <w:lang w:val="en-GB"/>
              </w:rPr>
              <w:t>0.3 – 1.1</w:t>
            </w:r>
          </w:p>
          <w:p w14:paraId="21871689" w14:textId="71F4BAAA" w:rsidR="0092350B" w:rsidRPr="005649E2" w:rsidRDefault="005649E2" w:rsidP="0092350B">
            <w:pPr>
              <w:jc w:val="center"/>
              <w:rPr>
                <w:szCs w:val="24"/>
                <w:lang w:val="en-GB"/>
              </w:rPr>
            </w:pPr>
            <w:r w:rsidRPr="00944C07">
              <w:rPr>
                <w:szCs w:val="24"/>
                <w:lang w:val="en-GB"/>
              </w:rPr>
              <w:t>AME:</w:t>
            </w:r>
            <w:r w:rsidR="00F5583D">
              <w:rPr>
                <w:szCs w:val="24"/>
                <w:lang w:val="en-GB"/>
              </w:rPr>
              <w:t xml:space="preserve"> 0.3 – 1.4</w:t>
            </w:r>
          </w:p>
        </w:tc>
        <w:tc>
          <w:tcPr>
            <w:tcW w:w="528" w:type="pct"/>
            <w:vAlign w:val="center"/>
          </w:tcPr>
          <w:p w14:paraId="0BFD81DD" w14:textId="302549A5" w:rsidR="0092350B" w:rsidRPr="005649E2" w:rsidRDefault="0092350B" w:rsidP="00446E1D">
            <w:pPr>
              <w:jc w:val="center"/>
              <w:rPr>
                <w:sz w:val="24"/>
                <w:szCs w:val="24"/>
                <w:lang w:val="en-GB"/>
              </w:rPr>
            </w:pPr>
            <w:r w:rsidRPr="005649E2">
              <w:rPr>
                <w:szCs w:val="24"/>
                <w:lang w:val="en-GB"/>
              </w:rPr>
              <w:fldChar w:fldCharType="begin"/>
            </w:r>
            <w:r w:rsidRPr="005649E2">
              <w:rPr>
                <w:sz w:val="24"/>
                <w:szCs w:val="24"/>
                <w:lang w:val="en-GB"/>
              </w:rPr>
              <w:instrText xml:space="preserve"> ADDIN EN.CITE &lt;EndNote&gt;&lt;Cite&gt;&lt;Author&gt;Walravens&lt;/Author&gt;&lt;Year&gt;2016&lt;/Year&gt;&lt;RecNum&gt;472&lt;/RecNum&gt;&lt;DisplayText&gt;(Walravens et al. 2016)&lt;/DisplayText&gt;&lt;record&gt;&lt;rec-number&gt;472&lt;/rec-number&gt;&lt;foreign-keys&gt;&lt;key app="EN" db-id="z5ax5apa7sppfyer05cpra0e2sw2f9rraft2" timestamp="1490966620"&gt;472&lt;/key&gt;&lt;/foreign-keys&gt;&lt;ref-type name="Journal Article"&gt;17&lt;/ref-type&gt;&lt;contributors&gt;&lt;authors&gt;&lt;author&gt;Walravens, Jeroen&lt;/author&gt;&lt;author&gt;Mikula, Hannes&lt;/author&gt;&lt;author&gt;Rychlik, Michael&lt;/author&gt;&lt;author&gt;Asam, Stefan&lt;/author&gt;&lt;author&gt;Devos, Tom&lt;/author&gt;&lt;author&gt;Njumbe Ediage, Emmanuel&lt;/author&gt;&lt;author&gt;Diana Di Mavungu, José&lt;/author&gt;&lt;author&gt;Jacxsens, Liesbeth&lt;/author&gt;&lt;author&gt;Van Landschoot, Anita&lt;/author&gt;&lt;author&gt;Vanhaecke, Lynn&lt;/author&gt;&lt;author&gt;De Saeger, Sarah&lt;/author&gt;&lt;/authors&gt;&lt;/contributors&gt;&lt;titles&gt;&lt;title&gt;Validated UPLC-MS/MS Methods To Quantitate Free and Conjugated Alternaria Toxins in Commercially Available Tomato Products and Fruit and Vegetable Juices in Belgium&lt;/title&gt;&lt;secondary-title&gt;Journal of Agricultural and Food Chemistry&lt;/secondary-title&gt;&lt;/titles&gt;&lt;periodical&gt;&lt;full-title&gt;Journal of Agricultural and Food Chemistry&lt;/full-title&gt;&lt;/periodical&gt;&lt;pages&gt;5101-5109&lt;/pages&gt;&lt;volume&gt;64&lt;/volume&gt;&lt;number&gt;24&lt;/number&gt;&lt;dates&gt;&lt;year&gt;2016&lt;/year&gt;&lt;pub-dates&gt;&lt;date&gt;2016/06/22&lt;/date&gt;&lt;/pub-dates&gt;&lt;/dates&gt;&lt;publisher&gt;American Chemical Society&lt;/publisher&gt;&lt;isbn&gt;0021-8561&lt;/isbn&gt;&lt;urls&gt;&lt;related-urls&gt;&lt;url&gt;http://dx.doi.org/10.1021/acs.jafc.6b01029&lt;/url&gt;&lt;/related-urls&gt;&lt;/urls&gt;&lt;electronic-resource-num&gt;10.1021/acs.jafc.6b01029&lt;/electronic-resource-num&gt;&lt;/record&gt;&lt;/Cite&gt;&lt;/EndNote&gt;</w:instrText>
            </w:r>
            <w:r w:rsidRPr="005649E2">
              <w:rPr>
                <w:szCs w:val="24"/>
                <w:lang w:val="en-GB"/>
              </w:rPr>
              <w:fldChar w:fldCharType="separate"/>
            </w:r>
            <w:r w:rsidRPr="005649E2">
              <w:rPr>
                <w:noProof/>
                <w:sz w:val="24"/>
                <w:szCs w:val="24"/>
                <w:lang w:val="en-GB"/>
              </w:rPr>
              <w:t>(Walravens et al. 2016)</w:t>
            </w:r>
            <w:r w:rsidRPr="005649E2">
              <w:rPr>
                <w:szCs w:val="24"/>
                <w:lang w:val="en-GB"/>
              </w:rPr>
              <w:fldChar w:fldCharType="end"/>
            </w:r>
          </w:p>
        </w:tc>
      </w:tr>
      <w:tr w:rsidR="005649E2" w:rsidRPr="005649E2" w14:paraId="1CBCF3DF" w14:textId="77777777" w:rsidTr="005649E2">
        <w:trPr>
          <w:trHeight w:val="680"/>
          <w:jc w:val="center"/>
        </w:trPr>
        <w:tc>
          <w:tcPr>
            <w:tcW w:w="553" w:type="pct"/>
            <w:vAlign w:val="center"/>
          </w:tcPr>
          <w:p w14:paraId="5A4941FA" w14:textId="77777777" w:rsidR="0092350B" w:rsidRPr="005649E2" w:rsidRDefault="0092350B" w:rsidP="00446E1D">
            <w:pPr>
              <w:ind w:left="-108"/>
              <w:jc w:val="center"/>
              <w:rPr>
                <w:sz w:val="24"/>
                <w:szCs w:val="24"/>
                <w:lang w:val="en-GB"/>
              </w:rPr>
            </w:pPr>
            <w:r w:rsidRPr="005649E2">
              <w:rPr>
                <w:sz w:val="24"/>
                <w:szCs w:val="24"/>
                <w:lang w:val="en-GB"/>
              </w:rPr>
              <w:t>SLE</w:t>
            </w:r>
          </w:p>
        </w:tc>
        <w:tc>
          <w:tcPr>
            <w:tcW w:w="532" w:type="pct"/>
            <w:vAlign w:val="center"/>
          </w:tcPr>
          <w:p w14:paraId="3EBB9CE7" w14:textId="77777777" w:rsidR="00F5583D" w:rsidRPr="005649E2" w:rsidRDefault="00F5583D" w:rsidP="00F5583D">
            <w:pPr>
              <w:ind w:left="-108"/>
              <w:jc w:val="center"/>
            </w:pPr>
            <w:r w:rsidRPr="005649E2">
              <w:t>ACN</w:t>
            </w:r>
          </w:p>
          <w:p w14:paraId="3E7F0CD4" w14:textId="77777777" w:rsidR="00F5583D" w:rsidRPr="005649E2" w:rsidRDefault="00F5583D" w:rsidP="00F5583D">
            <w:pPr>
              <w:ind w:left="-108"/>
              <w:jc w:val="center"/>
            </w:pPr>
            <w:r>
              <w:t>Water</w:t>
            </w:r>
          </w:p>
          <w:p w14:paraId="545A444C" w14:textId="2B1C02B9" w:rsidR="0092350B" w:rsidRPr="005649E2" w:rsidRDefault="00F5583D" w:rsidP="00F5583D">
            <w:pPr>
              <w:ind w:left="-108"/>
              <w:jc w:val="center"/>
              <w:rPr>
                <w:szCs w:val="24"/>
                <w:lang w:val="en-GB"/>
              </w:rPr>
            </w:pPr>
            <w:r w:rsidRPr="005649E2">
              <w:t>Formic acid</w:t>
            </w:r>
          </w:p>
        </w:tc>
        <w:tc>
          <w:tcPr>
            <w:tcW w:w="610" w:type="pct"/>
            <w:vAlign w:val="center"/>
          </w:tcPr>
          <w:p w14:paraId="3483655E" w14:textId="74DCC40E" w:rsidR="0092350B" w:rsidRPr="005649E2" w:rsidRDefault="0092350B" w:rsidP="00446E1D">
            <w:pPr>
              <w:ind w:left="-108"/>
              <w:jc w:val="center"/>
              <w:rPr>
                <w:szCs w:val="24"/>
                <w:lang w:val="en-GB"/>
              </w:rPr>
            </w:pPr>
            <w:r w:rsidRPr="005649E2">
              <w:rPr>
                <w:sz w:val="24"/>
                <w:szCs w:val="24"/>
                <w:lang w:val="en-GB"/>
              </w:rPr>
              <w:t>n.d.</w:t>
            </w:r>
          </w:p>
        </w:tc>
        <w:tc>
          <w:tcPr>
            <w:tcW w:w="719" w:type="pct"/>
            <w:vAlign w:val="center"/>
          </w:tcPr>
          <w:p w14:paraId="4774F06E" w14:textId="2D40E5DD" w:rsidR="0092350B" w:rsidRPr="005649E2" w:rsidRDefault="0092350B" w:rsidP="00446E1D">
            <w:pPr>
              <w:ind w:left="-108"/>
              <w:jc w:val="center"/>
              <w:rPr>
                <w:sz w:val="24"/>
                <w:szCs w:val="24"/>
                <w:lang w:val="en-GB"/>
              </w:rPr>
            </w:pPr>
            <w:r w:rsidRPr="005649E2">
              <w:rPr>
                <w:sz w:val="24"/>
                <w:szCs w:val="24"/>
                <w:lang w:val="en-GB"/>
              </w:rPr>
              <w:t>---</w:t>
            </w:r>
          </w:p>
        </w:tc>
        <w:tc>
          <w:tcPr>
            <w:tcW w:w="502" w:type="pct"/>
            <w:vAlign w:val="center"/>
          </w:tcPr>
          <w:p w14:paraId="6C389947" w14:textId="77777777" w:rsidR="0092350B" w:rsidRPr="005649E2" w:rsidRDefault="0092350B" w:rsidP="00446E1D">
            <w:pPr>
              <w:ind w:left="-108" w:right="-107"/>
              <w:jc w:val="center"/>
              <w:rPr>
                <w:sz w:val="24"/>
                <w:szCs w:val="24"/>
                <w:lang w:val="en-GB"/>
              </w:rPr>
            </w:pPr>
            <w:r w:rsidRPr="005649E2">
              <w:rPr>
                <w:sz w:val="24"/>
                <w:szCs w:val="24"/>
                <w:lang w:val="en-GB"/>
              </w:rPr>
              <w:t>LC-MS/MS</w:t>
            </w:r>
          </w:p>
        </w:tc>
        <w:tc>
          <w:tcPr>
            <w:tcW w:w="880" w:type="pct"/>
            <w:vAlign w:val="center"/>
          </w:tcPr>
          <w:p w14:paraId="5D747F8D" w14:textId="77777777" w:rsidR="0092350B" w:rsidRPr="005649E2" w:rsidRDefault="0092350B" w:rsidP="00446E1D">
            <w:pPr>
              <w:ind w:left="-108" w:right="-48"/>
              <w:jc w:val="center"/>
              <w:rPr>
                <w:sz w:val="24"/>
                <w:szCs w:val="24"/>
                <w:lang w:val="en-GB"/>
              </w:rPr>
            </w:pPr>
            <w:r w:rsidRPr="005649E2">
              <w:rPr>
                <w:sz w:val="24"/>
                <w:szCs w:val="24"/>
                <w:lang w:val="en-GB"/>
              </w:rPr>
              <w:t>AOH: 83.0</w:t>
            </w:r>
          </w:p>
          <w:p w14:paraId="594E3510" w14:textId="77777777" w:rsidR="0092350B" w:rsidRPr="005649E2" w:rsidRDefault="0092350B" w:rsidP="00446E1D">
            <w:pPr>
              <w:ind w:left="-108" w:right="-48"/>
              <w:jc w:val="center"/>
              <w:rPr>
                <w:sz w:val="24"/>
                <w:szCs w:val="24"/>
                <w:lang w:val="en-GB"/>
              </w:rPr>
            </w:pPr>
            <w:r w:rsidRPr="005649E2">
              <w:rPr>
                <w:sz w:val="24"/>
                <w:szCs w:val="24"/>
                <w:lang w:val="en-GB"/>
              </w:rPr>
              <w:t>AME: 75.0</w:t>
            </w:r>
          </w:p>
        </w:tc>
        <w:tc>
          <w:tcPr>
            <w:tcW w:w="676" w:type="pct"/>
            <w:vAlign w:val="center"/>
          </w:tcPr>
          <w:p w14:paraId="6E52D54F" w14:textId="2F9CC10B" w:rsidR="005649E2" w:rsidRDefault="005649E2" w:rsidP="005649E2">
            <w:pPr>
              <w:jc w:val="center"/>
              <w:rPr>
                <w:szCs w:val="24"/>
                <w:lang w:val="en-GB"/>
              </w:rPr>
            </w:pPr>
            <w:r w:rsidRPr="00944C07">
              <w:rPr>
                <w:szCs w:val="24"/>
                <w:lang w:val="en-GB"/>
              </w:rPr>
              <w:t xml:space="preserve">AOH: </w:t>
            </w:r>
            <w:r w:rsidR="00F5583D">
              <w:rPr>
                <w:szCs w:val="24"/>
                <w:lang w:val="en-GB"/>
              </w:rPr>
              <w:t>0.2 – 2.8</w:t>
            </w:r>
          </w:p>
          <w:p w14:paraId="5F2A412F" w14:textId="401C6883" w:rsidR="0092350B" w:rsidRPr="005649E2" w:rsidRDefault="005649E2" w:rsidP="0092350B">
            <w:pPr>
              <w:jc w:val="center"/>
              <w:rPr>
                <w:szCs w:val="24"/>
                <w:lang w:val="en-GB"/>
              </w:rPr>
            </w:pPr>
            <w:r w:rsidRPr="00944C07">
              <w:rPr>
                <w:szCs w:val="24"/>
                <w:lang w:val="en-GB"/>
              </w:rPr>
              <w:t>AME:</w:t>
            </w:r>
            <w:r w:rsidR="00F5583D">
              <w:rPr>
                <w:szCs w:val="24"/>
                <w:lang w:val="en-GB"/>
              </w:rPr>
              <w:t xml:space="preserve"> </w:t>
            </w:r>
            <w:r w:rsidR="00F5583D">
              <w:t>0.04 – 0.4</w:t>
            </w:r>
          </w:p>
        </w:tc>
        <w:tc>
          <w:tcPr>
            <w:tcW w:w="528" w:type="pct"/>
            <w:vAlign w:val="center"/>
          </w:tcPr>
          <w:p w14:paraId="285695C8" w14:textId="56784635" w:rsidR="0092350B" w:rsidRPr="005649E2" w:rsidRDefault="0092350B" w:rsidP="00446E1D">
            <w:pPr>
              <w:jc w:val="center"/>
              <w:rPr>
                <w:sz w:val="24"/>
                <w:szCs w:val="24"/>
                <w:lang w:val="en-GB"/>
              </w:rPr>
            </w:pPr>
            <w:r w:rsidRPr="005649E2">
              <w:rPr>
                <w:szCs w:val="24"/>
                <w:lang w:val="en-GB"/>
              </w:rPr>
              <w:fldChar w:fldCharType="begin"/>
            </w:r>
            <w:r w:rsidRPr="005649E2">
              <w:rPr>
                <w:sz w:val="24"/>
                <w:szCs w:val="24"/>
                <w:lang w:val="en-GB"/>
              </w:rPr>
              <w:instrText xml:space="preserve"> ADDIN EN.CITE &lt;EndNote&gt;&lt;Cite&gt;&lt;Author&gt;Hickert&lt;/Author&gt;&lt;Year&gt;2016&lt;/Year&gt;&lt;RecNum&gt;102&lt;/RecNum&gt;&lt;DisplayText&gt;(Hickert et al. 2016)&lt;/DisplayText&gt;&lt;record&gt;&lt;rec-number&gt;102&lt;/rec-number&gt;&lt;foreign-keys&gt;&lt;key app="EN" db-id="z5ax5apa7sppfyer05cpra0e2sw2f9rraft2" timestamp="1475759189"&gt;102&lt;/key&gt;&lt;/foreign-keys&gt;&lt;ref-type name="Journal Article"&gt;17&lt;/ref-type&gt;&lt;contributors&gt;&lt;authors&gt;&lt;author&gt;Hickert, Sebastian&lt;/author&gt;&lt;author&gt;Bergmann, Marian&lt;/author&gt;&lt;author&gt;Ersen, Seyma&lt;/author&gt;&lt;author&gt;Cramer, Benedikt&lt;/author&gt;&lt;author&gt;Humpf, Hans-Ulrich&lt;/author&gt;&lt;/authors&gt;&lt;/contributors&gt;&lt;titles&gt;&lt;title&gt;Survey of Alternaria toxin contamination in food from the German market, using a rapid HPLC-MS/MS approach&lt;/title&gt;&lt;secondary-title&gt;Mycotoxin Research&lt;/secondary-title&gt;&lt;/titles&gt;&lt;periodical&gt;&lt;full-title&gt;Mycotoxin Research&lt;/full-title&gt;&lt;/periodical&gt;&lt;pages&gt;7-18&lt;/pages&gt;&lt;volume&gt;32&lt;/volume&gt;&lt;number&gt;1&lt;/number&gt;&lt;dates&gt;&lt;year&gt;2016&lt;/year&gt;&lt;/dates&gt;&lt;isbn&gt;1867-1632&lt;/isbn&gt;&lt;label&gt;Hickert2016&lt;/label&gt;&lt;work-type&gt;journal article&lt;/work-type&gt;&lt;urls&gt;&lt;related-urls&gt;&lt;url&gt;http://dx.doi.org/10.1007/s12550-015-0233-7&lt;/url&gt;&lt;/related-urls&gt;&lt;/urls&gt;&lt;electronic-resource-num&gt;https://doi.org/10.1007/s12550-015-0233-7&lt;/electronic-resource-num&gt;&lt;/record&gt;&lt;/Cite&gt;&lt;/EndNote&gt;</w:instrText>
            </w:r>
            <w:r w:rsidRPr="005649E2">
              <w:rPr>
                <w:szCs w:val="24"/>
                <w:lang w:val="en-GB"/>
              </w:rPr>
              <w:fldChar w:fldCharType="separate"/>
            </w:r>
            <w:r w:rsidRPr="005649E2">
              <w:rPr>
                <w:noProof/>
                <w:sz w:val="24"/>
                <w:szCs w:val="24"/>
                <w:lang w:val="en-GB"/>
              </w:rPr>
              <w:t>(Hickert et al. 2016)</w:t>
            </w:r>
            <w:r w:rsidRPr="005649E2">
              <w:rPr>
                <w:szCs w:val="24"/>
                <w:lang w:val="en-GB"/>
              </w:rPr>
              <w:fldChar w:fldCharType="end"/>
            </w:r>
          </w:p>
        </w:tc>
      </w:tr>
      <w:tr w:rsidR="005649E2" w:rsidRPr="0099301A" w14:paraId="21AD7409" w14:textId="77777777" w:rsidTr="005649E2">
        <w:trPr>
          <w:trHeight w:val="680"/>
          <w:jc w:val="center"/>
        </w:trPr>
        <w:tc>
          <w:tcPr>
            <w:tcW w:w="553" w:type="pct"/>
            <w:tcBorders>
              <w:bottom w:val="single" w:sz="4" w:space="0" w:color="auto"/>
            </w:tcBorders>
            <w:vAlign w:val="center"/>
          </w:tcPr>
          <w:p w14:paraId="3415900B" w14:textId="77777777" w:rsidR="0092350B" w:rsidRPr="005649E2" w:rsidRDefault="0092350B" w:rsidP="00446E1D">
            <w:pPr>
              <w:ind w:left="-108"/>
              <w:jc w:val="center"/>
              <w:rPr>
                <w:sz w:val="24"/>
                <w:szCs w:val="24"/>
                <w:lang w:val="en-GB"/>
              </w:rPr>
            </w:pPr>
            <w:r w:rsidRPr="005649E2">
              <w:rPr>
                <w:sz w:val="24"/>
                <w:szCs w:val="24"/>
                <w:lang w:val="en-GB"/>
              </w:rPr>
              <w:t>PLE</w:t>
            </w:r>
          </w:p>
        </w:tc>
        <w:tc>
          <w:tcPr>
            <w:tcW w:w="532" w:type="pct"/>
            <w:tcBorders>
              <w:bottom w:val="single" w:sz="4" w:space="0" w:color="auto"/>
            </w:tcBorders>
            <w:vAlign w:val="center"/>
          </w:tcPr>
          <w:p w14:paraId="5FA4DC94" w14:textId="77777777" w:rsidR="0092350B" w:rsidRDefault="00F5583D" w:rsidP="00446E1D">
            <w:pPr>
              <w:ind w:left="-108"/>
              <w:jc w:val="center"/>
              <w:rPr>
                <w:szCs w:val="24"/>
                <w:lang w:val="en-GB"/>
              </w:rPr>
            </w:pPr>
            <w:r>
              <w:rPr>
                <w:szCs w:val="24"/>
                <w:lang w:val="en-GB"/>
              </w:rPr>
              <w:t>PB</w:t>
            </w:r>
          </w:p>
          <w:p w14:paraId="27021AF8" w14:textId="4EEA0B13" w:rsidR="00F5583D" w:rsidRPr="005649E2" w:rsidRDefault="00F5583D" w:rsidP="00F5583D">
            <w:pPr>
              <w:ind w:left="-108"/>
              <w:jc w:val="center"/>
              <w:rPr>
                <w:szCs w:val="24"/>
                <w:lang w:val="en-GB"/>
              </w:rPr>
            </w:pPr>
            <w:r>
              <w:rPr>
                <w:szCs w:val="24"/>
                <w:lang w:val="en-GB"/>
              </w:rPr>
              <w:t>MeOH</w:t>
            </w:r>
          </w:p>
        </w:tc>
        <w:tc>
          <w:tcPr>
            <w:tcW w:w="610" w:type="pct"/>
            <w:tcBorders>
              <w:bottom w:val="single" w:sz="4" w:space="0" w:color="auto"/>
            </w:tcBorders>
            <w:vAlign w:val="center"/>
          </w:tcPr>
          <w:p w14:paraId="7CA89CE4" w14:textId="25FAF127" w:rsidR="0092350B" w:rsidRPr="005649E2" w:rsidRDefault="0092350B" w:rsidP="00446E1D">
            <w:pPr>
              <w:ind w:left="-108"/>
              <w:jc w:val="center"/>
              <w:rPr>
                <w:sz w:val="24"/>
                <w:szCs w:val="24"/>
                <w:lang w:val="en-GB"/>
              </w:rPr>
            </w:pPr>
            <w:r w:rsidRPr="005649E2">
              <w:rPr>
                <w:sz w:val="24"/>
                <w:szCs w:val="24"/>
                <w:lang w:val="en-GB"/>
              </w:rPr>
              <w:t>AOH: 96.9</w:t>
            </w:r>
          </w:p>
          <w:p w14:paraId="0B9B36CD" w14:textId="6B97D5AE" w:rsidR="0092350B" w:rsidRPr="005649E2" w:rsidRDefault="0092350B" w:rsidP="00446E1D">
            <w:pPr>
              <w:ind w:left="-108"/>
              <w:jc w:val="center"/>
              <w:rPr>
                <w:szCs w:val="24"/>
                <w:lang w:val="en-GB"/>
              </w:rPr>
            </w:pPr>
            <w:r w:rsidRPr="005649E2">
              <w:rPr>
                <w:sz w:val="24"/>
                <w:szCs w:val="24"/>
                <w:lang w:val="en-GB"/>
              </w:rPr>
              <w:t>AME: 90.2</w:t>
            </w:r>
          </w:p>
        </w:tc>
        <w:tc>
          <w:tcPr>
            <w:tcW w:w="719" w:type="pct"/>
            <w:tcBorders>
              <w:bottom w:val="single" w:sz="4" w:space="0" w:color="auto"/>
            </w:tcBorders>
            <w:vAlign w:val="center"/>
          </w:tcPr>
          <w:p w14:paraId="3A43C618" w14:textId="2FD4A3C3" w:rsidR="0092350B" w:rsidRPr="005649E2" w:rsidRDefault="0092350B" w:rsidP="00446E1D">
            <w:pPr>
              <w:ind w:left="-108"/>
              <w:jc w:val="center"/>
              <w:rPr>
                <w:sz w:val="24"/>
                <w:szCs w:val="24"/>
                <w:lang w:val="en-GB"/>
              </w:rPr>
            </w:pPr>
            <w:r w:rsidRPr="005649E2">
              <w:rPr>
                <w:sz w:val="24"/>
                <w:szCs w:val="24"/>
                <w:lang w:val="en-GB"/>
              </w:rPr>
              <w:t>MISPE</w:t>
            </w:r>
          </w:p>
        </w:tc>
        <w:tc>
          <w:tcPr>
            <w:tcW w:w="502" w:type="pct"/>
            <w:tcBorders>
              <w:bottom w:val="single" w:sz="4" w:space="0" w:color="auto"/>
            </w:tcBorders>
            <w:vAlign w:val="center"/>
          </w:tcPr>
          <w:p w14:paraId="5513673A" w14:textId="77777777" w:rsidR="0092350B" w:rsidRPr="005649E2" w:rsidRDefault="0092350B" w:rsidP="00446E1D">
            <w:pPr>
              <w:ind w:left="-108" w:right="-107"/>
              <w:jc w:val="center"/>
              <w:rPr>
                <w:sz w:val="24"/>
                <w:szCs w:val="24"/>
                <w:lang w:val="en-GB"/>
              </w:rPr>
            </w:pPr>
            <w:r w:rsidRPr="005649E2">
              <w:rPr>
                <w:sz w:val="24"/>
                <w:szCs w:val="24"/>
                <w:lang w:val="en-GB"/>
              </w:rPr>
              <w:t>HPLC-FLD</w:t>
            </w:r>
          </w:p>
        </w:tc>
        <w:tc>
          <w:tcPr>
            <w:tcW w:w="880" w:type="pct"/>
            <w:tcBorders>
              <w:bottom w:val="single" w:sz="4" w:space="0" w:color="auto"/>
            </w:tcBorders>
            <w:vAlign w:val="center"/>
          </w:tcPr>
          <w:p w14:paraId="1262B871" w14:textId="77777777" w:rsidR="0092350B" w:rsidRPr="005649E2" w:rsidRDefault="0092350B" w:rsidP="00446E1D">
            <w:pPr>
              <w:ind w:left="-108" w:right="-48"/>
              <w:jc w:val="center"/>
              <w:rPr>
                <w:sz w:val="24"/>
                <w:szCs w:val="24"/>
                <w:lang w:val="en-GB"/>
              </w:rPr>
            </w:pPr>
            <w:r w:rsidRPr="005649E2">
              <w:rPr>
                <w:sz w:val="24"/>
                <w:szCs w:val="24"/>
                <w:lang w:val="en-GB"/>
              </w:rPr>
              <w:t>AOH: 84.0 – 97.0</w:t>
            </w:r>
          </w:p>
          <w:p w14:paraId="704A8C48" w14:textId="77777777" w:rsidR="0092350B" w:rsidRPr="005649E2" w:rsidRDefault="0092350B" w:rsidP="00446E1D">
            <w:pPr>
              <w:ind w:left="-108" w:right="-48"/>
              <w:jc w:val="center"/>
              <w:rPr>
                <w:sz w:val="24"/>
                <w:szCs w:val="24"/>
                <w:lang w:val="en-GB"/>
              </w:rPr>
            </w:pPr>
            <w:r w:rsidRPr="005649E2">
              <w:rPr>
                <w:sz w:val="24"/>
                <w:szCs w:val="24"/>
                <w:lang w:val="en-GB"/>
              </w:rPr>
              <w:t>AME: 67.0 – 91.0</w:t>
            </w:r>
          </w:p>
        </w:tc>
        <w:tc>
          <w:tcPr>
            <w:tcW w:w="676" w:type="pct"/>
            <w:tcBorders>
              <w:bottom w:val="single" w:sz="4" w:space="0" w:color="auto"/>
            </w:tcBorders>
            <w:vAlign w:val="center"/>
          </w:tcPr>
          <w:p w14:paraId="002E2139" w14:textId="77777777" w:rsidR="005649E2" w:rsidRPr="00944C07" w:rsidRDefault="005649E2" w:rsidP="005649E2">
            <w:pPr>
              <w:jc w:val="center"/>
              <w:rPr>
                <w:szCs w:val="24"/>
                <w:lang w:val="en-GB"/>
              </w:rPr>
            </w:pPr>
            <w:r w:rsidRPr="00944C07">
              <w:rPr>
                <w:szCs w:val="24"/>
                <w:lang w:val="en-GB"/>
              </w:rPr>
              <w:t>AOH: 7</w:t>
            </w:r>
          </w:p>
          <w:p w14:paraId="50BEC4E9" w14:textId="314D05A2" w:rsidR="0092350B" w:rsidRPr="005649E2" w:rsidRDefault="005649E2" w:rsidP="0092350B">
            <w:pPr>
              <w:jc w:val="center"/>
              <w:rPr>
                <w:szCs w:val="24"/>
                <w:lang w:val="en-GB"/>
              </w:rPr>
            </w:pPr>
            <w:r w:rsidRPr="00944C07">
              <w:rPr>
                <w:szCs w:val="24"/>
                <w:lang w:val="en-GB"/>
              </w:rPr>
              <w:t>AME: 12</w:t>
            </w:r>
          </w:p>
        </w:tc>
        <w:tc>
          <w:tcPr>
            <w:tcW w:w="528" w:type="pct"/>
            <w:tcBorders>
              <w:bottom w:val="single" w:sz="4" w:space="0" w:color="auto"/>
            </w:tcBorders>
            <w:vAlign w:val="center"/>
          </w:tcPr>
          <w:p w14:paraId="76F4A010" w14:textId="7313916C" w:rsidR="0092350B" w:rsidRPr="0099301A" w:rsidRDefault="0092350B" w:rsidP="00446E1D">
            <w:pPr>
              <w:jc w:val="center"/>
              <w:rPr>
                <w:i/>
                <w:sz w:val="24"/>
                <w:szCs w:val="24"/>
                <w:lang w:val="en-GB"/>
              </w:rPr>
            </w:pPr>
            <w:r w:rsidRPr="005649E2">
              <w:rPr>
                <w:sz w:val="24"/>
                <w:szCs w:val="24"/>
                <w:lang w:val="en-GB"/>
              </w:rPr>
              <w:t>This work</w:t>
            </w:r>
          </w:p>
        </w:tc>
      </w:tr>
    </w:tbl>
    <w:p w14:paraId="11FF5421" w14:textId="2A139497" w:rsidR="00DC2E35" w:rsidRDefault="00DC2E35">
      <w:pPr>
        <w:widowControl/>
        <w:jc w:val="left"/>
      </w:pPr>
      <w:r>
        <w:rPr>
          <w:sz w:val="20"/>
          <w:lang w:val="en-GB"/>
        </w:rPr>
        <w:t>n.d.: not determined</w:t>
      </w:r>
      <w:r w:rsidR="00446E1D">
        <w:rPr>
          <w:sz w:val="20"/>
          <w:lang w:val="en-GB"/>
        </w:rPr>
        <w:t xml:space="preserve">. </w:t>
      </w:r>
      <w:r w:rsidRPr="00DC2E35">
        <w:rPr>
          <w:sz w:val="20"/>
        </w:rPr>
        <w:t xml:space="preserve">LLE: Liquid-liquid </w:t>
      </w:r>
      <w:r w:rsidR="0099301A" w:rsidRPr="00DC2E35">
        <w:rPr>
          <w:sz w:val="20"/>
        </w:rPr>
        <w:t>extraction</w:t>
      </w:r>
      <w:r w:rsidRPr="00DC2E35">
        <w:rPr>
          <w:sz w:val="20"/>
        </w:rPr>
        <w:t xml:space="preserve">; SLE: Solid-liquid extraction; UAE: Ultrasound assisted extraction; PLE: Pressurized liquid extraction; SPE: Solid phase extraction; MISPE: Molecularly imprinted solid phase extraction; </w:t>
      </w:r>
      <w:r w:rsidR="005649E2">
        <w:rPr>
          <w:sz w:val="20"/>
        </w:rPr>
        <w:t>HAc: Acetic acid</w:t>
      </w:r>
      <w:r w:rsidR="005F7F0D">
        <w:rPr>
          <w:sz w:val="20"/>
        </w:rPr>
        <w:t xml:space="preserve">; </w:t>
      </w:r>
      <w:r w:rsidRPr="00DC2E35">
        <w:rPr>
          <w:sz w:val="20"/>
        </w:rPr>
        <w:t>DNPH: 2,4-Dinitrophenylhydrazine</w:t>
      </w:r>
      <w:r w:rsidR="00F5583D">
        <w:rPr>
          <w:sz w:val="20"/>
        </w:rPr>
        <w:t>; PBS: Phosphate buffer saline; PB: Phosphate buffer.</w:t>
      </w:r>
    </w:p>
    <w:p w14:paraId="0B4B32E9" w14:textId="77777777" w:rsidR="00DC2E35" w:rsidRDefault="00DC2E35">
      <w:pPr>
        <w:widowControl/>
        <w:jc w:val="left"/>
        <w:sectPr w:rsidR="00DC2E35" w:rsidSect="00DC2E35">
          <w:pgSz w:w="16838" w:h="11906" w:orient="landscape"/>
          <w:pgMar w:top="1418" w:right="1418" w:bottom="1418" w:left="1418" w:header="709" w:footer="709" w:gutter="0"/>
          <w:cols w:space="708"/>
          <w:docGrid w:linePitch="360"/>
        </w:sectPr>
      </w:pPr>
    </w:p>
    <w:p w14:paraId="5EECBB9B" w14:textId="77777777" w:rsidR="00845B1F" w:rsidRDefault="00845B1F">
      <w:pPr>
        <w:widowControl/>
        <w:jc w:val="left"/>
      </w:pPr>
    </w:p>
    <w:p w14:paraId="3AE61488" w14:textId="77777777" w:rsidR="00845B1F" w:rsidRPr="00B14B6B" w:rsidRDefault="00845B1F" w:rsidP="00845B1F">
      <w:pPr>
        <w:keepNext/>
        <w:jc w:val="center"/>
      </w:pPr>
      <w:r w:rsidRPr="00B14B6B">
        <w:rPr>
          <w:noProof/>
          <w:lang w:val="es-ES" w:eastAsia="es-ES"/>
        </w:rPr>
        <w:drawing>
          <wp:inline distT="0" distB="0" distL="0" distR="0" wp14:anchorId="453463F4" wp14:editId="05EB66A7">
            <wp:extent cx="3714749" cy="26003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5672" cy="2600971"/>
                    </a:xfrm>
                    <a:prstGeom prst="rect">
                      <a:avLst/>
                    </a:prstGeom>
                    <a:noFill/>
                    <a:ln>
                      <a:noFill/>
                    </a:ln>
                  </pic:spPr>
                </pic:pic>
              </a:graphicData>
            </a:graphic>
          </wp:inline>
        </w:drawing>
      </w:r>
    </w:p>
    <w:p w14:paraId="27AE7C7A" w14:textId="77777777" w:rsidR="00DC2E35" w:rsidRDefault="00845B1F" w:rsidP="0048007D">
      <w:pPr>
        <w:pStyle w:val="Tabletitle"/>
      </w:pPr>
      <w:bookmarkStart w:id="3" w:name="_Ref412806561"/>
      <w:r w:rsidRPr="0048007D">
        <w:t>Fig</w:t>
      </w:r>
      <w:r w:rsidR="0048007D">
        <w:t>ure</w:t>
      </w:r>
      <w:r w:rsidRPr="0048007D">
        <w:t xml:space="preserve"> S</w:t>
      </w:r>
      <w:r w:rsidR="00AE0B1B" w:rsidRPr="0048007D">
        <w:fldChar w:fldCharType="begin"/>
      </w:r>
      <w:r w:rsidRPr="0048007D">
        <w:instrText xml:space="preserve"> SEQ Figure \* ARABIC </w:instrText>
      </w:r>
      <w:r w:rsidR="00AE0B1B" w:rsidRPr="0048007D">
        <w:fldChar w:fldCharType="separate"/>
      </w:r>
      <w:r w:rsidRPr="0048007D">
        <w:t>1</w:t>
      </w:r>
      <w:r w:rsidR="00AE0B1B" w:rsidRPr="0048007D">
        <w:fldChar w:fldCharType="end"/>
      </w:r>
      <w:bookmarkEnd w:id="3"/>
      <w:r w:rsidR="00C613F0" w:rsidRPr="0048007D">
        <w:t>.</w:t>
      </w:r>
      <w:r w:rsidRPr="0048007D">
        <w:t xml:space="preserve"> Representative HPLC-FLD chromatograms of</w:t>
      </w:r>
      <w:r w:rsidR="00323CBF" w:rsidRPr="0048007D">
        <w:t>:</w:t>
      </w:r>
      <w:r w:rsidRPr="0048007D">
        <w:t xml:space="preserve"> (a) an extract of blank tomato; (b) an extract of blank tomato spiked with 125 µg·kg</w:t>
      </w:r>
      <w:r w:rsidRPr="0048007D">
        <w:rPr>
          <w:vertAlign w:val="superscript"/>
        </w:rPr>
        <w:t>-1</w:t>
      </w:r>
      <w:r w:rsidRPr="0048007D">
        <w:t xml:space="preserve"> of AOH (1) and 150 µg·kg</w:t>
      </w:r>
      <w:r w:rsidRPr="0048007D">
        <w:rPr>
          <w:vertAlign w:val="superscript"/>
        </w:rPr>
        <w:t>-1</w:t>
      </w:r>
      <w:r w:rsidRPr="0048007D">
        <w:t xml:space="preserve"> AME (2). Chromatographic conditions are </w:t>
      </w:r>
      <w:r w:rsidR="001A5ED6" w:rsidRPr="0048007D">
        <w:t xml:space="preserve">described in </w:t>
      </w:r>
      <w:r w:rsidR="0048007D">
        <w:t>“</w:t>
      </w:r>
      <w:r w:rsidR="0048007D" w:rsidRPr="0048007D">
        <w:t>HPLC–FLD conditions</w:t>
      </w:r>
      <w:r w:rsidR="0048007D">
        <w:t>”</w:t>
      </w:r>
      <w:r w:rsidR="0048007D" w:rsidRPr="0048007D">
        <w:t xml:space="preserve"> </w:t>
      </w:r>
      <w:r w:rsidR="0048007D">
        <w:t>s</w:t>
      </w:r>
      <w:r w:rsidR="001A5ED6" w:rsidRPr="0048007D">
        <w:t>ection</w:t>
      </w:r>
      <w:r w:rsidR="0048007D" w:rsidRPr="0048007D">
        <w:t>.</w:t>
      </w:r>
    </w:p>
    <w:p w14:paraId="6BEA0A57" w14:textId="694A24CE" w:rsidR="00DC2E35" w:rsidRDefault="00DC2E35" w:rsidP="00DC2E35">
      <w:r>
        <w:br w:type="page"/>
      </w:r>
    </w:p>
    <w:p w14:paraId="53478990" w14:textId="676E0916" w:rsidR="007D28B0" w:rsidRDefault="007D28B0" w:rsidP="00455DC3">
      <w:pPr>
        <w:pStyle w:val="Tabletitle"/>
      </w:pPr>
      <w:bookmarkStart w:id="4" w:name="_Ref512612762"/>
      <w:r w:rsidRPr="008E33BE">
        <w:rPr>
          <w:noProof/>
          <w:lang w:val="es-ES" w:eastAsia="es-ES"/>
        </w:rPr>
        <w:lastRenderedPageBreak/>
        <w:drawing>
          <wp:inline distT="0" distB="0" distL="0" distR="0" wp14:anchorId="035F807D" wp14:editId="7DE9723B">
            <wp:extent cx="5400040" cy="70853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7085330"/>
                    </a:xfrm>
                    <a:prstGeom prst="rect">
                      <a:avLst/>
                    </a:prstGeom>
                    <a:noFill/>
                    <a:ln>
                      <a:noFill/>
                    </a:ln>
                  </pic:spPr>
                </pic:pic>
              </a:graphicData>
            </a:graphic>
          </wp:inline>
        </w:drawing>
      </w:r>
    </w:p>
    <w:p w14:paraId="36D0D136" w14:textId="77777777" w:rsidR="0082569C" w:rsidRPr="00E54605" w:rsidRDefault="0082569C" w:rsidP="0082569C">
      <w:pPr>
        <w:pStyle w:val="Tabletitle"/>
      </w:pPr>
      <w:r>
        <w:t xml:space="preserve">Figure S2 </w:t>
      </w:r>
      <w:r w:rsidRPr="00E54605">
        <w:t>(a) HPLC–FLD chromatogram for the PLE-MISPE extract from a tomato sample naturally infected with black moulds. Peaks marked with one and two asterisks (* and **) in chromatogram (a) correspond to the suspected AOH and AME, respectively. The UPLC–MS/MS chromatograms (b) and (c) confirm the presence of AOH and AME, respectively, in the contaminated tomato sample.</w:t>
      </w:r>
    </w:p>
    <w:bookmarkEnd w:id="4"/>
    <w:p w14:paraId="5C72E420" w14:textId="2E2EC788" w:rsidR="007D28B0" w:rsidRDefault="007D28B0">
      <w:pPr>
        <w:widowControl/>
        <w:jc w:val="left"/>
        <w:rPr>
          <w:rFonts w:eastAsia="Times New Roman"/>
          <w:kern w:val="0"/>
          <w:szCs w:val="24"/>
          <w:lang w:val="en-GB" w:eastAsia="en-GB"/>
        </w:rPr>
      </w:pPr>
      <w:r>
        <w:rPr>
          <w:rFonts w:eastAsia="Times New Roman"/>
          <w:kern w:val="0"/>
          <w:szCs w:val="24"/>
          <w:lang w:val="en-GB" w:eastAsia="en-GB"/>
        </w:rPr>
        <w:br w:type="page"/>
      </w:r>
    </w:p>
    <w:p w14:paraId="0C9BAA63" w14:textId="77777777" w:rsidR="001E4F2A" w:rsidRPr="007D28B0" w:rsidRDefault="001E4F2A" w:rsidP="00DC2E35">
      <w:pPr>
        <w:pStyle w:val="EndNoteBibliography"/>
        <w:spacing w:after="240"/>
        <w:rPr>
          <w:b/>
          <w:lang w:val="es-ES"/>
        </w:rPr>
      </w:pPr>
      <w:r w:rsidRPr="007D28B0">
        <w:rPr>
          <w:b/>
          <w:lang w:val="es-ES"/>
        </w:rPr>
        <w:lastRenderedPageBreak/>
        <w:t>References</w:t>
      </w:r>
    </w:p>
    <w:p w14:paraId="4AE45854" w14:textId="77777777" w:rsidR="00DC2E35" w:rsidRPr="00DC2E35" w:rsidRDefault="00DC2E35" w:rsidP="001E4F2A">
      <w:pPr>
        <w:pStyle w:val="References"/>
        <w:rPr>
          <w:noProof/>
        </w:rPr>
      </w:pPr>
      <w:r>
        <w:fldChar w:fldCharType="begin"/>
      </w:r>
      <w:r w:rsidRPr="007D28B0">
        <w:rPr>
          <w:lang w:val="es-ES"/>
        </w:rPr>
        <w:instrText xml:space="preserve"> ADDIN EN.REFLIST </w:instrText>
      </w:r>
      <w:r>
        <w:fldChar w:fldCharType="separate"/>
      </w:r>
      <w:r w:rsidRPr="007D28B0">
        <w:rPr>
          <w:noProof/>
          <w:lang w:val="es-ES"/>
        </w:rPr>
        <w:t xml:space="preserve">Abou-Hany RAG, Urraca JL, Descalzo AB, Gómez-Arribas LN, Moreno-Bondi MC, Orellana G. 2015. </w:t>
      </w:r>
      <w:r w:rsidRPr="00DC2E35">
        <w:rPr>
          <w:noProof/>
        </w:rPr>
        <w:t>Tailoring molecularly imprinted polymer beads for alternariol recognition and analysis by a screening with mycotoxin surrogates. J</w:t>
      </w:r>
      <w:r w:rsidR="001E4F2A">
        <w:rPr>
          <w:noProof/>
        </w:rPr>
        <w:t>.</w:t>
      </w:r>
      <w:r w:rsidRPr="00DC2E35">
        <w:rPr>
          <w:noProof/>
        </w:rPr>
        <w:t xml:space="preserve"> Chromatogr</w:t>
      </w:r>
      <w:r w:rsidR="001E4F2A">
        <w:rPr>
          <w:noProof/>
        </w:rPr>
        <w:t>.</w:t>
      </w:r>
      <w:r w:rsidRPr="00DC2E35">
        <w:rPr>
          <w:noProof/>
        </w:rPr>
        <w:t xml:space="preserve"> A. 1425:231-239.</w:t>
      </w:r>
    </w:p>
    <w:p w14:paraId="351D697B" w14:textId="77777777" w:rsidR="00DC2E35" w:rsidRPr="00B95C03" w:rsidRDefault="00DC2E35" w:rsidP="001E4F2A">
      <w:pPr>
        <w:pStyle w:val="References"/>
        <w:rPr>
          <w:noProof/>
          <w:lang w:val="es-ES"/>
        </w:rPr>
      </w:pPr>
      <w:r w:rsidRPr="00DC2E35">
        <w:rPr>
          <w:noProof/>
        </w:rPr>
        <w:t xml:space="preserve">Hickert S, Bergmann M, Ersen S, Cramer B, Humpf H-U. 2016. Survey of Alternaria toxin contamination in food from the German market, using a rapid HPLC-MS/MS approach. </w:t>
      </w:r>
      <w:r w:rsidRPr="00B95C03">
        <w:rPr>
          <w:noProof/>
          <w:lang w:val="es-ES"/>
        </w:rPr>
        <w:t>Mycotoxin Res.</w:t>
      </w:r>
      <w:r w:rsidR="001E4F2A" w:rsidRPr="00B95C03">
        <w:rPr>
          <w:noProof/>
          <w:lang w:val="es-ES"/>
        </w:rPr>
        <w:t xml:space="preserve"> </w:t>
      </w:r>
      <w:r w:rsidRPr="00B95C03">
        <w:rPr>
          <w:noProof/>
          <w:lang w:val="es-ES"/>
        </w:rPr>
        <w:t>32:7-18.</w:t>
      </w:r>
    </w:p>
    <w:p w14:paraId="44645ACA" w14:textId="77777777" w:rsidR="00DC2E35" w:rsidRPr="007D28B0" w:rsidRDefault="00DC2E35" w:rsidP="001E4F2A">
      <w:pPr>
        <w:pStyle w:val="References"/>
        <w:rPr>
          <w:noProof/>
          <w:lang w:val="en-US"/>
        </w:rPr>
      </w:pPr>
      <w:r w:rsidRPr="00B95C03">
        <w:rPr>
          <w:noProof/>
          <w:lang w:val="es-ES"/>
        </w:rPr>
        <w:t xml:space="preserve">López P, Venema D, de Rijk T, de Kok A, Scholten JM, Mol HGJ, de Nijs M. 2016. </w:t>
      </w:r>
      <w:r w:rsidRPr="00DC2E35">
        <w:rPr>
          <w:noProof/>
        </w:rPr>
        <w:t xml:space="preserve">Occurrence of Alternaria toxins in food products in The Netherlands. </w:t>
      </w:r>
      <w:r w:rsidRPr="007D28B0">
        <w:rPr>
          <w:noProof/>
          <w:lang w:val="en-US"/>
        </w:rPr>
        <w:t>Food Control. 60:196-204.</w:t>
      </w:r>
    </w:p>
    <w:p w14:paraId="51C1106B" w14:textId="77777777" w:rsidR="00DC2E35" w:rsidRPr="00DC2E35" w:rsidRDefault="00DC2E35" w:rsidP="001E4F2A">
      <w:pPr>
        <w:pStyle w:val="References"/>
        <w:rPr>
          <w:noProof/>
        </w:rPr>
      </w:pPr>
      <w:r w:rsidRPr="007D28B0">
        <w:rPr>
          <w:noProof/>
          <w:lang w:val="en-US"/>
        </w:rPr>
        <w:t xml:space="preserve">Prelle A, Spadaro D, Garibaldi A, Gullino ML. 2013. </w:t>
      </w:r>
      <w:r w:rsidRPr="00DC2E35">
        <w:rPr>
          <w:noProof/>
        </w:rPr>
        <w:t>A new method for detection of five alternaria toxins in food matrices based on LC–APCI-MS. Food Chem. 140:161-167.</w:t>
      </w:r>
    </w:p>
    <w:p w14:paraId="769FBC86" w14:textId="77777777" w:rsidR="00DC2E35" w:rsidRPr="00DC2E35" w:rsidRDefault="00DC2E35" w:rsidP="001E4F2A">
      <w:pPr>
        <w:pStyle w:val="References"/>
        <w:rPr>
          <w:noProof/>
        </w:rPr>
      </w:pPr>
      <w:r w:rsidRPr="00DC2E35">
        <w:rPr>
          <w:noProof/>
        </w:rPr>
        <w:t>Tölgyesi Á, Stroka J, Tamosiunas V, Zwickel T. 2015. Simultaneous analysis of Alternaria toxins and citrinin in tomato: an optimised method using liquid chromatography-tandem mass spectrometry. Food Addit</w:t>
      </w:r>
      <w:r w:rsidR="001E4F2A">
        <w:rPr>
          <w:noProof/>
        </w:rPr>
        <w:t xml:space="preserve">. </w:t>
      </w:r>
      <w:r w:rsidRPr="00DC2E35">
        <w:rPr>
          <w:noProof/>
        </w:rPr>
        <w:t>Contam</w:t>
      </w:r>
      <w:r w:rsidR="001E4F2A">
        <w:rPr>
          <w:noProof/>
        </w:rPr>
        <w:t>.,</w:t>
      </w:r>
      <w:r w:rsidRPr="00DC2E35">
        <w:rPr>
          <w:noProof/>
        </w:rPr>
        <w:t xml:space="preserve"> Part A. 32:1512-1522.</w:t>
      </w:r>
    </w:p>
    <w:p w14:paraId="691050D8" w14:textId="77777777" w:rsidR="00DC2E35" w:rsidRPr="00DC2E35" w:rsidRDefault="00DC2E35" w:rsidP="001E4F2A">
      <w:pPr>
        <w:pStyle w:val="References"/>
        <w:rPr>
          <w:noProof/>
        </w:rPr>
      </w:pPr>
      <w:r w:rsidRPr="00DC2E35">
        <w:rPr>
          <w:noProof/>
        </w:rPr>
        <w:t xml:space="preserve">Van de Perre E, Deschuyffeleer N, Jacxsens L, Vekeman F, Van Der Hauwaert W, Asam S, Rychlik M, Devlieghere F, De Meulenaer B. 2014. Screening of moulds and mycotoxins in tomatoes, bell peppers, onions, soft red fruits and derived tomato products. Food Control. </w:t>
      </w:r>
      <w:r w:rsidR="001E4F2A">
        <w:rPr>
          <w:noProof/>
        </w:rPr>
        <w:t>3</w:t>
      </w:r>
      <w:r w:rsidRPr="00DC2E35">
        <w:rPr>
          <w:noProof/>
        </w:rPr>
        <w:t>7:165-170.</w:t>
      </w:r>
    </w:p>
    <w:p w14:paraId="31FA6B86" w14:textId="77777777" w:rsidR="00DC2E35" w:rsidRPr="00DC2E35" w:rsidRDefault="00DC2E35" w:rsidP="001E4F2A">
      <w:pPr>
        <w:pStyle w:val="References"/>
        <w:rPr>
          <w:noProof/>
        </w:rPr>
      </w:pPr>
      <w:r w:rsidRPr="00DC2E35">
        <w:rPr>
          <w:noProof/>
        </w:rPr>
        <w:t>Walravens J, Mikula H, Rychlik M, Asam S, Devos T, Njumbe Ediage E, Diana Di Mavungu J, Jacxsens L, Van Landschoot A, Vanhaecke L, et al. 2016. Validated UPLC-MS/MS Methods To Quantitate Free and Conjugated Alternaria Toxins in Commercially Available Tomato Products and Fruit and Vegetable Juices in Belgium. J</w:t>
      </w:r>
      <w:r w:rsidR="001E4F2A">
        <w:rPr>
          <w:noProof/>
        </w:rPr>
        <w:t>.</w:t>
      </w:r>
      <w:r w:rsidRPr="00DC2E35">
        <w:rPr>
          <w:noProof/>
        </w:rPr>
        <w:t xml:space="preserve"> Agric</w:t>
      </w:r>
      <w:r w:rsidR="001E4F2A">
        <w:rPr>
          <w:noProof/>
        </w:rPr>
        <w:t>.</w:t>
      </w:r>
      <w:r w:rsidRPr="00DC2E35">
        <w:rPr>
          <w:noProof/>
        </w:rPr>
        <w:t xml:space="preserve"> Food Chem. 64:5101-5109.</w:t>
      </w:r>
    </w:p>
    <w:p w14:paraId="6EFBD396" w14:textId="77777777" w:rsidR="00DC2E35" w:rsidRPr="00DC2E35" w:rsidRDefault="00DC2E35" w:rsidP="001E4F2A">
      <w:pPr>
        <w:pStyle w:val="References"/>
        <w:rPr>
          <w:noProof/>
        </w:rPr>
      </w:pPr>
      <w:r w:rsidRPr="00DC2E35">
        <w:rPr>
          <w:noProof/>
        </w:rPr>
        <w:t>Zhao K, Shao B, Yang D, Li F. 2015. Natural Occurrence of Four Alternaria Mycotoxins in Tomato- and Citrus-Based Foods in China. Journal of Agricultural and Food Chemistry. 2015/01/14;63:343-348.</w:t>
      </w:r>
    </w:p>
    <w:p w14:paraId="4DF10E83" w14:textId="063A3561" w:rsidR="00845B1F" w:rsidRPr="007208E8" w:rsidRDefault="00DC2E35" w:rsidP="001E4F2A">
      <w:pPr>
        <w:pStyle w:val="References"/>
      </w:pPr>
      <w:r>
        <w:fldChar w:fldCharType="end"/>
      </w:r>
    </w:p>
    <w:sectPr w:rsidR="00845B1F" w:rsidRPr="007208E8" w:rsidSect="00F825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80DF7" w14:textId="77777777" w:rsidR="004C6C00" w:rsidRDefault="004C6C00" w:rsidP="00385C3C">
      <w:r>
        <w:separator/>
      </w:r>
    </w:p>
  </w:endnote>
  <w:endnote w:type="continuationSeparator" w:id="0">
    <w:p w14:paraId="291A2B5F" w14:textId="77777777" w:rsidR="004C6C00" w:rsidRDefault="004C6C00" w:rsidP="0038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096243"/>
      <w:docPartObj>
        <w:docPartGallery w:val="Page Numbers (Bottom of Page)"/>
        <w:docPartUnique/>
      </w:docPartObj>
    </w:sdtPr>
    <w:sdtEndPr/>
    <w:sdtContent>
      <w:p w14:paraId="6DE28604" w14:textId="0B03CB7D" w:rsidR="00385C3C" w:rsidRDefault="00385C3C">
        <w:pPr>
          <w:pStyle w:val="Piedepgina"/>
          <w:jc w:val="right"/>
        </w:pPr>
        <w:r>
          <w:t>S</w:t>
        </w:r>
        <w:r w:rsidR="00AE0B1B">
          <w:fldChar w:fldCharType="begin"/>
        </w:r>
        <w:r>
          <w:instrText>PAGE   \* MERGEFORMAT</w:instrText>
        </w:r>
        <w:r w:rsidR="00AE0B1B">
          <w:fldChar w:fldCharType="separate"/>
        </w:r>
        <w:r w:rsidR="00432857" w:rsidRPr="00432857">
          <w:rPr>
            <w:noProof/>
            <w:lang w:val="es-ES"/>
          </w:rPr>
          <w:t>2</w:t>
        </w:r>
        <w:r w:rsidR="00AE0B1B">
          <w:fldChar w:fldCharType="end"/>
        </w:r>
      </w:p>
    </w:sdtContent>
  </w:sdt>
  <w:p w14:paraId="263C47BB" w14:textId="77777777" w:rsidR="00385C3C" w:rsidRDefault="00385C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8D741" w14:textId="77777777" w:rsidR="004C6C00" w:rsidRDefault="004C6C00" w:rsidP="00385C3C">
      <w:r>
        <w:separator/>
      </w:r>
    </w:p>
  </w:footnote>
  <w:footnote w:type="continuationSeparator" w:id="0">
    <w:p w14:paraId="195B81B2" w14:textId="77777777" w:rsidR="004C6C00" w:rsidRDefault="004C6C00" w:rsidP="00385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889"/>
    <w:multiLevelType w:val="multilevel"/>
    <w:tmpl w:val="3C9A2910"/>
    <w:lvl w:ilvl="0">
      <w:start w:val="1"/>
      <w:numFmt w:val="decimal"/>
      <w:lvlText w:val="%1."/>
      <w:lvlJc w:val="left"/>
      <w:pPr>
        <w:ind w:left="1069" w:hanging="360"/>
      </w:pPr>
      <w:rPr>
        <w:rFonts w:hint="default"/>
        <w:b/>
      </w:rPr>
    </w:lvl>
    <w:lvl w:ilvl="1">
      <w:start w:val="1"/>
      <w:numFmt w:val="decimal"/>
      <w:lvlText w:val="%1.%2."/>
      <w:lvlJc w:val="left"/>
      <w:pPr>
        <w:ind w:left="573" w:hanging="432"/>
      </w:pPr>
      <w:rPr>
        <w:rFonts w:hint="default"/>
        <w:sz w:val="24"/>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ood Additives Contaminants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z5ax5apa7sppfyer05cpra0e2sw2f9rraft2&quot;&gt;TesisARY&lt;record-ids&gt;&lt;item&gt;59&lt;/item&gt;&lt;item&gt;62&lt;/item&gt;&lt;item&gt;64&lt;/item&gt;&lt;item&gt;67&lt;/item&gt;&lt;item&gt;68&lt;/item&gt;&lt;item&gt;82&lt;/item&gt;&lt;item&gt;87&lt;/item&gt;&lt;item&gt;102&lt;/item&gt;&lt;item&gt;472&lt;/item&gt;&lt;/record-ids&gt;&lt;/item&gt;&lt;/Libraries&gt;"/>
  </w:docVars>
  <w:rsids>
    <w:rsidRoot w:val="00845B1F"/>
    <w:rsid w:val="00037B8B"/>
    <w:rsid w:val="000F27E8"/>
    <w:rsid w:val="000F5426"/>
    <w:rsid w:val="001013F7"/>
    <w:rsid w:val="00101730"/>
    <w:rsid w:val="00104CF5"/>
    <w:rsid w:val="00127898"/>
    <w:rsid w:val="001502EB"/>
    <w:rsid w:val="001709E2"/>
    <w:rsid w:val="001A5ED6"/>
    <w:rsid w:val="001C65C3"/>
    <w:rsid w:val="001E4F2A"/>
    <w:rsid w:val="001E5186"/>
    <w:rsid w:val="002B21AF"/>
    <w:rsid w:val="00301513"/>
    <w:rsid w:val="00323CBF"/>
    <w:rsid w:val="00325AD4"/>
    <w:rsid w:val="003557B8"/>
    <w:rsid w:val="00385C3C"/>
    <w:rsid w:val="003A2B6B"/>
    <w:rsid w:val="003C0EDA"/>
    <w:rsid w:val="00411833"/>
    <w:rsid w:val="00432857"/>
    <w:rsid w:val="004400D2"/>
    <w:rsid w:val="00446E1D"/>
    <w:rsid w:val="00455DC3"/>
    <w:rsid w:val="0048007D"/>
    <w:rsid w:val="00491DF2"/>
    <w:rsid w:val="004B3F57"/>
    <w:rsid w:val="004B5295"/>
    <w:rsid w:val="004C6C00"/>
    <w:rsid w:val="004D7E96"/>
    <w:rsid w:val="005151E5"/>
    <w:rsid w:val="005224BE"/>
    <w:rsid w:val="00552F6A"/>
    <w:rsid w:val="005649E2"/>
    <w:rsid w:val="0056532B"/>
    <w:rsid w:val="005D1C9D"/>
    <w:rsid w:val="005F06A9"/>
    <w:rsid w:val="005F7F0D"/>
    <w:rsid w:val="0062414E"/>
    <w:rsid w:val="006704F8"/>
    <w:rsid w:val="006735F4"/>
    <w:rsid w:val="006D72FD"/>
    <w:rsid w:val="00701657"/>
    <w:rsid w:val="00703D5D"/>
    <w:rsid w:val="007208E8"/>
    <w:rsid w:val="00732FC4"/>
    <w:rsid w:val="007341E4"/>
    <w:rsid w:val="007509E9"/>
    <w:rsid w:val="00793970"/>
    <w:rsid w:val="007D0D1E"/>
    <w:rsid w:val="007D28B0"/>
    <w:rsid w:val="0082569C"/>
    <w:rsid w:val="008378EC"/>
    <w:rsid w:val="00840B2D"/>
    <w:rsid w:val="00845B1F"/>
    <w:rsid w:val="008725A3"/>
    <w:rsid w:val="008770D6"/>
    <w:rsid w:val="008A6A82"/>
    <w:rsid w:val="0092350B"/>
    <w:rsid w:val="00992456"/>
    <w:rsid w:val="0099301A"/>
    <w:rsid w:val="009E3C06"/>
    <w:rsid w:val="00A15BEE"/>
    <w:rsid w:val="00A15D9C"/>
    <w:rsid w:val="00A25AE9"/>
    <w:rsid w:val="00A35499"/>
    <w:rsid w:val="00A530F9"/>
    <w:rsid w:val="00A84FE2"/>
    <w:rsid w:val="00A927C1"/>
    <w:rsid w:val="00AE0B1B"/>
    <w:rsid w:val="00AE3F6F"/>
    <w:rsid w:val="00B95C03"/>
    <w:rsid w:val="00C10384"/>
    <w:rsid w:val="00C21F57"/>
    <w:rsid w:val="00C5286C"/>
    <w:rsid w:val="00C613F0"/>
    <w:rsid w:val="00CB285B"/>
    <w:rsid w:val="00D03429"/>
    <w:rsid w:val="00D244FA"/>
    <w:rsid w:val="00D41E4F"/>
    <w:rsid w:val="00D575DB"/>
    <w:rsid w:val="00D6092B"/>
    <w:rsid w:val="00D8661E"/>
    <w:rsid w:val="00DC2E35"/>
    <w:rsid w:val="00DE04C5"/>
    <w:rsid w:val="00DE28E9"/>
    <w:rsid w:val="00DF5985"/>
    <w:rsid w:val="00E16DAC"/>
    <w:rsid w:val="00E71949"/>
    <w:rsid w:val="00E86ADD"/>
    <w:rsid w:val="00E95848"/>
    <w:rsid w:val="00EB4AFE"/>
    <w:rsid w:val="00EE6CCE"/>
    <w:rsid w:val="00F5583D"/>
    <w:rsid w:val="00F60C97"/>
    <w:rsid w:val="00F64594"/>
    <w:rsid w:val="00F82557"/>
    <w:rsid w:val="00F8713D"/>
    <w:rsid w:val="00FB3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0F15"/>
  <w15:docId w15:val="{85DD660A-2087-4B6D-B948-F1C0660B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1F"/>
    <w:pPr>
      <w:widowControl w:val="0"/>
      <w:jc w:val="both"/>
    </w:pPr>
    <w:rPr>
      <w:rFonts w:ascii="Times New Roman" w:eastAsia="MS Mincho" w:hAnsi="Times New Roman" w:cs="Times New Roman"/>
      <w:kern w:val="2"/>
      <w:szCs w:val="20"/>
      <w:lang w:val="en-US" w:eastAsia="ja-JP"/>
    </w:rPr>
  </w:style>
  <w:style w:type="paragraph" w:styleId="Ttulo2">
    <w:name w:val="heading 2"/>
    <w:basedOn w:val="Normal"/>
    <w:next w:val="Paragraph"/>
    <w:link w:val="Ttulo2Car"/>
    <w:qFormat/>
    <w:rsid w:val="0048007D"/>
    <w:pPr>
      <w:keepNext/>
      <w:widowControl/>
      <w:spacing w:before="360" w:after="60" w:line="360" w:lineRule="auto"/>
      <w:ind w:right="567"/>
      <w:contextualSpacing/>
      <w:jc w:val="left"/>
      <w:outlineLvl w:val="1"/>
    </w:pPr>
    <w:rPr>
      <w:rFonts w:eastAsia="Times New Roman" w:cs="Arial"/>
      <w:b/>
      <w:bCs/>
      <w:i/>
      <w:iCs/>
      <w:kern w:val="0"/>
      <w:szCs w:val="2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B1F"/>
    <w:pPr>
      <w:widowControl/>
      <w:ind w:left="720"/>
      <w:contextualSpacing/>
      <w:jc w:val="left"/>
    </w:pPr>
    <w:rPr>
      <w:rFonts w:ascii="Cambria" w:eastAsia="Times New Roman" w:hAnsi="Cambria"/>
      <w:kern w:val="0"/>
      <w:szCs w:val="24"/>
      <w:lang w:eastAsia="en-US"/>
    </w:rPr>
  </w:style>
  <w:style w:type="paragraph" w:styleId="Descripcin">
    <w:name w:val="caption"/>
    <w:basedOn w:val="Normal"/>
    <w:next w:val="Normal"/>
    <w:uiPriority w:val="35"/>
    <w:unhideWhenUsed/>
    <w:qFormat/>
    <w:rsid w:val="00845B1F"/>
    <w:pPr>
      <w:widowControl/>
      <w:spacing w:after="200"/>
      <w:jc w:val="left"/>
    </w:pPr>
    <w:rPr>
      <w:rFonts w:asciiTheme="minorHAnsi" w:eastAsiaTheme="minorHAnsi" w:hAnsiTheme="minorHAnsi" w:cstheme="minorBidi"/>
      <w:b/>
      <w:bCs/>
      <w:color w:val="5B9BD5" w:themeColor="accent1"/>
      <w:kern w:val="0"/>
      <w:sz w:val="18"/>
      <w:szCs w:val="18"/>
      <w:lang w:val="es-ES" w:eastAsia="en-US"/>
    </w:rPr>
  </w:style>
  <w:style w:type="paragraph" w:customStyle="1" w:styleId="EndNoteBibliographyTitle">
    <w:name w:val="EndNote Bibliography Title"/>
    <w:basedOn w:val="Normal"/>
    <w:link w:val="EndNoteBibliographyTitleCar"/>
    <w:rsid w:val="00A25AE9"/>
    <w:pPr>
      <w:jc w:val="center"/>
    </w:pPr>
    <w:rPr>
      <w:noProof/>
    </w:rPr>
  </w:style>
  <w:style w:type="character" w:customStyle="1" w:styleId="EndNoteBibliographyTitleCar">
    <w:name w:val="EndNote Bibliography Title Car"/>
    <w:basedOn w:val="Fuentedeprrafopredeter"/>
    <w:link w:val="EndNoteBibliographyTitle"/>
    <w:rsid w:val="00A25AE9"/>
    <w:rPr>
      <w:rFonts w:ascii="Times New Roman" w:eastAsia="MS Mincho" w:hAnsi="Times New Roman" w:cs="Times New Roman"/>
      <w:noProof/>
      <w:kern w:val="2"/>
      <w:szCs w:val="20"/>
      <w:lang w:val="en-US" w:eastAsia="ja-JP"/>
    </w:rPr>
  </w:style>
  <w:style w:type="paragraph" w:customStyle="1" w:styleId="EndNoteBibliography">
    <w:name w:val="EndNote Bibliography"/>
    <w:basedOn w:val="Normal"/>
    <w:link w:val="EndNoteBibliographyCar"/>
    <w:rsid w:val="00A25AE9"/>
    <w:rPr>
      <w:noProof/>
    </w:rPr>
  </w:style>
  <w:style w:type="character" w:customStyle="1" w:styleId="EndNoteBibliographyCar">
    <w:name w:val="EndNote Bibliography Car"/>
    <w:basedOn w:val="Fuentedeprrafopredeter"/>
    <w:link w:val="EndNoteBibliography"/>
    <w:rsid w:val="00A25AE9"/>
    <w:rPr>
      <w:rFonts w:ascii="Times New Roman" w:eastAsia="MS Mincho" w:hAnsi="Times New Roman" w:cs="Times New Roman"/>
      <w:noProof/>
      <w:kern w:val="2"/>
      <w:szCs w:val="20"/>
      <w:lang w:val="en-US" w:eastAsia="ja-JP"/>
    </w:rPr>
  </w:style>
  <w:style w:type="character" w:styleId="Hipervnculo">
    <w:name w:val="Hyperlink"/>
    <w:basedOn w:val="Fuentedeprrafopredeter"/>
    <w:uiPriority w:val="99"/>
    <w:unhideWhenUsed/>
    <w:rsid w:val="00A25AE9"/>
    <w:rPr>
      <w:color w:val="0563C1" w:themeColor="hyperlink"/>
      <w:u w:val="single"/>
    </w:rPr>
  </w:style>
  <w:style w:type="paragraph" w:styleId="Textodeglobo">
    <w:name w:val="Balloon Text"/>
    <w:basedOn w:val="Normal"/>
    <w:link w:val="TextodegloboCar"/>
    <w:uiPriority w:val="99"/>
    <w:semiHidden/>
    <w:unhideWhenUsed/>
    <w:rsid w:val="00701657"/>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657"/>
    <w:rPr>
      <w:rFonts w:ascii="Tahoma" w:eastAsia="MS Mincho" w:hAnsi="Tahoma" w:cs="Tahoma"/>
      <w:kern w:val="2"/>
      <w:sz w:val="16"/>
      <w:szCs w:val="16"/>
      <w:lang w:val="en-US" w:eastAsia="ja-JP"/>
    </w:rPr>
  </w:style>
  <w:style w:type="character" w:styleId="Refdecomentario">
    <w:name w:val="annotation reference"/>
    <w:basedOn w:val="Fuentedeprrafopredeter"/>
    <w:uiPriority w:val="99"/>
    <w:semiHidden/>
    <w:unhideWhenUsed/>
    <w:rsid w:val="00C21F57"/>
    <w:rPr>
      <w:sz w:val="16"/>
      <w:szCs w:val="16"/>
    </w:rPr>
  </w:style>
  <w:style w:type="paragraph" w:styleId="Textocomentario">
    <w:name w:val="annotation text"/>
    <w:basedOn w:val="Normal"/>
    <w:link w:val="TextocomentarioCar"/>
    <w:uiPriority w:val="99"/>
    <w:unhideWhenUsed/>
    <w:rsid w:val="00C21F57"/>
    <w:rPr>
      <w:sz w:val="20"/>
    </w:rPr>
  </w:style>
  <w:style w:type="character" w:customStyle="1" w:styleId="TextocomentarioCar">
    <w:name w:val="Texto comentario Car"/>
    <w:basedOn w:val="Fuentedeprrafopredeter"/>
    <w:link w:val="Textocomentario"/>
    <w:uiPriority w:val="99"/>
    <w:rsid w:val="00C21F57"/>
    <w:rPr>
      <w:rFonts w:ascii="Times New Roman" w:eastAsia="MS Mincho" w:hAnsi="Times New Roman" w:cs="Times New Roman"/>
      <w:kern w:val="2"/>
      <w:sz w:val="20"/>
      <w:szCs w:val="20"/>
      <w:lang w:val="en-US" w:eastAsia="ja-JP"/>
    </w:rPr>
  </w:style>
  <w:style w:type="paragraph" w:styleId="Asuntodelcomentario">
    <w:name w:val="annotation subject"/>
    <w:basedOn w:val="Textocomentario"/>
    <w:next w:val="Textocomentario"/>
    <w:link w:val="AsuntodelcomentarioCar"/>
    <w:uiPriority w:val="99"/>
    <w:semiHidden/>
    <w:unhideWhenUsed/>
    <w:rsid w:val="00C21F57"/>
    <w:rPr>
      <w:b/>
      <w:bCs/>
    </w:rPr>
  </w:style>
  <w:style w:type="character" w:customStyle="1" w:styleId="AsuntodelcomentarioCar">
    <w:name w:val="Asunto del comentario Car"/>
    <w:basedOn w:val="TextocomentarioCar"/>
    <w:link w:val="Asuntodelcomentario"/>
    <w:uiPriority w:val="99"/>
    <w:semiHidden/>
    <w:rsid w:val="00C21F57"/>
    <w:rPr>
      <w:rFonts w:ascii="Times New Roman" w:eastAsia="MS Mincho" w:hAnsi="Times New Roman" w:cs="Times New Roman"/>
      <w:b/>
      <w:bCs/>
      <w:kern w:val="2"/>
      <w:sz w:val="20"/>
      <w:szCs w:val="20"/>
      <w:lang w:val="en-US" w:eastAsia="ja-JP"/>
    </w:rPr>
  </w:style>
  <w:style w:type="paragraph" w:styleId="Encabezado">
    <w:name w:val="header"/>
    <w:basedOn w:val="Normal"/>
    <w:link w:val="EncabezadoCar"/>
    <w:uiPriority w:val="99"/>
    <w:unhideWhenUsed/>
    <w:rsid w:val="00385C3C"/>
    <w:pPr>
      <w:tabs>
        <w:tab w:val="center" w:pos="4252"/>
        <w:tab w:val="right" w:pos="8504"/>
      </w:tabs>
    </w:pPr>
  </w:style>
  <w:style w:type="character" w:customStyle="1" w:styleId="EncabezadoCar">
    <w:name w:val="Encabezado Car"/>
    <w:basedOn w:val="Fuentedeprrafopredeter"/>
    <w:link w:val="Encabezado"/>
    <w:uiPriority w:val="99"/>
    <w:rsid w:val="00385C3C"/>
    <w:rPr>
      <w:rFonts w:ascii="Times New Roman" w:eastAsia="MS Mincho" w:hAnsi="Times New Roman" w:cs="Times New Roman"/>
      <w:kern w:val="2"/>
      <w:szCs w:val="20"/>
      <w:lang w:val="en-US" w:eastAsia="ja-JP"/>
    </w:rPr>
  </w:style>
  <w:style w:type="paragraph" w:styleId="Piedepgina">
    <w:name w:val="footer"/>
    <w:basedOn w:val="Normal"/>
    <w:link w:val="PiedepginaCar"/>
    <w:uiPriority w:val="99"/>
    <w:unhideWhenUsed/>
    <w:rsid w:val="00385C3C"/>
    <w:pPr>
      <w:tabs>
        <w:tab w:val="center" w:pos="4252"/>
        <w:tab w:val="right" w:pos="8504"/>
      </w:tabs>
    </w:pPr>
  </w:style>
  <w:style w:type="character" w:customStyle="1" w:styleId="PiedepginaCar">
    <w:name w:val="Pie de página Car"/>
    <w:basedOn w:val="Fuentedeprrafopredeter"/>
    <w:link w:val="Piedepgina"/>
    <w:uiPriority w:val="99"/>
    <w:rsid w:val="00385C3C"/>
    <w:rPr>
      <w:rFonts w:ascii="Times New Roman" w:eastAsia="MS Mincho" w:hAnsi="Times New Roman" w:cs="Times New Roman"/>
      <w:kern w:val="2"/>
      <w:szCs w:val="20"/>
      <w:lang w:val="en-US" w:eastAsia="ja-JP"/>
    </w:rPr>
  </w:style>
  <w:style w:type="paragraph" w:customStyle="1" w:styleId="Articletitle">
    <w:name w:val="Article title"/>
    <w:basedOn w:val="Normal"/>
    <w:next w:val="Normal"/>
    <w:qFormat/>
    <w:rsid w:val="007208E8"/>
    <w:pPr>
      <w:widowControl/>
      <w:spacing w:after="120" w:line="360" w:lineRule="auto"/>
      <w:jc w:val="left"/>
    </w:pPr>
    <w:rPr>
      <w:rFonts w:eastAsia="Times New Roman"/>
      <w:b/>
      <w:kern w:val="0"/>
      <w:sz w:val="28"/>
      <w:szCs w:val="24"/>
      <w:lang w:val="en-GB" w:eastAsia="en-GB"/>
    </w:rPr>
  </w:style>
  <w:style w:type="paragraph" w:customStyle="1" w:styleId="Authornames">
    <w:name w:val="Author names"/>
    <w:basedOn w:val="Normal"/>
    <w:next w:val="Normal"/>
    <w:qFormat/>
    <w:rsid w:val="007208E8"/>
    <w:pPr>
      <w:widowControl/>
      <w:spacing w:before="240" w:line="360" w:lineRule="auto"/>
      <w:jc w:val="left"/>
    </w:pPr>
    <w:rPr>
      <w:rFonts w:eastAsia="Times New Roman"/>
      <w:kern w:val="0"/>
      <w:sz w:val="28"/>
      <w:szCs w:val="24"/>
      <w:lang w:val="en-GB" w:eastAsia="en-GB"/>
    </w:rPr>
  </w:style>
  <w:style w:type="paragraph" w:customStyle="1" w:styleId="Affiliation">
    <w:name w:val="Affiliation"/>
    <w:basedOn w:val="Normal"/>
    <w:qFormat/>
    <w:rsid w:val="007208E8"/>
    <w:pPr>
      <w:widowControl/>
      <w:spacing w:before="240" w:line="360" w:lineRule="auto"/>
      <w:jc w:val="left"/>
    </w:pPr>
    <w:rPr>
      <w:rFonts w:eastAsia="Times New Roman"/>
      <w:i/>
      <w:kern w:val="0"/>
      <w:szCs w:val="24"/>
      <w:lang w:val="en-GB" w:eastAsia="en-GB"/>
    </w:rPr>
  </w:style>
  <w:style w:type="paragraph" w:customStyle="1" w:styleId="Correspondencedetails">
    <w:name w:val="Correspondence details"/>
    <w:basedOn w:val="Normal"/>
    <w:qFormat/>
    <w:rsid w:val="007208E8"/>
    <w:pPr>
      <w:widowControl/>
      <w:spacing w:before="240" w:line="360" w:lineRule="auto"/>
      <w:jc w:val="left"/>
    </w:pPr>
    <w:rPr>
      <w:rFonts w:eastAsia="Times New Roman"/>
      <w:kern w:val="0"/>
      <w:szCs w:val="24"/>
      <w:lang w:val="en-GB" w:eastAsia="en-GB"/>
    </w:rPr>
  </w:style>
  <w:style w:type="paragraph" w:customStyle="1" w:styleId="Notesoncontributors">
    <w:name w:val="Notes on contributors"/>
    <w:basedOn w:val="Normal"/>
    <w:qFormat/>
    <w:rsid w:val="007208E8"/>
    <w:pPr>
      <w:widowControl/>
      <w:spacing w:before="240" w:line="360" w:lineRule="auto"/>
      <w:jc w:val="left"/>
    </w:pPr>
    <w:rPr>
      <w:rFonts w:eastAsia="Times New Roman"/>
      <w:kern w:val="0"/>
      <w:sz w:val="22"/>
      <w:szCs w:val="24"/>
      <w:lang w:val="en-GB" w:eastAsia="en-GB"/>
    </w:rPr>
  </w:style>
  <w:style w:type="character" w:styleId="Ttulodellibro">
    <w:name w:val="Book Title"/>
    <w:basedOn w:val="Fuentedeprrafopredeter"/>
    <w:uiPriority w:val="33"/>
    <w:qFormat/>
    <w:rsid w:val="007208E8"/>
    <w:rPr>
      <w:b/>
      <w:bCs/>
      <w:i/>
      <w:iCs/>
      <w:spacing w:val="5"/>
    </w:rPr>
  </w:style>
  <w:style w:type="paragraph" w:customStyle="1" w:styleId="Tabletitle">
    <w:name w:val="Table title"/>
    <w:basedOn w:val="Normal"/>
    <w:next w:val="Normal"/>
    <w:qFormat/>
    <w:rsid w:val="007208E8"/>
    <w:pPr>
      <w:widowControl/>
      <w:spacing w:before="240" w:line="360" w:lineRule="auto"/>
      <w:jc w:val="left"/>
    </w:pPr>
    <w:rPr>
      <w:rFonts w:eastAsia="Times New Roman"/>
      <w:kern w:val="0"/>
      <w:szCs w:val="24"/>
      <w:lang w:val="en-GB" w:eastAsia="en-GB"/>
    </w:rPr>
  </w:style>
  <w:style w:type="paragraph" w:customStyle="1" w:styleId="Paragraph">
    <w:name w:val="Paragraph"/>
    <w:basedOn w:val="Normal"/>
    <w:next w:val="Normal"/>
    <w:qFormat/>
    <w:rsid w:val="007208E8"/>
    <w:pPr>
      <w:spacing w:before="240" w:line="480" w:lineRule="auto"/>
      <w:jc w:val="left"/>
    </w:pPr>
    <w:rPr>
      <w:rFonts w:eastAsia="Times New Roman"/>
      <w:kern w:val="0"/>
      <w:szCs w:val="24"/>
      <w:lang w:val="en-GB" w:eastAsia="en-GB"/>
    </w:rPr>
  </w:style>
  <w:style w:type="character" w:customStyle="1" w:styleId="Ttulo2Car">
    <w:name w:val="Título 2 Car"/>
    <w:basedOn w:val="Fuentedeprrafopredeter"/>
    <w:link w:val="Ttulo2"/>
    <w:rsid w:val="0048007D"/>
    <w:rPr>
      <w:rFonts w:ascii="Times New Roman" w:eastAsia="Times New Roman" w:hAnsi="Times New Roman" w:cs="Arial"/>
      <w:b/>
      <w:bCs/>
      <w:i/>
      <w:iCs/>
      <w:szCs w:val="28"/>
      <w:lang w:val="en-GB" w:eastAsia="en-GB"/>
    </w:rPr>
  </w:style>
  <w:style w:type="table" w:customStyle="1" w:styleId="TableGrid1">
    <w:name w:val="Table Grid1"/>
    <w:basedOn w:val="Tablanormal"/>
    <w:next w:val="Tablaconcuadrcula"/>
    <w:uiPriority w:val="39"/>
    <w:rsid w:val="00DC2E35"/>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C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qFormat/>
    <w:rsid w:val="00DC2E35"/>
    <w:pPr>
      <w:widowControl/>
      <w:spacing w:before="120" w:line="360" w:lineRule="auto"/>
      <w:ind w:left="720" w:hanging="720"/>
      <w:contextualSpacing/>
      <w:jc w:val="left"/>
    </w:pPr>
    <w:rPr>
      <w:rFonts w:eastAsia="Times New Roman"/>
      <w:kern w:val="0"/>
      <w:szCs w:val="24"/>
      <w:lang w:val="en-GB" w:eastAsia="en-GB"/>
    </w:rPr>
  </w:style>
  <w:style w:type="paragraph" w:styleId="Revisin">
    <w:name w:val="Revision"/>
    <w:hidden/>
    <w:uiPriority w:val="99"/>
    <w:semiHidden/>
    <w:rsid w:val="005649E2"/>
    <w:rPr>
      <w:rFonts w:ascii="Times New Roman" w:eastAsia="MS Mincho" w:hAnsi="Times New Roman" w:cs="Times New Roman"/>
      <w:kern w:val="2"/>
      <w:szCs w:val="20"/>
      <w:lang w:val="en-US" w:eastAsia="ja-JP"/>
    </w:rPr>
  </w:style>
  <w:style w:type="paragraph" w:customStyle="1" w:styleId="Newparagraph">
    <w:name w:val="New paragraph"/>
    <w:basedOn w:val="Normal"/>
    <w:qFormat/>
    <w:rsid w:val="007D28B0"/>
    <w:pPr>
      <w:widowControl/>
      <w:spacing w:line="480" w:lineRule="auto"/>
      <w:ind w:firstLine="720"/>
      <w:jc w:val="left"/>
    </w:pPr>
    <w:rPr>
      <w:rFonts w:eastAsia="Times New Roman"/>
      <w:kern w:val="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719">
      <w:bodyDiv w:val="1"/>
      <w:marLeft w:val="0"/>
      <w:marRight w:val="0"/>
      <w:marTop w:val="0"/>
      <w:marBottom w:val="0"/>
      <w:divBdr>
        <w:top w:val="none" w:sz="0" w:space="0" w:color="auto"/>
        <w:left w:val="none" w:sz="0" w:space="0" w:color="auto"/>
        <w:bottom w:val="none" w:sz="0" w:space="0" w:color="auto"/>
        <w:right w:val="none" w:sz="0" w:space="0" w:color="auto"/>
      </w:divBdr>
    </w:div>
    <w:div w:id="4792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Quimica%20Analitica%207\Downloads\jurracar@ucm.es"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opus.com/redirect.uri?url=http://www.orcid.org/0000-0001-7072-3894&amp;authorId=56682080800&amp;origin=AuthorProfile&amp;orcId=0000-0001-7072-3894&amp;category=orcidLink" TargetMode="External"/><Relationship Id="rId4" Type="http://schemas.openxmlformats.org/officeDocument/2006/relationships/settings" Target="settings.xml"/><Relationship Id="rId9" Type="http://schemas.openxmlformats.org/officeDocument/2006/relationships/hyperlink" Target="file:///C:\Users\Quimica%20Analitica%207\Downloads\mcmbondi@uc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6BB6-E91C-4E73-BCCC-EB6056A9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3201</Words>
  <Characters>17608</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Tufts University</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RICO YUSTE</dc:creator>
  <cp:lastModifiedBy>Usuario de Windows</cp:lastModifiedBy>
  <cp:revision>2</cp:revision>
  <dcterms:created xsi:type="dcterms:W3CDTF">2018-07-23T13:40:00Z</dcterms:created>
  <dcterms:modified xsi:type="dcterms:W3CDTF">2018-07-23T13:40:00Z</dcterms:modified>
</cp:coreProperties>
</file>