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A9C" w:rsidRPr="00E344BC" w:rsidRDefault="00E344BC">
      <w:pPr>
        <w:rPr>
          <w:rFonts w:ascii="Times New Roman" w:hAnsi="Times New Roman" w:cs="Times New Roman"/>
          <w:b/>
          <w:sz w:val="24"/>
          <w:szCs w:val="24"/>
        </w:rPr>
      </w:pPr>
      <w:r w:rsidRPr="00E344BC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921C4E" w:rsidRDefault="00921C4E">
      <w:pPr>
        <w:rPr>
          <w:b/>
        </w:rPr>
      </w:pPr>
    </w:p>
    <w:p w:rsidR="00921C4E" w:rsidRPr="00A53D96" w:rsidRDefault="00921C4E" w:rsidP="00921C4E">
      <w:pPr>
        <w:spacing w:after="0" w:line="360" w:lineRule="auto"/>
        <w:ind w:left="-426" w:right="-330"/>
        <w:rPr>
          <w:rFonts w:ascii="Times New Roman" w:hAnsi="Times New Roman"/>
          <w:sz w:val="24"/>
          <w:szCs w:val="24"/>
        </w:rPr>
      </w:pPr>
      <w:r w:rsidRPr="00A53D96">
        <w:rPr>
          <w:rFonts w:ascii="Times New Roman" w:hAnsi="Times New Roman"/>
          <w:b/>
          <w:sz w:val="24"/>
          <w:szCs w:val="24"/>
        </w:rPr>
        <w:t xml:space="preserve">Table </w:t>
      </w:r>
      <w:r w:rsidR="00AB0CA4">
        <w:rPr>
          <w:rFonts w:ascii="Times New Roman" w:hAnsi="Times New Roman"/>
          <w:b/>
          <w:sz w:val="24"/>
          <w:szCs w:val="24"/>
        </w:rPr>
        <w:t>S</w:t>
      </w:r>
      <w:r w:rsidRPr="00A53D96">
        <w:rPr>
          <w:rFonts w:ascii="Times New Roman" w:hAnsi="Times New Roman"/>
          <w:b/>
          <w:sz w:val="24"/>
          <w:szCs w:val="24"/>
        </w:rPr>
        <w:t>1</w:t>
      </w:r>
      <w:r w:rsidRPr="00A53D96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Rank of general linear</w:t>
      </w:r>
      <w:r w:rsidRPr="00A53D96">
        <w:rPr>
          <w:rFonts w:ascii="Times New Roman" w:hAnsi="Times New Roman"/>
          <w:sz w:val="24"/>
          <w:szCs w:val="24"/>
        </w:rPr>
        <w:t xml:space="preserve"> regression models </w:t>
      </w:r>
      <w:r>
        <w:rPr>
          <w:rFonts w:ascii="Times New Roman" w:hAnsi="Times New Roman"/>
          <w:sz w:val="24"/>
          <w:szCs w:val="24"/>
        </w:rPr>
        <w:t>explaining</w:t>
      </w:r>
      <w:r w:rsidRPr="00A53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variation in Herring Gull colony trends between Operation Seafarer (1969) and Seabird 2000 (1998–2002)</w:t>
      </w:r>
      <w:r w:rsidRPr="004B44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by proxies of the availability of different foraging habitats using </w:t>
      </w:r>
      <w:r w:rsidRPr="00B26B3D">
        <w:rPr>
          <w:rFonts w:ascii="Times New Roman" w:hAnsi="Times New Roman"/>
          <w:sz w:val="24"/>
          <w:szCs w:val="24"/>
        </w:rPr>
        <w:t>Akaike’s Information Criterion corrected for small sample size (AICc)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F636A">
        <w:rPr>
          <w:rFonts w:ascii="Times New Roman" w:hAnsi="Times New Roman"/>
          <w:sz w:val="24"/>
          <w:szCs w:val="24"/>
        </w:rPr>
        <w:t xml:space="preserve">k is the number of </w:t>
      </w:r>
      <w:r>
        <w:rPr>
          <w:rFonts w:ascii="Times New Roman" w:hAnsi="Times New Roman"/>
          <w:sz w:val="24"/>
          <w:szCs w:val="24"/>
        </w:rPr>
        <w:t>variables</w:t>
      </w:r>
      <w:r w:rsidRPr="003644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included, </w:t>
      </w:r>
      <w:r w:rsidRPr="00A53D96">
        <w:rPr>
          <w:rFonts w:ascii="Times New Roman" w:hAnsi="Times New Roman"/>
          <w:sz w:val="24"/>
          <w:szCs w:val="24"/>
        </w:rPr>
        <w:t>w</w:t>
      </w:r>
      <w:r w:rsidRPr="00A53D96">
        <w:rPr>
          <w:rFonts w:ascii="Times New Roman" w:hAnsi="Times New Roman"/>
          <w:sz w:val="24"/>
          <w:szCs w:val="24"/>
          <w:vertAlign w:val="subscript"/>
        </w:rPr>
        <w:t>i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B26B3D">
        <w:rPr>
          <w:rFonts w:ascii="Times New Roman" w:hAnsi="Times New Roman"/>
          <w:sz w:val="24"/>
          <w:szCs w:val="24"/>
        </w:rPr>
        <w:t xml:space="preserve"> the </w:t>
      </w:r>
      <w:r w:rsidRPr="00A53D96">
        <w:rPr>
          <w:rFonts w:ascii="Times New Roman" w:hAnsi="Times New Roman"/>
          <w:sz w:val="24"/>
          <w:szCs w:val="24"/>
        </w:rPr>
        <w:t>Akaike weight</w:t>
      </w:r>
      <w:r>
        <w:rPr>
          <w:rFonts w:ascii="Times New Roman" w:hAnsi="Times New Roman"/>
          <w:sz w:val="24"/>
          <w:szCs w:val="24"/>
        </w:rPr>
        <w:t>, and</w:t>
      </w:r>
      <w:bookmarkStart w:id="0" w:name="_Hlk507012776"/>
      <w:r>
        <w:rPr>
          <w:rFonts w:ascii="Times New Roman" w:hAnsi="Times New Roman"/>
          <w:sz w:val="24"/>
          <w:szCs w:val="24"/>
        </w:rPr>
        <w:t xml:space="preserve"> </w:t>
      </w:r>
      <w:r w:rsidRPr="001F636A">
        <w:rPr>
          <w:rFonts w:ascii="Times New Roman" w:hAnsi="Times New Roman"/>
          <w:bCs/>
          <w:sz w:val="24"/>
          <w:szCs w:val="24"/>
        </w:rPr>
        <w:t>∆</w:t>
      </w:r>
      <w:bookmarkEnd w:id="0"/>
      <w:r w:rsidRPr="001F636A">
        <w:rPr>
          <w:rFonts w:ascii="Times New Roman" w:hAnsi="Times New Roman"/>
          <w:bCs/>
          <w:sz w:val="24"/>
          <w:szCs w:val="24"/>
        </w:rPr>
        <w:t>AICc</w:t>
      </w:r>
      <w:r w:rsidRPr="00A53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is</w:t>
      </w:r>
      <w:r w:rsidRPr="00A53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the </w:t>
      </w:r>
      <w:r w:rsidRPr="00C01F0E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AICc 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lang w:eastAsia="en-GB"/>
        </w:rPr>
        <w:t>difference</w:t>
      </w:r>
      <w:r w:rsidRPr="00A53D9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Top-supported models </w:t>
      </w:r>
      <w:r w:rsidRPr="00A53D96">
        <w:rPr>
          <w:rFonts w:ascii="Times New Roman" w:hAnsi="Times New Roman"/>
          <w:sz w:val="24"/>
          <w:szCs w:val="24"/>
        </w:rPr>
        <w:t>(</w:t>
      </w:r>
      <w:r w:rsidRPr="00364430">
        <w:rPr>
          <w:rFonts w:ascii="Times New Roman" w:hAnsi="Times New Roman"/>
          <w:sz w:val="24"/>
          <w:szCs w:val="24"/>
        </w:rPr>
        <w:t>∆</w:t>
      </w:r>
      <w:r w:rsidRPr="00A53D96">
        <w:rPr>
          <w:rFonts w:ascii="Times New Roman" w:hAnsi="Times New Roman"/>
          <w:sz w:val="24"/>
          <w:szCs w:val="24"/>
        </w:rPr>
        <w:t xml:space="preserve">AICc &lt; </w:t>
      </w:r>
      <w:r>
        <w:rPr>
          <w:rFonts w:ascii="Times New Roman" w:hAnsi="Times New Roman"/>
          <w:sz w:val="24"/>
          <w:szCs w:val="24"/>
        </w:rPr>
        <w:t>2</w:t>
      </w:r>
      <w:r w:rsidRPr="00A53D9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are shown</w:t>
      </w:r>
      <w:r w:rsidRPr="00A53D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 bold.</w:t>
      </w:r>
    </w:p>
    <w:tbl>
      <w:tblPr>
        <w:tblW w:w="9923" w:type="dxa"/>
        <w:tblInd w:w="-450" w:type="dxa"/>
        <w:tblLook w:val="04A0" w:firstRow="1" w:lastRow="0" w:firstColumn="1" w:lastColumn="0" w:noHBand="0" w:noVBand="1"/>
      </w:tblPr>
      <w:tblGrid>
        <w:gridCol w:w="4962"/>
        <w:gridCol w:w="851"/>
        <w:gridCol w:w="1385"/>
        <w:gridCol w:w="1591"/>
        <w:gridCol w:w="1134"/>
      </w:tblGrid>
      <w:tr w:rsidR="00921C4E" w:rsidRPr="00756AAC" w:rsidTr="006E2D51"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C4E" w:rsidRPr="00756AAC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Variables</w:t>
            </w:r>
            <w:r w:rsidRPr="00756AAC">
              <w:rPr>
                <w:rFonts w:ascii="Times New Roman" w:hAnsi="Times New Roman"/>
                <w:bCs/>
                <w:sz w:val="24"/>
                <w:szCs w:val="24"/>
              </w:rPr>
              <w:t xml:space="preserve"> included within model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C4E" w:rsidRPr="00756AAC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k</w:t>
            </w:r>
          </w:p>
        </w:tc>
        <w:tc>
          <w:tcPr>
            <w:tcW w:w="13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C4E" w:rsidRPr="00756AAC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56AAC">
              <w:rPr>
                <w:rFonts w:ascii="Times New Roman" w:hAnsi="Times New Roman"/>
                <w:bCs/>
                <w:sz w:val="24"/>
                <w:szCs w:val="24"/>
              </w:rPr>
              <w:t>AICc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C4E" w:rsidRPr="00756AAC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∆AICc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21C4E" w:rsidRPr="00756AAC" w:rsidRDefault="00921C4E" w:rsidP="006E2D51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40" w:after="40" w:line="225" w:lineRule="atLeast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en-GB"/>
              </w:rPr>
            </w:pPr>
            <w:r w:rsidRPr="00756AAC">
              <w:rPr>
                <w:rFonts w:ascii="Times New Roman" w:hAnsi="Times New Roman"/>
                <w:bCs/>
                <w:sz w:val="24"/>
                <w:szCs w:val="24"/>
              </w:rPr>
              <w:t>w</w:t>
            </w:r>
            <w:r w:rsidRPr="00756AAC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i</w:t>
            </w:r>
          </w:p>
        </w:tc>
      </w:tr>
      <w:tr w:rsidR="00921C4E" w:rsidRPr="00756AAC" w:rsidTr="006E2D51">
        <w:tc>
          <w:tcPr>
            <w:tcW w:w="4962" w:type="dxa"/>
            <w:tcBorders>
              <w:top w:val="single" w:sz="4" w:space="0" w:color="auto"/>
            </w:tcBorders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Wave Fetch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140.5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0.291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Wave Fetch, Fishery 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141.6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1.11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0.167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Farmland, Wave Fetch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142.0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1.56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0.133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Farmland, Wave Fetch, Fishery 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142.2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1.70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0.124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Wave Fetch, Built-up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142.7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0.094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1F636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 xml:space="preserve">Farmland, Wave Fetch,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Built-up, Fishery </w:t>
            </w: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143.4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0.067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 xml:space="preserve">Farmland, Wave Fetch,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Built-up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143.5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3.06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0.063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 xml:space="preserve">Wave Fetch,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Built-up, Fishery </w:t>
            </w: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143.8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3.33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0.055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Fishery </w:t>
            </w: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151.4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10.97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Intercept only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152.1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11.68</w:t>
            </w:r>
          </w:p>
        </w:tc>
        <w:tc>
          <w:tcPr>
            <w:tcW w:w="1134" w:type="dxa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04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 xml:space="preserve">Farmland,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Fishery </w:t>
            </w: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152.6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134" w:type="dxa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04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Built-up, Fishery </w:t>
            </w: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152.6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12.13</w:t>
            </w:r>
          </w:p>
        </w:tc>
        <w:tc>
          <w:tcPr>
            <w:tcW w:w="1134" w:type="dxa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004">
              <w:rPr>
                <w:rFonts w:ascii="Times New Roman" w:hAnsi="Times New Roman"/>
                <w:sz w:val="24"/>
                <w:szCs w:val="24"/>
              </w:rPr>
              <w:t>0.001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Built-up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153.8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13.35</w:t>
            </w:r>
          </w:p>
        </w:tc>
        <w:tc>
          <w:tcPr>
            <w:tcW w:w="1134" w:type="dxa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Farmland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154.2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13.76</w:t>
            </w:r>
          </w:p>
        </w:tc>
        <w:tc>
          <w:tcPr>
            <w:tcW w:w="1134" w:type="dxa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F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921C4E" w:rsidRPr="00756AAC" w:rsidTr="006E2D51">
        <w:tc>
          <w:tcPr>
            <w:tcW w:w="4962" w:type="dxa"/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 xml:space="preserve">Farmland,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Built-up, Fishery </w:t>
            </w: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>CPUE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85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154.7</w:t>
            </w:r>
          </w:p>
        </w:tc>
        <w:tc>
          <w:tcPr>
            <w:tcW w:w="1591" w:type="dxa"/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14.29</w:t>
            </w:r>
          </w:p>
        </w:tc>
        <w:tc>
          <w:tcPr>
            <w:tcW w:w="1134" w:type="dxa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F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  <w:tr w:rsidR="00921C4E" w:rsidRPr="00756AAC" w:rsidTr="006E2D51">
        <w:tc>
          <w:tcPr>
            <w:tcW w:w="4962" w:type="dxa"/>
            <w:tcBorders>
              <w:bottom w:val="single" w:sz="4" w:space="0" w:color="auto"/>
            </w:tcBorders>
            <w:shd w:val="clear" w:color="auto" w:fill="auto"/>
          </w:tcPr>
          <w:p w:rsidR="00921C4E" w:rsidRPr="00087F1A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F636A">
              <w:rPr>
                <w:rFonts w:ascii="Times New Roman" w:hAnsi="Times New Roman"/>
                <w:bCs/>
                <w:sz w:val="24"/>
                <w:szCs w:val="24"/>
              </w:rPr>
              <w:t xml:space="preserve">Farmland,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Built-up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156.0</w:t>
            </w:r>
          </w:p>
        </w:tc>
        <w:tc>
          <w:tcPr>
            <w:tcW w:w="159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21C4E" w:rsidRPr="00087F1A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38FA">
              <w:rPr>
                <w:rFonts w:ascii="Times New Roman" w:hAnsi="Times New Roman"/>
                <w:sz w:val="24"/>
                <w:szCs w:val="24"/>
              </w:rPr>
              <w:t>0.000</w:t>
            </w:r>
          </w:p>
        </w:tc>
      </w:tr>
    </w:tbl>
    <w:p w:rsidR="00921C4E" w:rsidRDefault="00921C4E" w:rsidP="00921C4E">
      <w:pPr>
        <w:spacing w:after="0" w:line="360" w:lineRule="auto"/>
        <w:ind w:left="-426" w:right="-330"/>
        <w:rPr>
          <w:rFonts w:ascii="Times New Roman" w:hAnsi="Times New Roman"/>
        </w:rPr>
      </w:pPr>
    </w:p>
    <w:p w:rsidR="00921C4E" w:rsidRDefault="00921C4E" w:rsidP="00921C4E">
      <w:pPr>
        <w:tabs>
          <w:tab w:val="left" w:pos="3261"/>
        </w:tabs>
        <w:spacing w:after="0" w:line="360" w:lineRule="auto"/>
        <w:ind w:left="-567" w:right="662"/>
        <w:jc w:val="both"/>
        <w:rPr>
          <w:rFonts w:ascii="Times New Roman" w:hAnsi="Times New Roman"/>
          <w:b/>
          <w:sz w:val="24"/>
          <w:szCs w:val="24"/>
        </w:rPr>
      </w:pPr>
    </w:p>
    <w:p w:rsidR="00921C4E" w:rsidRDefault="00921C4E" w:rsidP="00921C4E">
      <w:pPr>
        <w:tabs>
          <w:tab w:val="left" w:pos="3261"/>
        </w:tabs>
        <w:spacing w:after="0" w:line="360" w:lineRule="auto"/>
        <w:ind w:left="-567" w:right="662"/>
        <w:jc w:val="both"/>
        <w:rPr>
          <w:rFonts w:ascii="Times New Roman" w:hAnsi="Times New Roman"/>
          <w:sz w:val="24"/>
        </w:rPr>
      </w:pPr>
      <w:r w:rsidRPr="0042566A">
        <w:rPr>
          <w:rFonts w:ascii="Times New Roman" w:hAnsi="Times New Roman"/>
          <w:b/>
          <w:sz w:val="24"/>
          <w:szCs w:val="24"/>
        </w:rPr>
        <w:t xml:space="preserve">Table </w:t>
      </w:r>
      <w:r w:rsidR="00AB0CA4">
        <w:rPr>
          <w:rFonts w:ascii="Times New Roman" w:hAnsi="Times New Roman"/>
          <w:b/>
          <w:sz w:val="24"/>
          <w:szCs w:val="24"/>
        </w:rPr>
        <w:t>S</w:t>
      </w:r>
      <w:r>
        <w:rPr>
          <w:rFonts w:ascii="Times New Roman" w:hAnsi="Times New Roman"/>
          <w:b/>
          <w:sz w:val="24"/>
          <w:szCs w:val="24"/>
        </w:rPr>
        <w:t>2</w:t>
      </w:r>
      <w:r w:rsidRPr="0042566A">
        <w:rPr>
          <w:rFonts w:ascii="Times New Roman" w:hAnsi="Times New Roman"/>
          <w:b/>
          <w:sz w:val="24"/>
          <w:szCs w:val="24"/>
        </w:rPr>
        <w:t>.</w:t>
      </w:r>
      <w:r w:rsidRPr="00032416">
        <w:rPr>
          <w:rFonts w:ascii="Times New Roman" w:hAnsi="Times New Roman"/>
          <w:sz w:val="24"/>
          <w:szCs w:val="24"/>
        </w:rPr>
        <w:t xml:space="preserve"> </w:t>
      </w:r>
      <w:r w:rsidRPr="00EE262F">
        <w:rPr>
          <w:rFonts w:ascii="Times New Roman" w:hAnsi="Times New Roman"/>
          <w:sz w:val="24"/>
          <w:szCs w:val="24"/>
        </w:rPr>
        <w:t>Final model-averaged parameter estimates with standard error and 95% confidence intervals. Effects are model-averaged slope estimates derived from the models in Table 1</w:t>
      </w:r>
      <w:r>
        <w:rPr>
          <w:rFonts w:ascii="Times New Roman" w:hAnsi="Times New Roman"/>
          <w:sz w:val="24"/>
          <w:szCs w:val="24"/>
        </w:rPr>
        <w:t>, r</w:t>
      </w:r>
      <w:r w:rsidRPr="00EE262F">
        <w:rPr>
          <w:rFonts w:ascii="Times New Roman" w:hAnsi="Times New Roman"/>
          <w:sz w:val="24"/>
          <w:szCs w:val="24"/>
        </w:rPr>
        <w:t xml:space="preserve">anked by relative importance of each habitat variable to explain variation in </w:t>
      </w:r>
      <w:r>
        <w:rPr>
          <w:rFonts w:ascii="Times New Roman" w:hAnsi="Times New Roman"/>
          <w:sz w:val="24"/>
          <w:szCs w:val="24"/>
        </w:rPr>
        <w:t xml:space="preserve">changes in </w:t>
      </w:r>
      <w:r w:rsidRPr="00EE262F">
        <w:rPr>
          <w:rFonts w:ascii="Times New Roman" w:hAnsi="Times New Roman"/>
          <w:sz w:val="24"/>
          <w:szCs w:val="24"/>
        </w:rPr>
        <w:t xml:space="preserve">Herring Gull colony </w:t>
      </w:r>
      <w:r>
        <w:rPr>
          <w:rFonts w:ascii="Times New Roman" w:hAnsi="Times New Roman"/>
          <w:sz w:val="24"/>
          <w:szCs w:val="24"/>
        </w:rPr>
        <w:t>size between Operation Seafarer (1969) and Seabird 2000 (1998–2002)</w:t>
      </w:r>
      <w:r w:rsidRPr="00EE262F">
        <w:rPr>
          <w:rFonts w:ascii="Times New Roman" w:hAnsi="Times New Roman"/>
          <w:sz w:val="24"/>
          <w:szCs w:val="24"/>
        </w:rPr>
        <w:t>.</w:t>
      </w:r>
      <w:r w:rsidRPr="0042566A">
        <w:rPr>
          <w:rFonts w:ascii="Times New Roman" w:hAnsi="Times New Roman"/>
          <w:sz w:val="24"/>
        </w:rPr>
        <w:t xml:space="preserve"> </w:t>
      </w:r>
    </w:p>
    <w:tbl>
      <w:tblPr>
        <w:tblW w:w="9112" w:type="dxa"/>
        <w:tblInd w:w="-615" w:type="dxa"/>
        <w:tblBorders>
          <w:top w:val="single" w:sz="4" w:space="0" w:color="7F7F7F"/>
          <w:bottom w:val="single" w:sz="4" w:space="0" w:color="7F7F7F"/>
        </w:tblBorders>
        <w:tblLook w:val="04A0" w:firstRow="1" w:lastRow="0" w:firstColumn="1" w:lastColumn="0" w:noHBand="0" w:noVBand="1"/>
      </w:tblPr>
      <w:tblGrid>
        <w:gridCol w:w="1994"/>
        <w:gridCol w:w="1642"/>
        <w:gridCol w:w="1234"/>
        <w:gridCol w:w="1590"/>
        <w:gridCol w:w="1184"/>
        <w:gridCol w:w="1468"/>
      </w:tblGrid>
      <w:tr w:rsidR="00921C4E" w:rsidRPr="00EB04F1" w:rsidTr="006E2D51">
        <w:tc>
          <w:tcPr>
            <w:tcW w:w="1994" w:type="dxa"/>
            <w:vMerge w:val="restar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</w:rPr>
            </w:pPr>
            <w:r w:rsidRPr="00EB04F1">
              <w:rPr>
                <w:rFonts w:ascii="Times New Roman" w:hAnsi="Times New Roman"/>
                <w:bCs/>
                <w:sz w:val="24"/>
              </w:rPr>
              <w:t>Parameter</w:t>
            </w:r>
          </w:p>
        </w:tc>
        <w:tc>
          <w:tcPr>
            <w:tcW w:w="1642" w:type="dxa"/>
            <w:vMerge w:val="restar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Effect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SE</w:t>
            </w:r>
          </w:p>
        </w:tc>
        <w:tc>
          <w:tcPr>
            <w:tcW w:w="2774" w:type="dxa"/>
            <w:gridSpan w:val="2"/>
            <w:tcBorders>
              <w:top w:val="single" w:sz="4" w:space="0" w:color="auto"/>
              <w:bottom w:val="single" w:sz="4" w:space="0" w:color="7F7F7F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EB04F1">
              <w:rPr>
                <w:rFonts w:ascii="Times New Roman" w:hAnsi="Times New Roman"/>
                <w:bCs/>
                <w:sz w:val="24"/>
              </w:rPr>
              <w:t>95% Confidence Intervals</w:t>
            </w:r>
          </w:p>
        </w:tc>
        <w:tc>
          <w:tcPr>
            <w:tcW w:w="1468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EB04F1">
              <w:rPr>
                <w:rFonts w:ascii="Times New Roman" w:hAnsi="Times New Roman"/>
                <w:bCs/>
                <w:sz w:val="24"/>
              </w:rPr>
              <w:t>Relative importance</w:t>
            </w:r>
            <w:r w:rsidRPr="001B125F">
              <w:rPr>
                <w:rFonts w:ascii="Times New Roman" w:hAnsi="Times New Roman"/>
                <w:bCs/>
                <w:sz w:val="24"/>
                <w:vertAlign w:val="superscript"/>
              </w:rPr>
              <w:t>1</w:t>
            </w:r>
          </w:p>
        </w:tc>
      </w:tr>
      <w:tr w:rsidR="00921C4E" w:rsidRPr="00EB04F1" w:rsidTr="006E2D51">
        <w:tc>
          <w:tcPr>
            <w:tcW w:w="199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642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34" w:type="dxa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4F1">
              <w:rPr>
                <w:rFonts w:ascii="Times New Roman" w:hAnsi="Times New Roman"/>
                <w:sz w:val="24"/>
              </w:rPr>
              <w:t>Lower</w:t>
            </w:r>
          </w:p>
        </w:tc>
        <w:tc>
          <w:tcPr>
            <w:tcW w:w="1184" w:type="dxa"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B04F1">
              <w:rPr>
                <w:rFonts w:ascii="Times New Roman" w:hAnsi="Times New Roman"/>
                <w:sz w:val="24"/>
              </w:rPr>
              <w:t>Upper</w:t>
            </w:r>
          </w:p>
        </w:tc>
        <w:tc>
          <w:tcPr>
            <w:tcW w:w="1468" w:type="dxa"/>
            <w:vMerge/>
            <w:tcBorders>
              <w:top w:val="single" w:sz="4" w:space="0" w:color="7F7F7F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21C4E" w:rsidRPr="00EB04F1" w:rsidTr="006E2D51">
        <w:tc>
          <w:tcPr>
            <w:tcW w:w="199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80" w:after="4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Intercept</w:t>
            </w:r>
          </w:p>
        </w:tc>
        <w:tc>
          <w:tcPr>
            <w:tcW w:w="164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8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0.3017</w:t>
            </w:r>
          </w:p>
        </w:tc>
        <w:tc>
          <w:tcPr>
            <w:tcW w:w="123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8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8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8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6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921C4E" w:rsidRDefault="00921C4E" w:rsidP="006E2D51">
            <w:pPr>
              <w:spacing w:before="8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921C4E" w:rsidRPr="00EB04F1" w:rsidTr="006E2D51">
        <w:tc>
          <w:tcPr>
            <w:tcW w:w="1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C4E" w:rsidRPr="00105EFB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</w:rPr>
            </w:pPr>
            <w:r w:rsidRPr="00105EFB">
              <w:rPr>
                <w:rFonts w:ascii="Times New Roman" w:hAnsi="Times New Roman"/>
                <w:bCs/>
                <w:sz w:val="24"/>
              </w:rPr>
              <w:t>Wave Fetch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Pr="00105EFB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-0.0008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Pr="00105EFB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0.0002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Pr="00105EFB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-0.0012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Pr="00105EFB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-0.0004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C4E" w:rsidRPr="00105EFB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0.994</w:t>
            </w:r>
          </w:p>
        </w:tc>
      </w:tr>
      <w:tr w:rsidR="00921C4E" w:rsidRPr="00EB04F1" w:rsidTr="006E2D51">
        <w:tc>
          <w:tcPr>
            <w:tcW w:w="199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C4E" w:rsidRDefault="00921C4E" w:rsidP="006E2D51">
            <w:pPr>
              <w:spacing w:before="40" w:after="40" w:line="240" w:lineRule="auto"/>
              <w:rPr>
                <w:rFonts w:ascii="Times New Roman" w:hAnsi="Times New Roman"/>
                <w:bCs/>
                <w:sz w:val="24"/>
              </w:rPr>
            </w:pPr>
            <w:r w:rsidRPr="00EB04F1">
              <w:rPr>
                <w:rFonts w:ascii="Times New Roman" w:hAnsi="Times New Roman"/>
                <w:bCs/>
                <w:sz w:val="24"/>
              </w:rPr>
              <w:t>Farmland</w:t>
            </w:r>
          </w:p>
        </w:tc>
        <w:tc>
          <w:tcPr>
            <w:tcW w:w="164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0.0001</w:t>
            </w:r>
          </w:p>
        </w:tc>
        <w:tc>
          <w:tcPr>
            <w:tcW w:w="123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0.0001</w:t>
            </w:r>
          </w:p>
        </w:tc>
        <w:tc>
          <w:tcPr>
            <w:tcW w:w="159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-0.0001</w:t>
            </w:r>
          </w:p>
        </w:tc>
        <w:tc>
          <w:tcPr>
            <w:tcW w:w="1184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921C4E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0.0002</w:t>
            </w:r>
          </w:p>
        </w:tc>
        <w:tc>
          <w:tcPr>
            <w:tcW w:w="14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21C4E" w:rsidRDefault="00921C4E" w:rsidP="006E2D5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0.388</w:t>
            </w:r>
          </w:p>
        </w:tc>
      </w:tr>
      <w:tr w:rsidR="00921C4E" w:rsidRPr="00EB04F1" w:rsidTr="006E2D51">
        <w:tc>
          <w:tcPr>
            <w:tcW w:w="199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8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Fishery CPUE</w:t>
            </w:r>
          </w:p>
        </w:tc>
        <w:tc>
          <w:tcPr>
            <w:tcW w:w="1642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0.0002</w:t>
            </w:r>
          </w:p>
        </w:tc>
        <w:tc>
          <w:tcPr>
            <w:tcW w:w="123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0.0001</w:t>
            </w:r>
          </w:p>
        </w:tc>
        <w:tc>
          <w:tcPr>
            <w:tcW w:w="1590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-0.0002</w:t>
            </w:r>
          </w:p>
        </w:tc>
        <w:tc>
          <w:tcPr>
            <w:tcW w:w="1184" w:type="dxa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21C4E" w:rsidRPr="00EB04F1" w:rsidRDefault="00921C4E" w:rsidP="006E2D5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0.0003</w:t>
            </w:r>
          </w:p>
        </w:tc>
        <w:tc>
          <w:tcPr>
            <w:tcW w:w="146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21C4E" w:rsidRPr="00EB04F1" w:rsidRDefault="00921C4E" w:rsidP="006E2D51">
            <w:pPr>
              <w:spacing w:before="40" w:after="8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0.170</w:t>
            </w:r>
          </w:p>
        </w:tc>
      </w:tr>
    </w:tbl>
    <w:p w:rsidR="00921C4E" w:rsidRPr="00921C4E" w:rsidRDefault="00921C4E" w:rsidP="00921C4E">
      <w:pPr>
        <w:pStyle w:val="PlainText"/>
        <w:ind w:left="-567"/>
        <w:rPr>
          <w:b/>
        </w:rPr>
      </w:pPr>
      <w:r w:rsidRPr="001B125F"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 Relative importance refers to </w:t>
      </w:r>
      <w:r w:rsidRPr="004A187A">
        <w:rPr>
          <w:rFonts w:ascii="Times New Roman" w:hAnsi="Times New Roman"/>
          <w:sz w:val="24"/>
          <w:szCs w:val="24"/>
        </w:rPr>
        <w:t xml:space="preserve">the sum of </w:t>
      </w:r>
      <w:r w:rsidR="00E00387">
        <w:rPr>
          <w:rFonts w:ascii="Times New Roman" w:hAnsi="Times New Roman"/>
          <w:sz w:val="24"/>
          <w:szCs w:val="24"/>
        </w:rPr>
        <w:t xml:space="preserve">all </w:t>
      </w:r>
      <w:r w:rsidR="00095128">
        <w:rPr>
          <w:rFonts w:ascii="Times New Roman" w:hAnsi="Times New Roman"/>
          <w:sz w:val="24"/>
          <w:szCs w:val="24"/>
        </w:rPr>
        <w:t>model weights</w:t>
      </w:r>
      <w:bookmarkStart w:id="1" w:name="_GoBack"/>
      <w:bookmarkEnd w:id="1"/>
      <w:r w:rsidRPr="004A187A">
        <w:rPr>
          <w:rFonts w:ascii="Times New Roman" w:hAnsi="Times New Roman"/>
          <w:sz w:val="24"/>
          <w:szCs w:val="24"/>
        </w:rPr>
        <w:t xml:space="preserve"> in which a given parameter occurs.</w:t>
      </w:r>
    </w:p>
    <w:sectPr w:rsidR="00921C4E" w:rsidRPr="00921C4E" w:rsidSect="00921C4E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C4E"/>
    <w:rsid w:val="00095128"/>
    <w:rsid w:val="003E7977"/>
    <w:rsid w:val="00921C4E"/>
    <w:rsid w:val="00947F1D"/>
    <w:rsid w:val="00A05A9C"/>
    <w:rsid w:val="00AB0CA4"/>
    <w:rsid w:val="00E00387"/>
    <w:rsid w:val="00E3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A6C05"/>
  <w15:chartTrackingRefBased/>
  <w15:docId w15:val="{45BF3BFB-FCA6-4A66-83F3-00C84A364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21C4E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1C4E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Highlands and Islands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O'Hanlon</dc:creator>
  <cp:keywords/>
  <dc:description/>
  <cp:lastModifiedBy>Nina O'Hanlon</cp:lastModifiedBy>
  <cp:revision>6</cp:revision>
  <dcterms:created xsi:type="dcterms:W3CDTF">2018-07-17T10:55:00Z</dcterms:created>
  <dcterms:modified xsi:type="dcterms:W3CDTF">2018-08-22T12:10:00Z</dcterms:modified>
</cp:coreProperties>
</file>