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6149" w14:textId="740F8192" w:rsidR="00FC4F8D" w:rsidRDefault="00967FD6" w:rsidP="00D12C90">
      <w:pPr>
        <w:autoSpaceDE w:val="0"/>
        <w:autoSpaceDN w:val="0"/>
        <w:adjustRightInd w:val="0"/>
        <w:spacing w:line="276" w:lineRule="auto"/>
        <w:rPr>
          <w:rFonts w:ascii="Cambria" w:eastAsia="MS Mincho" w:hAnsi="Cambria" w:cs="Arial"/>
          <w:b/>
          <w:lang w:val="en-US"/>
        </w:rPr>
      </w:pPr>
      <w:bookmarkStart w:id="0" w:name="_GoBack"/>
      <w:bookmarkEnd w:id="0"/>
      <w:r w:rsidRPr="00967FD6">
        <w:rPr>
          <w:rFonts w:ascii="Cambria" w:eastAsia="MS Mincho" w:hAnsi="Cambria" w:cs="Arial"/>
          <w:b/>
          <w:lang w:val="en-US"/>
        </w:rPr>
        <w:t>Supplementary table 1. Databases and search strategies</w:t>
      </w:r>
    </w:p>
    <w:p w14:paraId="5499DB4D" w14:textId="0A77CF98" w:rsidR="00D12C90" w:rsidRPr="000D2DE5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851"/>
      </w:tblGrid>
      <w:tr w:rsidR="00FC4F8D" w:rsidRPr="0016057F" w14:paraId="2B1BA7D7" w14:textId="77777777" w:rsidTr="00FC4F8D">
        <w:tc>
          <w:tcPr>
            <w:tcW w:w="3823" w:type="dxa"/>
          </w:tcPr>
          <w:p w14:paraId="2D7EF224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>Databases of published trials</w:t>
            </w:r>
          </w:p>
        </w:tc>
        <w:tc>
          <w:tcPr>
            <w:tcW w:w="4677" w:type="dxa"/>
          </w:tcPr>
          <w:p w14:paraId="7A1C0865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>Search strategy used</w:t>
            </w:r>
          </w:p>
        </w:tc>
        <w:tc>
          <w:tcPr>
            <w:tcW w:w="851" w:type="dxa"/>
          </w:tcPr>
          <w:p w14:paraId="207B092C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 xml:space="preserve">Hits </w:t>
            </w:r>
          </w:p>
        </w:tc>
      </w:tr>
      <w:tr w:rsidR="00FC4F8D" w:rsidRPr="0016057F" w14:paraId="00E23119" w14:textId="77777777" w:rsidTr="00FC4F8D">
        <w:trPr>
          <w:trHeight w:val="2301"/>
        </w:trPr>
        <w:tc>
          <w:tcPr>
            <w:tcW w:w="3823" w:type="dxa"/>
          </w:tcPr>
          <w:p w14:paraId="5F02A830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 xml:space="preserve">MEDLINE searched via </w:t>
            </w:r>
            <w:r>
              <w:rPr>
                <w:rFonts w:cs="AdvOT56710e45"/>
              </w:rPr>
              <w:t>Ovid</w:t>
            </w:r>
          </w:p>
          <w:p w14:paraId="03FB256A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 xml:space="preserve">(1950- </w:t>
            </w:r>
            <w:r>
              <w:rPr>
                <w:rFonts w:cs="AdvOT56710e45"/>
              </w:rPr>
              <w:t>8</w:t>
            </w:r>
            <w:r w:rsidRPr="008E4A84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  <w:r w:rsidRPr="00513B96">
              <w:rPr>
                <w:rFonts w:cs="AdvOT56710e45"/>
              </w:rPr>
              <w:t>)</w:t>
            </w:r>
          </w:p>
          <w:p w14:paraId="54D6FD2B" w14:textId="77777777" w:rsidR="00D12C90" w:rsidRPr="008E4A84" w:rsidRDefault="00FB1EFD" w:rsidP="003B106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Theme="minorHAnsi" w:cs="AdvOT56710e45"/>
              </w:rPr>
            </w:pPr>
            <w:hyperlink r:id="rId5" w:history="1">
              <w:r w:rsidR="00D12C90" w:rsidRPr="008E4A84">
                <w:rPr>
                  <w:rFonts w:eastAsiaTheme="minorHAnsi" w:cs="AdvOT56710e45"/>
                </w:rPr>
                <w:t>https://www.nlm.nih.gov/bsd/pmresources.html</w:t>
              </w:r>
            </w:hyperlink>
          </w:p>
          <w:p w14:paraId="56BB3429" w14:textId="77777777" w:rsidR="00D12C90" w:rsidRPr="00513B96" w:rsidRDefault="00D12C90" w:rsidP="003B1067">
            <w:pPr>
              <w:spacing w:line="276" w:lineRule="auto"/>
              <w:rPr>
                <w:rFonts w:cs="AdvOT56710e45"/>
              </w:rPr>
            </w:pPr>
          </w:p>
        </w:tc>
        <w:tc>
          <w:tcPr>
            <w:tcW w:w="4677" w:type="dxa"/>
          </w:tcPr>
          <w:p w14:paraId="66CCE50E" w14:textId="77777777" w:rsidR="00D12C90" w:rsidRPr="00691711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(MH "Malocclusion, Angle Class III")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OR (MH "Malocclusion")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OR (Class III) OR (Class III malocclusion) OR (deficient maxilla) OR (retrognathic maxilla) OR (crossbite)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AND (MH "Extraoral Traction Appliances")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OR (Reverse pull headgear) OR (Reverse headgear) OR (protraction headgear) OR (Maxillary protraction) OR (Face mask) OR (Facemask)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AND (MH "Palatal Expansion Technique")</w:t>
            </w:r>
            <w:r w:rsidRPr="008E4A84">
              <w:rPr>
                <w:rFonts w:cs="AdvOT56710e45"/>
              </w:rPr>
              <w:t xml:space="preserve"> </w:t>
            </w:r>
            <w:r w:rsidRPr="00EB31F0">
              <w:rPr>
                <w:rFonts w:cs="AdvOT56710e45"/>
              </w:rPr>
              <w:t>OR (Alt-RAMEC) OR (</w:t>
            </w:r>
            <w:proofErr w:type="spellStart"/>
            <w:r w:rsidRPr="00EB31F0">
              <w:rPr>
                <w:rFonts w:cs="AdvOT56710e45"/>
              </w:rPr>
              <w:t>alternat</w:t>
            </w:r>
            <w:proofErr w:type="spellEnd"/>
            <w:r w:rsidRPr="00EB31F0">
              <w:rPr>
                <w:rFonts w:cs="AdvOT56710e45"/>
              </w:rPr>
              <w:t>*) OR (Activation deactivation rapid palatal expansion) OR (rapid maxillary expansion) OR (RME)</w:t>
            </w:r>
          </w:p>
        </w:tc>
        <w:tc>
          <w:tcPr>
            <w:tcW w:w="851" w:type="dxa"/>
          </w:tcPr>
          <w:p w14:paraId="5D7C33F5" w14:textId="77777777" w:rsidR="00D12C90" w:rsidRPr="00513B96" w:rsidRDefault="00D12C90" w:rsidP="003B1067">
            <w:pPr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309</w:t>
            </w:r>
          </w:p>
        </w:tc>
      </w:tr>
      <w:tr w:rsidR="00FC4F8D" w:rsidRPr="0016057F" w14:paraId="7AA0EB14" w14:textId="77777777" w:rsidTr="00FC4F8D">
        <w:trPr>
          <w:trHeight w:val="2688"/>
        </w:trPr>
        <w:tc>
          <w:tcPr>
            <w:tcW w:w="3823" w:type="dxa"/>
          </w:tcPr>
          <w:p w14:paraId="00823F90" w14:textId="77777777" w:rsidR="00D12C90" w:rsidRPr="0016057F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  <w:color w:val="000000"/>
              </w:rPr>
            </w:pPr>
            <w:r w:rsidRPr="0016057F">
              <w:rPr>
                <w:rFonts w:cs="AdvOT56710e45"/>
                <w:color w:val="000000"/>
              </w:rPr>
              <w:t>Cochrane Database of Systematic Reviews</w:t>
            </w:r>
            <w:r>
              <w:rPr>
                <w:rFonts w:cs="AdvOT56710e45"/>
                <w:color w:val="000000"/>
              </w:rPr>
              <w:t xml:space="preserve"> and </w:t>
            </w:r>
            <w:r w:rsidRPr="00FF3AD2">
              <w:rPr>
                <w:rFonts w:cs="AdvOT56710e45"/>
                <w:color w:val="000000"/>
              </w:rPr>
              <w:t xml:space="preserve">Cochrane Central Register of Controlled Trials </w:t>
            </w:r>
            <w:r>
              <w:rPr>
                <w:rFonts w:cs="AdvOT56710e45"/>
                <w:color w:val="000000"/>
              </w:rPr>
              <w:t>searched via t</w:t>
            </w:r>
            <w:r w:rsidRPr="0016057F">
              <w:rPr>
                <w:rFonts w:cs="AdvOT56710e45"/>
                <w:color w:val="000000"/>
              </w:rPr>
              <w:t>he Cochrane Library</w:t>
            </w:r>
          </w:p>
          <w:p w14:paraId="1FCD22A0" w14:textId="77777777" w:rsidR="00D12C90" w:rsidRPr="00676B29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  <w:color w:val="000000"/>
              </w:rPr>
              <w:t xml:space="preserve"> </w:t>
            </w:r>
            <w:r>
              <w:rPr>
                <w:rFonts w:cs="AdvOT56710e45"/>
              </w:rPr>
              <w:t>Up to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8</w:t>
            </w:r>
            <w:r w:rsidRPr="008E4A84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</w:p>
          <w:p w14:paraId="1BB612A7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37186">
              <w:rPr>
                <w:rFonts w:cs="AdvOT56710e45"/>
                <w:color w:val="000000"/>
              </w:rPr>
              <w:t>www.thecochranelibrary.com</w:t>
            </w:r>
          </w:p>
        </w:tc>
        <w:tc>
          <w:tcPr>
            <w:tcW w:w="4677" w:type="dxa"/>
          </w:tcPr>
          <w:p w14:paraId="32F6568A" w14:textId="77777777" w:rsidR="00D12C90" w:rsidRPr="00351BAF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(</w:t>
            </w:r>
            <w:r w:rsidRPr="00EB31F0">
              <w:rPr>
                <w:rFonts w:cs="AdvOT56710e45"/>
              </w:rPr>
              <w:t xml:space="preserve">MeSH descriptor: [Palatal Expansion </w:t>
            </w:r>
            <w:r>
              <w:rPr>
                <w:rFonts w:cs="AdvOT56710e45"/>
              </w:rPr>
              <w:t>Technique] explode all trees</w:t>
            </w:r>
            <w:r w:rsidRPr="00EB31F0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 xml:space="preserve">OR </w:t>
            </w:r>
            <w:r w:rsidRPr="00EB31F0">
              <w:rPr>
                <w:rFonts w:cs="AdvOT56710e45"/>
              </w:rPr>
              <w:t xml:space="preserve">Alt-RAMEC)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</w:t>
            </w:r>
            <w:proofErr w:type="spellStart"/>
            <w:r w:rsidRPr="00EB31F0">
              <w:rPr>
                <w:rFonts w:cs="AdvOT56710e45"/>
              </w:rPr>
              <w:t>alternat</w:t>
            </w:r>
            <w:proofErr w:type="spellEnd"/>
            <w:r w:rsidRPr="00EB31F0">
              <w:rPr>
                <w:rFonts w:cs="AdvOT56710e45"/>
              </w:rPr>
              <w:t xml:space="preserve">*)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(Activation deactivation rapid palatal expansion)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(rapid maxi</w:t>
            </w:r>
            <w:r>
              <w:rPr>
                <w:rFonts w:cs="AdvOT56710e45"/>
              </w:rPr>
              <w:t>llary expansion) OR</w:t>
            </w:r>
            <w:r w:rsidRPr="00EB31F0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(RME)</w:t>
            </w:r>
            <w:r w:rsidRPr="00EB31F0">
              <w:rPr>
                <w:rFonts w:cs="AdvOT56710e45"/>
              </w:rPr>
              <w:t xml:space="preserve">) </w:t>
            </w:r>
            <w:r>
              <w:rPr>
                <w:rFonts w:cs="AdvOT56710e45"/>
              </w:rPr>
              <w:t>AND</w:t>
            </w:r>
            <w:r w:rsidRPr="00EB31F0">
              <w:rPr>
                <w:rFonts w:cs="AdvOT56710e45"/>
              </w:rPr>
              <w:t xml:space="preserve"> (MeSH descriptor: [Extraoral Traction Appliances] ex</w:t>
            </w:r>
            <w:r>
              <w:rPr>
                <w:rFonts w:cs="AdvOT56710e45"/>
              </w:rPr>
              <w:t>plode all trees</w:t>
            </w:r>
            <w:r w:rsidRPr="00EB31F0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 xml:space="preserve">OR </w:t>
            </w:r>
            <w:r w:rsidRPr="00EB31F0">
              <w:rPr>
                <w:rFonts w:cs="AdvOT56710e45"/>
              </w:rPr>
              <w:t xml:space="preserve">Reverse pull headgear)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(Reverse headgear)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(protraction headgear)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(Maxillary protraction) </w:t>
            </w:r>
            <w:r>
              <w:rPr>
                <w:rFonts w:cs="AdvOT56710e45"/>
              </w:rPr>
              <w:t>OR (Face mask) OR (Facemask)</w:t>
            </w:r>
            <w:r w:rsidRPr="00EB31F0">
              <w:rPr>
                <w:rFonts w:cs="AdvOT56710e45"/>
              </w:rPr>
              <w:t xml:space="preserve">) </w:t>
            </w:r>
            <w:r>
              <w:rPr>
                <w:rFonts w:cs="AdvOT56710e45"/>
              </w:rPr>
              <w:t>AND (</w:t>
            </w:r>
            <w:r w:rsidRPr="00EB31F0">
              <w:rPr>
                <w:rFonts w:cs="AdvOT56710e45"/>
              </w:rPr>
              <w:t xml:space="preserve">MeSH descriptor: [Malocclusion, Angle </w:t>
            </w:r>
            <w:r>
              <w:rPr>
                <w:rFonts w:cs="AdvOT56710e45"/>
              </w:rPr>
              <w:t>Class III] explode all trees</w:t>
            </w:r>
            <w:r w:rsidRPr="00EB31F0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MeSH descriptor: [Malo</w:t>
            </w:r>
            <w:r>
              <w:rPr>
                <w:rFonts w:cs="AdvOT56710e45"/>
              </w:rPr>
              <w:t>cclusion] explode all trees</w:t>
            </w:r>
            <w:r w:rsidRPr="00EB31F0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OR</w:t>
            </w:r>
            <w:r w:rsidRPr="00EB31F0">
              <w:rPr>
                <w:rFonts w:cs="AdvOT56710e45"/>
              </w:rPr>
              <w:t xml:space="preserve"> (Class III) or (Class III malocclusion) or (deficient maxilla) or (retrognath</w:t>
            </w:r>
            <w:r>
              <w:rPr>
                <w:rFonts w:cs="AdvOT56710e45"/>
              </w:rPr>
              <w:t>ic maxilla) or (crossbite</w:t>
            </w:r>
            <w:r w:rsidRPr="00EB31F0">
              <w:rPr>
                <w:rFonts w:cs="AdvOT56710e45"/>
              </w:rPr>
              <w:t xml:space="preserve">) </w:t>
            </w:r>
            <w:r w:rsidRPr="00EB31F0">
              <w:rPr>
                <w:rFonts w:cs="AdvOT56710e45"/>
              </w:rPr>
              <w:tab/>
            </w:r>
          </w:p>
        </w:tc>
        <w:tc>
          <w:tcPr>
            <w:tcW w:w="851" w:type="dxa"/>
          </w:tcPr>
          <w:p w14:paraId="2F62C15D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191</w:t>
            </w:r>
          </w:p>
        </w:tc>
      </w:tr>
      <w:tr w:rsidR="00FC4F8D" w:rsidRPr="0016057F" w14:paraId="56A64AE8" w14:textId="77777777" w:rsidTr="00FC4F8D">
        <w:tc>
          <w:tcPr>
            <w:tcW w:w="3823" w:type="dxa"/>
          </w:tcPr>
          <w:p w14:paraId="0A67621B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 xml:space="preserve">Scopus </w:t>
            </w:r>
          </w:p>
          <w:p w14:paraId="3B2B5D08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Up to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8</w:t>
            </w:r>
            <w:r w:rsidRPr="008E4A84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</w:p>
          <w:p w14:paraId="099CD0BB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8E4A84">
              <w:rPr>
                <w:rFonts w:cs="AdvOT56710e45"/>
              </w:rPr>
              <w:t>Search: Title/Abstract/keywords</w:t>
            </w:r>
          </w:p>
          <w:p w14:paraId="60003AB9" w14:textId="77777777" w:rsidR="00D12C90" w:rsidRPr="00513B96" w:rsidRDefault="00D12C90" w:rsidP="003B1067">
            <w:pPr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t>www.scopus.com</w:t>
            </w:r>
          </w:p>
        </w:tc>
        <w:tc>
          <w:tcPr>
            <w:tcW w:w="4677" w:type="dxa"/>
          </w:tcPr>
          <w:p w14:paraId="03D9AC2B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 xml:space="preserve"> (TITLE-ABS-KEY ((alt-</w:t>
            </w:r>
            <w:proofErr w:type="spellStart"/>
            <w:r>
              <w:rPr>
                <w:rFonts w:cs="AdvOT56710e45"/>
              </w:rPr>
              <w:t>ramec</w:t>
            </w:r>
            <w:proofErr w:type="spellEnd"/>
            <w:r>
              <w:rPr>
                <w:rFonts w:cs="AdvOT56710e45"/>
              </w:rPr>
              <w:t>) OR (</w:t>
            </w:r>
            <w:proofErr w:type="spellStart"/>
            <w:r>
              <w:rPr>
                <w:rFonts w:cs="AdvOT56710e45"/>
              </w:rPr>
              <w:t>alternat</w:t>
            </w:r>
            <w:proofErr w:type="spellEnd"/>
            <w:r>
              <w:rPr>
                <w:rFonts w:cs="AdvOT56710e45"/>
              </w:rPr>
              <w:t>*) OR (</w:t>
            </w:r>
            <w:r w:rsidRPr="00B9275E">
              <w:rPr>
                <w:rFonts w:cs="AdvOT56710e45"/>
              </w:rPr>
              <w:t xml:space="preserve">activation AND deactivation AND rapid </w:t>
            </w:r>
            <w:r>
              <w:rPr>
                <w:rFonts w:cs="AdvOT56710e45"/>
              </w:rPr>
              <w:t>AND palatal AND expansion) OR (</w:t>
            </w:r>
            <w:r w:rsidRPr="00B9275E">
              <w:rPr>
                <w:rFonts w:cs="AdvOT56710e45"/>
              </w:rPr>
              <w:t>rapid AN</w:t>
            </w:r>
            <w:r>
              <w:rPr>
                <w:rFonts w:cs="AdvOT56710e45"/>
              </w:rPr>
              <w:t>D maxillary AND expansion) OR (RME</w:t>
            </w:r>
            <w:r w:rsidRPr="00B9275E">
              <w:rPr>
                <w:rFonts w:cs="AdvOT56710e45"/>
              </w:rPr>
              <w:t xml:space="preserve">) OR </w:t>
            </w:r>
            <w:r>
              <w:rPr>
                <w:rFonts w:cs="AdvOT56710e45"/>
              </w:rPr>
              <w:t>(</w:t>
            </w:r>
            <w:r w:rsidRPr="00B9275E">
              <w:rPr>
                <w:rFonts w:cs="AdvOT56710e45"/>
              </w:rPr>
              <w:t>palatal AND expansion AND te</w:t>
            </w:r>
            <w:r>
              <w:rPr>
                <w:rFonts w:cs="AdvOT56710e45"/>
              </w:rPr>
              <w:t>chnique)) AND TITLE-ABS-KEY ((</w:t>
            </w:r>
            <w:r w:rsidRPr="00B9275E">
              <w:rPr>
                <w:rFonts w:cs="AdvOT56710e45"/>
              </w:rPr>
              <w:t>reve</w:t>
            </w:r>
            <w:r>
              <w:rPr>
                <w:rFonts w:cs="AdvOT56710e45"/>
              </w:rPr>
              <w:t>rse AND pull AND headgear) OR (reverse AND headgear) OR (</w:t>
            </w:r>
            <w:r w:rsidRPr="00B9275E">
              <w:rPr>
                <w:rFonts w:cs="AdvOT56710e45"/>
              </w:rPr>
              <w:t xml:space="preserve">protraction AND </w:t>
            </w:r>
            <w:r>
              <w:rPr>
                <w:rFonts w:cs="AdvOT56710e45"/>
              </w:rPr>
              <w:t>headgear) OR (</w:t>
            </w:r>
            <w:r w:rsidRPr="00B9275E">
              <w:rPr>
                <w:rFonts w:cs="AdvOT56710e45"/>
              </w:rPr>
              <w:t xml:space="preserve">maxillary </w:t>
            </w:r>
            <w:r>
              <w:rPr>
                <w:rFonts w:cs="AdvOT56710e45"/>
              </w:rPr>
              <w:t>AND protraction) OR (face AND mask) OR (facemask) OR (</w:t>
            </w:r>
            <w:r w:rsidRPr="00B9275E">
              <w:rPr>
                <w:rFonts w:cs="AdvOT56710e45"/>
              </w:rPr>
              <w:t>extraoral AND traction AND app</w:t>
            </w:r>
            <w:r>
              <w:rPr>
                <w:rFonts w:cs="AdvOT56710e45"/>
              </w:rPr>
              <w:t xml:space="preserve">liances)) AND </w:t>
            </w:r>
            <w:r>
              <w:rPr>
                <w:rFonts w:cs="AdvOT56710e45"/>
              </w:rPr>
              <w:lastRenderedPageBreak/>
              <w:t>TITLE-ABS-KEY ((class AND iii) OR (</w:t>
            </w:r>
            <w:r w:rsidRPr="00B9275E">
              <w:rPr>
                <w:rFonts w:cs="AdvOT56710e45"/>
              </w:rPr>
              <w:t>class</w:t>
            </w:r>
            <w:r>
              <w:rPr>
                <w:rFonts w:cs="AdvOT56710e45"/>
              </w:rPr>
              <w:t xml:space="preserve"> AND iii AND malocclusion) OR (deficient AND maxilla) OR (</w:t>
            </w:r>
            <w:r w:rsidRPr="00B9275E">
              <w:rPr>
                <w:rFonts w:cs="AdvOT56710e45"/>
              </w:rPr>
              <w:t xml:space="preserve">retrognathic AND maxilla) </w:t>
            </w:r>
            <w:r>
              <w:rPr>
                <w:rFonts w:cs="AdvOT56710e45"/>
              </w:rPr>
              <w:t>OR (crossbite) OR (angle AND class AND iii) OR (</w:t>
            </w:r>
            <w:proofErr w:type="spellStart"/>
            <w:r w:rsidRPr="00B9275E">
              <w:rPr>
                <w:rFonts w:cs="AdvOT56710e45"/>
              </w:rPr>
              <w:t>maloccliusion</w:t>
            </w:r>
            <w:proofErr w:type="spellEnd"/>
            <w:r w:rsidRPr="00B9275E">
              <w:rPr>
                <w:rFonts w:cs="AdvOT56710e45"/>
              </w:rPr>
              <w:t xml:space="preserve">))) </w:t>
            </w:r>
          </w:p>
        </w:tc>
        <w:tc>
          <w:tcPr>
            <w:tcW w:w="851" w:type="dxa"/>
          </w:tcPr>
          <w:p w14:paraId="50AEA2BF" w14:textId="77777777" w:rsidR="00D12C90" w:rsidRPr="00513B96" w:rsidRDefault="00D12C90" w:rsidP="003B1067">
            <w:pPr>
              <w:spacing w:line="276" w:lineRule="auto"/>
              <w:rPr>
                <w:rFonts w:cs="AdvOT56710e45"/>
              </w:rPr>
            </w:pPr>
            <w:r w:rsidRPr="00513B96">
              <w:rPr>
                <w:rFonts w:cs="AdvOT56710e45"/>
              </w:rPr>
              <w:lastRenderedPageBreak/>
              <w:t xml:space="preserve"> </w:t>
            </w:r>
            <w:r>
              <w:rPr>
                <w:rFonts w:cs="AdvOT56710e45"/>
              </w:rPr>
              <w:t>389</w:t>
            </w:r>
          </w:p>
        </w:tc>
      </w:tr>
      <w:tr w:rsidR="00FC4F8D" w:rsidRPr="007814FD" w14:paraId="2477ECB4" w14:textId="77777777" w:rsidTr="00FC4F8D">
        <w:tc>
          <w:tcPr>
            <w:tcW w:w="3823" w:type="dxa"/>
          </w:tcPr>
          <w:p w14:paraId="44949819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C472D9">
              <w:rPr>
                <w:rFonts w:cs="AdvOT56710e45"/>
              </w:rPr>
              <w:t xml:space="preserve">LILACS (Latin American and Caribbean Center on Health Sciences Information) searched </w:t>
            </w:r>
          </w:p>
          <w:p w14:paraId="139BCD8D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Up to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8</w:t>
            </w:r>
            <w:r w:rsidRPr="008E4A84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</w:p>
          <w:p w14:paraId="5B296539" w14:textId="77777777" w:rsidR="00D12C90" w:rsidRPr="00B16DAA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C472D9">
              <w:rPr>
                <w:rFonts w:cs="AdvOT56710e45"/>
              </w:rPr>
              <w:t>www.bireme.br/local/Site/bireme/I/homepage.htm</w:t>
            </w:r>
          </w:p>
        </w:tc>
        <w:tc>
          <w:tcPr>
            <w:tcW w:w="4677" w:type="dxa"/>
          </w:tcPr>
          <w:p w14:paraId="5E1D3517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350A34">
              <w:rPr>
                <w:rFonts w:cs="AdvOT56710e45"/>
              </w:rPr>
              <w:t xml:space="preserve">(Orthodontic AND (“crossbite” OR </w:t>
            </w:r>
            <w:r>
              <w:rPr>
                <w:rFonts w:cs="AdvOT56710e45"/>
              </w:rPr>
              <w:t>“Class III” OR “Maxilla” OR “RME” OR “</w:t>
            </w:r>
            <w:r w:rsidRPr="00EB31F0">
              <w:rPr>
                <w:rFonts w:cs="AdvOT56710e45"/>
              </w:rPr>
              <w:t>rapid maxi</w:t>
            </w:r>
            <w:r>
              <w:rPr>
                <w:rFonts w:cs="AdvOT56710e45"/>
              </w:rPr>
              <w:t>llary expansion”))</w:t>
            </w:r>
          </w:p>
          <w:p w14:paraId="218A9716" w14:textId="77777777" w:rsidR="00D12C90" w:rsidRPr="00350A34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</w:p>
        </w:tc>
        <w:tc>
          <w:tcPr>
            <w:tcW w:w="851" w:type="dxa"/>
          </w:tcPr>
          <w:p w14:paraId="5CD2F7C3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308</w:t>
            </w:r>
          </w:p>
        </w:tc>
      </w:tr>
      <w:tr w:rsidR="00FC4F8D" w:rsidRPr="007814FD" w14:paraId="6CA78F27" w14:textId="77777777" w:rsidTr="00FC4F8D">
        <w:tc>
          <w:tcPr>
            <w:tcW w:w="3823" w:type="dxa"/>
          </w:tcPr>
          <w:p w14:paraId="27C06858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B16DAA">
              <w:rPr>
                <w:rFonts w:cs="AdvOT56710e45"/>
              </w:rPr>
              <w:t>US National Instit</w:t>
            </w:r>
            <w:r>
              <w:rPr>
                <w:rFonts w:cs="AdvOT56710e45"/>
              </w:rPr>
              <w:t xml:space="preserve">utes of Health Trials Register </w:t>
            </w:r>
          </w:p>
          <w:p w14:paraId="1B6FBF3A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Up to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8</w:t>
            </w:r>
            <w:r w:rsidRPr="002171D0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</w:p>
          <w:p w14:paraId="2907E3F2" w14:textId="77777777" w:rsidR="00D12C90" w:rsidRPr="00B16DAA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www.</w:t>
            </w:r>
            <w:r w:rsidRPr="00B16DAA">
              <w:rPr>
                <w:rFonts w:cs="AdvOT56710e45"/>
              </w:rPr>
              <w:t>Cli</w:t>
            </w:r>
            <w:r>
              <w:rPr>
                <w:rFonts w:cs="AdvOT56710e45"/>
              </w:rPr>
              <w:t>nicalTrials.gov</w:t>
            </w:r>
          </w:p>
          <w:p w14:paraId="2EC08685" w14:textId="77777777" w:rsidR="00D12C90" w:rsidRPr="002171D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</w:p>
        </w:tc>
        <w:tc>
          <w:tcPr>
            <w:tcW w:w="4677" w:type="dxa"/>
          </w:tcPr>
          <w:p w14:paraId="2AF55A5C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350A34">
              <w:rPr>
                <w:rFonts w:cs="AdvOT56710e45"/>
              </w:rPr>
              <w:t xml:space="preserve">(Orthodontic AND (“crossbite” OR </w:t>
            </w:r>
            <w:r>
              <w:rPr>
                <w:rFonts w:cs="AdvOT56710e45"/>
              </w:rPr>
              <w:t>“Class III” OR “Maxilla” OR “RME” OR “</w:t>
            </w:r>
            <w:r w:rsidRPr="00EB31F0">
              <w:rPr>
                <w:rFonts w:cs="AdvOT56710e45"/>
              </w:rPr>
              <w:t>rapid maxi</w:t>
            </w:r>
            <w:r>
              <w:rPr>
                <w:rFonts w:cs="AdvOT56710e45"/>
              </w:rPr>
              <w:t>llary expansion”))</w:t>
            </w:r>
          </w:p>
          <w:p w14:paraId="21983E2F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</w:p>
        </w:tc>
        <w:tc>
          <w:tcPr>
            <w:tcW w:w="851" w:type="dxa"/>
          </w:tcPr>
          <w:p w14:paraId="689664D8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0</w:t>
            </w:r>
          </w:p>
        </w:tc>
      </w:tr>
      <w:tr w:rsidR="00FC4F8D" w:rsidRPr="007814FD" w14:paraId="6714E0B3" w14:textId="77777777" w:rsidTr="00FC4F8D">
        <w:tc>
          <w:tcPr>
            <w:tcW w:w="3823" w:type="dxa"/>
          </w:tcPr>
          <w:p w14:paraId="732BBF74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C1396A">
              <w:rPr>
                <w:rFonts w:cs="AdvOT56710e45"/>
              </w:rPr>
              <w:t>WHO International Clinical Trials Registry Platform</w:t>
            </w:r>
          </w:p>
          <w:p w14:paraId="705CC1BE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Up to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8</w:t>
            </w:r>
            <w:r w:rsidRPr="002171D0">
              <w:rPr>
                <w:rFonts w:cs="AdvOT56710e45"/>
              </w:rPr>
              <w:t>th</w:t>
            </w:r>
            <w:r>
              <w:rPr>
                <w:rFonts w:cs="AdvOT56710e45"/>
              </w:rPr>
              <w:t xml:space="preserve"> of February 2018</w:t>
            </w:r>
          </w:p>
          <w:p w14:paraId="318198ED" w14:textId="77777777" w:rsidR="00D12C90" w:rsidRPr="00B16DAA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767CF3">
              <w:rPr>
                <w:rFonts w:cs="AdvOT56710e45"/>
              </w:rPr>
              <w:t>http://apps.who.int/trialsearch/AdvSearch.aspx</w:t>
            </w:r>
          </w:p>
        </w:tc>
        <w:tc>
          <w:tcPr>
            <w:tcW w:w="4677" w:type="dxa"/>
          </w:tcPr>
          <w:p w14:paraId="53D47C29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350A34">
              <w:rPr>
                <w:rFonts w:cs="AdvOT56710e45"/>
              </w:rPr>
              <w:t xml:space="preserve">(Orthodontic AND (“crossbite” OR </w:t>
            </w:r>
            <w:r>
              <w:rPr>
                <w:rFonts w:cs="AdvOT56710e45"/>
              </w:rPr>
              <w:t>“Class III” OR “Maxilla” OR “RME” OR “</w:t>
            </w:r>
            <w:r w:rsidRPr="00EB31F0">
              <w:rPr>
                <w:rFonts w:cs="AdvOT56710e45"/>
              </w:rPr>
              <w:t>rapid maxi</w:t>
            </w:r>
            <w:r>
              <w:rPr>
                <w:rFonts w:cs="AdvOT56710e45"/>
              </w:rPr>
              <w:t>llary expansion”))</w:t>
            </w:r>
          </w:p>
          <w:p w14:paraId="19AC165A" w14:textId="77777777" w:rsidR="00D12C90" w:rsidRPr="00350A34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</w:p>
          <w:p w14:paraId="79E22BEC" w14:textId="77777777" w:rsidR="00D12C90" w:rsidRPr="0044115D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</w:p>
        </w:tc>
        <w:tc>
          <w:tcPr>
            <w:tcW w:w="851" w:type="dxa"/>
          </w:tcPr>
          <w:p w14:paraId="74BBE388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>1</w:t>
            </w:r>
          </w:p>
        </w:tc>
      </w:tr>
    </w:tbl>
    <w:p w14:paraId="26FD1C74" w14:textId="77777777" w:rsidR="00D12C90" w:rsidRDefault="00D12C90" w:rsidP="00D12C90"/>
    <w:p w14:paraId="5739576B" w14:textId="77777777" w:rsidR="00D12C90" w:rsidRDefault="00D12C90" w:rsidP="00D12C90">
      <w:pPr>
        <w:spacing w:line="276" w:lineRule="auto"/>
      </w:pPr>
    </w:p>
    <w:p w14:paraId="4DDB9670" w14:textId="77777777" w:rsidR="00D12C90" w:rsidRPr="00C43648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  <w:b/>
          <w:bCs/>
        </w:rPr>
      </w:pPr>
      <w:r w:rsidRPr="00C43648">
        <w:rPr>
          <w:rFonts w:cs="AdvOT56710e45"/>
          <w:b/>
          <w:bCs/>
        </w:rPr>
        <w:t xml:space="preserve">MEDLINE searched via Ovid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384"/>
        <w:gridCol w:w="1559"/>
      </w:tblGrid>
      <w:tr w:rsidR="00D12C90" w:rsidRPr="00EB31F0" w14:paraId="3B0E4325" w14:textId="77777777" w:rsidTr="00FC4F8D">
        <w:trPr>
          <w:gridAfter w:val="1"/>
          <w:wAfter w:w="1559" w:type="dxa"/>
          <w:trHeight w:val="340"/>
        </w:trPr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C27161C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 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02881EB2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Search Terms</w:t>
            </w:r>
          </w:p>
        </w:tc>
      </w:tr>
      <w:tr w:rsidR="00D12C90" w:rsidRPr="00EB31F0" w14:paraId="010363C4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D32A9ED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S11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0BADBE8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S8 AND S9 AND S10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372AA7E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309</w:t>
            </w:r>
          </w:p>
        </w:tc>
      </w:tr>
      <w:tr w:rsidR="00D12C90" w:rsidRPr="00EB31F0" w14:paraId="28D074A8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A170E52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S10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618D61DD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S3 OR S5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F04D41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613,000</w:t>
            </w:r>
          </w:p>
        </w:tc>
      </w:tr>
      <w:tr w:rsidR="00D12C90" w:rsidRPr="00EB31F0" w14:paraId="6A20CB80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601813CA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S9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16BC268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S2 OR S6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B1E72A4" w14:textId="77777777" w:rsidR="00D12C90" w:rsidRPr="00EB31F0" w:rsidRDefault="00FB1EFD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hyperlink r:id="rId6" w:history="1">
              <w:r w:rsidR="00D12C90" w:rsidRPr="00125CAE">
                <w:rPr>
                  <w:rFonts w:cs="AdvOT56710e45"/>
                </w:rPr>
                <w:t> (5,222)</w:t>
              </w:r>
            </w:hyperlink>
          </w:p>
        </w:tc>
      </w:tr>
      <w:tr w:rsidR="00D12C90" w:rsidRPr="00EB31F0" w14:paraId="08CA7663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072BEA1C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S8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3AC0EA4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S1 OR S4 OR S7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E83874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46,246</w:t>
            </w:r>
          </w:p>
        </w:tc>
      </w:tr>
      <w:tr w:rsidR="00D12C90" w:rsidRPr="00EB31F0" w14:paraId="19F4CCF1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A2C68F0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S7</w:t>
            </w:r>
          </w:p>
        </w:tc>
        <w:tc>
          <w:tcPr>
            <w:tcW w:w="6384" w:type="dxa"/>
            <w:shd w:val="clear" w:color="000000" w:fill="FFFFFF"/>
            <w:vAlign w:val="center"/>
            <w:hideMark/>
          </w:tcPr>
          <w:p w14:paraId="74C2A922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(Class III) OR (Class III malocclusion) OR (deficient maxilla) OR (retrognathic maxilla) OR (crossbite)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DF7768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25,472</w:t>
            </w:r>
          </w:p>
        </w:tc>
      </w:tr>
      <w:tr w:rsidR="00D12C90" w:rsidRPr="00EB31F0" w14:paraId="2C2732B6" w14:textId="77777777" w:rsidTr="00FC4F8D">
        <w:trPr>
          <w:trHeight w:val="50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F66EC47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S6</w:t>
            </w:r>
          </w:p>
        </w:tc>
        <w:tc>
          <w:tcPr>
            <w:tcW w:w="6384" w:type="dxa"/>
            <w:shd w:val="clear" w:color="000000" w:fill="FFFFFF"/>
            <w:vAlign w:val="center"/>
            <w:hideMark/>
          </w:tcPr>
          <w:p w14:paraId="0A833883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(Reverse pull headgear) OR (Reverse headgear) OR (protraction headgear) OR (Maxillary protraction) OR (Face mask) OR (Facemask)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1BAF76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3,714</w:t>
            </w:r>
          </w:p>
        </w:tc>
      </w:tr>
      <w:tr w:rsidR="00D12C90" w:rsidRPr="00EB31F0" w14:paraId="246A06C0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76D138B8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S5</w:t>
            </w:r>
          </w:p>
        </w:tc>
        <w:tc>
          <w:tcPr>
            <w:tcW w:w="6384" w:type="dxa"/>
            <w:shd w:val="clear" w:color="000000" w:fill="FFFFFF"/>
            <w:vAlign w:val="center"/>
            <w:hideMark/>
          </w:tcPr>
          <w:p w14:paraId="5379EB6B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(Alt-RAMEC) OR (</w:t>
            </w:r>
            <w:proofErr w:type="spellStart"/>
            <w:r w:rsidRPr="00EB31F0">
              <w:rPr>
                <w:rFonts w:cs="AdvOT56710e45"/>
              </w:rPr>
              <w:t>alternat</w:t>
            </w:r>
            <w:proofErr w:type="spellEnd"/>
            <w:r w:rsidRPr="00EB31F0">
              <w:rPr>
                <w:rFonts w:cs="AdvOT56710e45"/>
              </w:rPr>
              <w:t xml:space="preserve">*) OR (Activation deactivation rapid palatal expansion) OR (rapid maxillary expansion) OR </w:t>
            </w:r>
            <w:r>
              <w:rPr>
                <w:rFonts w:cs="AdvOT56710e45"/>
              </w:rPr>
              <w:fldChar w:fldCharType="begin"/>
            </w:r>
            <w:r>
              <w:rPr>
                <w:rFonts w:cs="AdvOT56710e45"/>
              </w:rPr>
              <w:instrText xml:space="preserve"> ADDIN EN.CITE &lt;EndNote&gt;&lt;Cite ExcludeYear="1"&gt;&lt;Author&gt;Al-Mozany&lt;/Author&gt;&lt;Year&gt;2017&lt;/Year&gt;&lt;RecNum&gt;61&lt;/RecNum&gt;&lt;DisplayText&gt;(Al-Mozany et al.)&lt;/DisplayText&gt;&lt;record&gt;&lt;rec-number&gt;61&lt;/rec-number&gt;&lt;foreign-keys&gt;&lt;key app="EN" db-id="rvw5txazk02xvgepxd9x5x06x0zwzpdra5s2" timestamp="1519470757"&gt;61&lt;/key&gt;&lt;/foreign-keys&gt;&lt;ref-type name="Journal Article"&gt;17&lt;/ref-type&gt;&lt;contributors&gt;&lt;authors&gt;&lt;author&gt;Al-Mozany, Saad A&lt;/author&gt;&lt;author&gt;Dalci, Oyku&lt;/author&gt;&lt;author&gt;Almuzian, Mohammed&lt;/author&gt;&lt;author&gt;Gonzalez, Carmen&lt;/author&gt;&lt;author&gt;Tarraf, Nour E&lt;/author&gt;&lt;author&gt;Darendeliler, M Ali&lt;/author&gt;&lt;/authors&gt;&lt;/contributors&gt;&lt;titles&gt;&lt;title&gt;A novel method for treatment of Class III malocclusion in growing patients&lt;/title&gt;&lt;secondary-title&gt;Progress in orthodontics&lt;/secondary-title&gt;&lt;/titles&gt;&lt;periodical&gt;&lt;full-title&gt;Progress in orthodontics&lt;/full-title&gt;&lt;/periodical&gt;&lt;pages&gt;40&lt;/pages&gt;&lt;volume&gt;18&lt;/volume&gt;&lt;number&gt;1&lt;/number&gt;&lt;dates&gt;&lt;year&gt;2017&lt;/year&gt;&lt;/dates&gt;&lt;isbn&gt;2196-1042&lt;/isbn&gt;&lt;urls&gt;&lt;/urls&gt;&lt;/record&gt;&lt;/Cite&gt;&lt;/EndNote&gt;</w:instrText>
            </w:r>
            <w:r>
              <w:rPr>
                <w:rFonts w:cs="AdvOT56710e45"/>
              </w:rPr>
              <w:fldChar w:fldCharType="separate"/>
            </w:r>
            <w:r>
              <w:rPr>
                <w:rFonts w:cs="AdvOT56710e45"/>
                <w:noProof/>
              </w:rPr>
              <w:t>(Al-Mozany et al.)</w:t>
            </w:r>
            <w:r>
              <w:rPr>
                <w:rFonts w:cs="AdvOT56710e45"/>
              </w:rPr>
              <w:fldChar w:fldCharType="end"/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495C63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611,359</w:t>
            </w:r>
          </w:p>
        </w:tc>
      </w:tr>
      <w:tr w:rsidR="00D12C90" w:rsidRPr="00EB31F0" w14:paraId="76587D43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1291C3DA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S4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7D133C56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(MH "Malocclusion")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5FEADA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-22,687</w:t>
            </w:r>
          </w:p>
        </w:tc>
      </w:tr>
      <w:tr w:rsidR="00D12C90" w:rsidRPr="00EB31F0" w14:paraId="1E0F7EF1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3BCA69E1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S3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5F4C9E00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(MH "Palatal Expansion Technique")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5647DC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-2,436</w:t>
            </w:r>
          </w:p>
        </w:tc>
      </w:tr>
      <w:tr w:rsidR="00D12C90" w:rsidRPr="00EB31F0" w14:paraId="66F6EA09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5385A9FC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S2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49D6F87F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(MH "Extraoral Traction Appliances")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07F2B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-1,823</w:t>
            </w:r>
          </w:p>
        </w:tc>
      </w:tr>
      <w:tr w:rsidR="00D12C90" w:rsidRPr="00EB31F0" w14:paraId="3E7E9F87" w14:textId="77777777" w:rsidTr="00FC4F8D">
        <w:trPr>
          <w:trHeight w:val="340"/>
        </w:trPr>
        <w:tc>
          <w:tcPr>
            <w:tcW w:w="1300" w:type="dxa"/>
            <w:shd w:val="clear" w:color="000000" w:fill="FFFFFF"/>
            <w:noWrap/>
            <w:vAlign w:val="center"/>
            <w:hideMark/>
          </w:tcPr>
          <w:p w14:paraId="297D44C5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S1</w:t>
            </w:r>
          </w:p>
        </w:tc>
        <w:tc>
          <w:tcPr>
            <w:tcW w:w="6384" w:type="dxa"/>
            <w:shd w:val="clear" w:color="000000" w:fill="FFFFFF"/>
            <w:noWrap/>
            <w:vAlign w:val="center"/>
            <w:hideMark/>
          </w:tcPr>
          <w:p w14:paraId="45C409D1" w14:textId="77777777" w:rsidR="00D12C90" w:rsidRPr="00EB31F0" w:rsidRDefault="00D12C90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EB31F0">
              <w:rPr>
                <w:rFonts w:cs="AdvOT56710e45"/>
              </w:rPr>
              <w:t>(MH "Malocclusion, Angle Class III")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B95F03" w14:textId="77777777" w:rsidR="00D12C90" w:rsidRPr="00EB31F0" w:rsidRDefault="00FB1EFD" w:rsidP="003B1067">
            <w:p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hyperlink r:id="rId7" w:history="1">
              <w:r w:rsidR="00D12C90" w:rsidRPr="00125CAE">
                <w:rPr>
                  <w:rFonts w:cs="AdvOT56710e45"/>
                </w:rPr>
                <w:t> (3,267)</w:t>
              </w:r>
            </w:hyperlink>
          </w:p>
        </w:tc>
      </w:tr>
    </w:tbl>
    <w:p w14:paraId="1ABAC2AE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09CB4F60" w14:textId="77777777" w:rsidR="00D12C90" w:rsidRDefault="00D12C90" w:rsidP="00D12C90">
      <w:pPr>
        <w:spacing w:line="276" w:lineRule="auto"/>
      </w:pPr>
    </w:p>
    <w:p w14:paraId="57B0D843" w14:textId="77777777" w:rsidR="00D12C90" w:rsidRDefault="00D12C90" w:rsidP="00D12C90">
      <w:pPr>
        <w:spacing w:line="276" w:lineRule="auto"/>
      </w:pPr>
    </w:p>
    <w:p w14:paraId="366559A2" w14:textId="77777777" w:rsidR="00D12C90" w:rsidRDefault="00D12C90" w:rsidP="00D12C90">
      <w:pPr>
        <w:spacing w:line="276" w:lineRule="auto"/>
      </w:pPr>
    </w:p>
    <w:p w14:paraId="692C66C7" w14:textId="77777777" w:rsidR="00D12C90" w:rsidRDefault="00D12C90" w:rsidP="00D12C90">
      <w:pPr>
        <w:spacing w:line="276" w:lineRule="auto"/>
      </w:pPr>
    </w:p>
    <w:p w14:paraId="676FD2B5" w14:textId="77777777" w:rsidR="00D12C90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  <w:b/>
          <w:bCs/>
        </w:rPr>
      </w:pPr>
      <w:r w:rsidRPr="000D2DE5">
        <w:rPr>
          <w:rFonts w:cs="AdvOT56710e45"/>
          <w:b/>
          <w:bCs/>
        </w:rPr>
        <w:t>Additional search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18"/>
      </w:tblGrid>
      <w:tr w:rsidR="00FC4F8D" w:rsidRPr="0016057F" w14:paraId="609330C5" w14:textId="77777777" w:rsidTr="00FC4F8D">
        <w:tc>
          <w:tcPr>
            <w:tcW w:w="7792" w:type="dxa"/>
          </w:tcPr>
          <w:p w14:paraId="47F3519B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</w:rPr>
            </w:pPr>
            <w:r>
              <w:rPr>
                <w:rFonts w:cs="AdvOT56710e45"/>
              </w:rPr>
              <w:t>Sources</w:t>
            </w:r>
          </w:p>
        </w:tc>
        <w:tc>
          <w:tcPr>
            <w:tcW w:w="1218" w:type="dxa"/>
          </w:tcPr>
          <w:p w14:paraId="5C8E77B5" w14:textId="77777777" w:rsidR="00D12C90" w:rsidRPr="00513B96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</w:rPr>
            </w:pPr>
            <w:r>
              <w:rPr>
                <w:rFonts w:cs="AdvOT56710e45"/>
              </w:rPr>
              <w:t xml:space="preserve">Number of identified </w:t>
            </w:r>
            <w:r w:rsidRPr="00513B96">
              <w:rPr>
                <w:rFonts w:cs="AdvOT56710e45"/>
              </w:rPr>
              <w:t xml:space="preserve"> </w:t>
            </w:r>
            <w:r>
              <w:rPr>
                <w:rFonts w:cs="AdvOT56710e45"/>
              </w:rPr>
              <w:t>reference</w:t>
            </w:r>
          </w:p>
        </w:tc>
      </w:tr>
      <w:tr w:rsidR="00FC4F8D" w14:paraId="0B38083B" w14:textId="77777777" w:rsidTr="00FC4F8D">
        <w:tc>
          <w:tcPr>
            <w:tcW w:w="7792" w:type="dxa"/>
          </w:tcPr>
          <w:p w14:paraId="09C2E37D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</w:p>
        </w:tc>
        <w:tc>
          <w:tcPr>
            <w:tcW w:w="1218" w:type="dxa"/>
          </w:tcPr>
          <w:p w14:paraId="149DF7CC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</w:p>
        </w:tc>
      </w:tr>
      <w:tr w:rsidR="00FC4F8D" w14:paraId="1BBF0DE9" w14:textId="77777777" w:rsidTr="00FC4F8D">
        <w:tc>
          <w:tcPr>
            <w:tcW w:w="7792" w:type="dxa"/>
          </w:tcPr>
          <w:p w14:paraId="7FA07EF8" w14:textId="77777777" w:rsidR="00D12C90" w:rsidRPr="000D2DE5" w:rsidRDefault="00D12C90" w:rsidP="00D12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0D2DE5">
              <w:rPr>
                <w:rFonts w:cs="AdvOT56710e45"/>
              </w:rPr>
              <w:t xml:space="preserve">Journals searched manually </w:t>
            </w:r>
            <w:r>
              <w:rPr>
                <w:rFonts w:cs="AdvOT56710e45"/>
              </w:rPr>
              <w:t xml:space="preserve">from January 2004 </w:t>
            </w:r>
            <w:r w:rsidRPr="000D2DE5">
              <w:rPr>
                <w:rFonts w:cs="AdvOT56710e45"/>
              </w:rPr>
              <w:t>until January 2018</w:t>
            </w:r>
          </w:p>
          <w:p w14:paraId="4B33F17F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American Journal of Orthodontics and Dentofacial Orthopedics</w:t>
            </w:r>
          </w:p>
          <w:p w14:paraId="22C4634A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Angle Orthodontist</w:t>
            </w:r>
          </w:p>
          <w:p w14:paraId="6321D2AA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European Journal of Orthodontics</w:t>
            </w:r>
          </w:p>
          <w:p w14:paraId="239BBA39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Journal of Orthodontics (and its predecessor, the British Journal of Orthodontics)</w:t>
            </w:r>
          </w:p>
          <w:p w14:paraId="2843D6DA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Clinical Orthodontics and Research</w:t>
            </w:r>
          </w:p>
          <w:p w14:paraId="4D96413C" w14:textId="77777777" w:rsidR="00D12C90" w:rsidRPr="00125CAE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Australian Orthodontic Journal</w:t>
            </w:r>
          </w:p>
          <w:p w14:paraId="1851850C" w14:textId="77777777" w:rsidR="00D12C90" w:rsidRPr="00E631AA" w:rsidRDefault="00D12C90" w:rsidP="00D12C9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  <w:b/>
                <w:bCs/>
              </w:rPr>
            </w:pPr>
            <w:r w:rsidRPr="00125CAE">
              <w:rPr>
                <w:rFonts w:cs="AdvOT56710e45"/>
              </w:rPr>
              <w:t>Korean Journal of Orthodontics</w:t>
            </w:r>
          </w:p>
        </w:tc>
        <w:tc>
          <w:tcPr>
            <w:tcW w:w="1218" w:type="dxa"/>
          </w:tcPr>
          <w:p w14:paraId="0A69E691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  <w:r>
              <w:rPr>
                <w:rFonts w:cs="AdvOT56710e45"/>
                <w:b/>
                <w:bCs/>
              </w:rPr>
              <w:t>0</w:t>
            </w:r>
          </w:p>
        </w:tc>
      </w:tr>
      <w:tr w:rsidR="00FC4F8D" w14:paraId="4BB1E06B" w14:textId="77777777" w:rsidTr="00FC4F8D">
        <w:tc>
          <w:tcPr>
            <w:tcW w:w="7792" w:type="dxa"/>
          </w:tcPr>
          <w:p w14:paraId="0B857731" w14:textId="77777777" w:rsidR="00D12C90" w:rsidRPr="00E631AA" w:rsidRDefault="00D12C90" w:rsidP="00D12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>
              <w:rPr>
                <w:rFonts w:cs="AdvOT56710e45"/>
              </w:rPr>
              <w:t xml:space="preserve">Manual search in the </w:t>
            </w:r>
            <w:r w:rsidRPr="00E631AA">
              <w:rPr>
                <w:rFonts w:cs="AdvOT56710e45"/>
              </w:rPr>
              <w:t>reference lists of all eligible articles</w:t>
            </w:r>
          </w:p>
        </w:tc>
        <w:tc>
          <w:tcPr>
            <w:tcW w:w="1218" w:type="dxa"/>
          </w:tcPr>
          <w:p w14:paraId="1A3A5A96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  <w:r>
              <w:rPr>
                <w:rFonts w:cs="AdvOT56710e45"/>
                <w:b/>
                <w:bCs/>
              </w:rPr>
              <w:t>6</w:t>
            </w:r>
          </w:p>
        </w:tc>
      </w:tr>
      <w:tr w:rsidR="00FC4F8D" w14:paraId="14D23CAA" w14:textId="77777777" w:rsidTr="00FC4F8D">
        <w:tc>
          <w:tcPr>
            <w:tcW w:w="7792" w:type="dxa"/>
          </w:tcPr>
          <w:p w14:paraId="01FB3DFE" w14:textId="77777777" w:rsidR="00D12C90" w:rsidRPr="00E631AA" w:rsidRDefault="00D12C90" w:rsidP="00D12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Conference proceedings and abstracts from British, European and Australian Orthodontic</w:t>
            </w:r>
          </w:p>
        </w:tc>
        <w:tc>
          <w:tcPr>
            <w:tcW w:w="1218" w:type="dxa"/>
          </w:tcPr>
          <w:p w14:paraId="1E85F9F0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  <w:r>
              <w:rPr>
                <w:rFonts w:cs="AdvOT56710e45"/>
                <w:b/>
                <w:bCs/>
              </w:rPr>
              <w:t>0</w:t>
            </w:r>
          </w:p>
        </w:tc>
      </w:tr>
      <w:tr w:rsidR="00FC4F8D" w14:paraId="32F0E4D3" w14:textId="77777777" w:rsidTr="00FC4F8D">
        <w:tc>
          <w:tcPr>
            <w:tcW w:w="7792" w:type="dxa"/>
          </w:tcPr>
          <w:p w14:paraId="606E1362" w14:textId="77777777" w:rsidR="00D12C90" w:rsidRPr="00E631AA" w:rsidRDefault="00D12C90" w:rsidP="00D12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125CAE">
              <w:rPr>
                <w:rFonts w:cs="AdvOT56710e45"/>
              </w:rPr>
              <w:t>Google scholar (</w:t>
            </w:r>
            <w:hyperlink r:id="rId8" w:history="1">
              <w:r w:rsidRPr="00E631AA">
                <w:t>www.scholar.google.com)</w:t>
              </w:r>
            </w:hyperlink>
          </w:p>
        </w:tc>
        <w:tc>
          <w:tcPr>
            <w:tcW w:w="1218" w:type="dxa"/>
          </w:tcPr>
          <w:p w14:paraId="79EA7755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  <w:r>
              <w:rPr>
                <w:rFonts w:cs="AdvOT56710e45"/>
                <w:b/>
                <w:bCs/>
              </w:rPr>
              <w:t>1</w:t>
            </w:r>
          </w:p>
        </w:tc>
      </w:tr>
      <w:tr w:rsidR="00FC4F8D" w14:paraId="18F1CBAF" w14:textId="77777777" w:rsidTr="00FC4F8D">
        <w:tc>
          <w:tcPr>
            <w:tcW w:w="7792" w:type="dxa"/>
          </w:tcPr>
          <w:p w14:paraId="5E8750B0" w14:textId="77777777" w:rsidR="00D12C90" w:rsidRPr="00E631AA" w:rsidRDefault="00D12C90" w:rsidP="00D12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="AdvOT56710e45"/>
              </w:rPr>
            </w:pPr>
            <w:r w:rsidRPr="005E1C6E">
              <w:rPr>
                <w:rFonts w:cs="AdvOT56710e45"/>
              </w:rPr>
              <w:t>OpenGrey</w:t>
            </w:r>
            <w:r>
              <w:rPr>
                <w:rFonts w:cs="AdvOT56710e45"/>
              </w:rPr>
              <w:t xml:space="preserve"> </w:t>
            </w:r>
            <w:r w:rsidRPr="00011C3F">
              <w:rPr>
                <w:rFonts w:cs="AdvOT56710e45"/>
              </w:rPr>
              <w:t>Up to 8th of February 2018</w:t>
            </w:r>
            <w:r>
              <w:rPr>
                <w:rFonts w:cs="AdvOT56710e45"/>
              </w:rPr>
              <w:t xml:space="preserve"> (</w:t>
            </w:r>
            <w:hyperlink r:id="rId9" w:history="1">
              <w:r w:rsidRPr="00E631AA">
                <w:t>http://www.opengrey.eu/)</w:t>
              </w:r>
            </w:hyperlink>
          </w:p>
        </w:tc>
        <w:tc>
          <w:tcPr>
            <w:tcW w:w="1218" w:type="dxa"/>
          </w:tcPr>
          <w:p w14:paraId="082F4835" w14:textId="77777777" w:rsidR="00D12C90" w:rsidRDefault="00D12C90" w:rsidP="003B10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dvOT56710e45"/>
                <w:b/>
                <w:bCs/>
              </w:rPr>
            </w:pPr>
            <w:r>
              <w:rPr>
                <w:rFonts w:cs="AdvOT56710e45"/>
                <w:b/>
                <w:bCs/>
              </w:rPr>
              <w:t>1</w:t>
            </w:r>
          </w:p>
        </w:tc>
      </w:tr>
    </w:tbl>
    <w:p w14:paraId="0F1FB56B" w14:textId="77777777" w:rsidR="00D12C90" w:rsidRPr="000D2DE5" w:rsidRDefault="00D12C90" w:rsidP="00D12C90">
      <w:pPr>
        <w:autoSpaceDE w:val="0"/>
        <w:autoSpaceDN w:val="0"/>
        <w:adjustRightInd w:val="0"/>
        <w:spacing w:line="276" w:lineRule="auto"/>
        <w:jc w:val="center"/>
        <w:rPr>
          <w:rFonts w:cs="AdvOT56710e45"/>
          <w:b/>
          <w:bCs/>
        </w:rPr>
      </w:pPr>
    </w:p>
    <w:p w14:paraId="4E7F903A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0ECCF06B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672FE933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34122970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37CC7459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399838D3" w14:textId="77777777" w:rsidR="00D12C90" w:rsidRPr="00125CAE" w:rsidRDefault="00D12C90" w:rsidP="00D12C90">
      <w:pPr>
        <w:autoSpaceDE w:val="0"/>
        <w:autoSpaceDN w:val="0"/>
        <w:adjustRightInd w:val="0"/>
        <w:spacing w:line="276" w:lineRule="auto"/>
        <w:rPr>
          <w:rFonts w:cs="AdvOT56710e45"/>
        </w:rPr>
      </w:pPr>
    </w:p>
    <w:p w14:paraId="1FC8BCDD" w14:textId="77777777" w:rsidR="00A256B3" w:rsidRDefault="00A256B3"/>
    <w:sectPr w:rsidR="00A256B3" w:rsidSect="005F22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56710e4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CBB"/>
    <w:multiLevelType w:val="hybridMultilevel"/>
    <w:tmpl w:val="6BD8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09B8"/>
    <w:multiLevelType w:val="hybridMultilevel"/>
    <w:tmpl w:val="5E48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0"/>
    <w:rsid w:val="00007D29"/>
    <w:rsid w:val="00022911"/>
    <w:rsid w:val="0003169C"/>
    <w:rsid w:val="00040712"/>
    <w:rsid w:val="00045027"/>
    <w:rsid w:val="00053937"/>
    <w:rsid w:val="000601D7"/>
    <w:rsid w:val="000A3869"/>
    <w:rsid w:val="000B03C1"/>
    <w:rsid w:val="000B59E5"/>
    <w:rsid w:val="000C6C9B"/>
    <w:rsid w:val="000D61CE"/>
    <w:rsid w:val="000E1597"/>
    <w:rsid w:val="000E33E9"/>
    <w:rsid w:val="00100839"/>
    <w:rsid w:val="0014229F"/>
    <w:rsid w:val="001665BA"/>
    <w:rsid w:val="0017122F"/>
    <w:rsid w:val="0017189C"/>
    <w:rsid w:val="001737C4"/>
    <w:rsid w:val="00180718"/>
    <w:rsid w:val="00182021"/>
    <w:rsid w:val="00182657"/>
    <w:rsid w:val="001879BC"/>
    <w:rsid w:val="001A29B2"/>
    <w:rsid w:val="001A4A79"/>
    <w:rsid w:val="001A7B27"/>
    <w:rsid w:val="001B01AE"/>
    <w:rsid w:val="001B0C8C"/>
    <w:rsid w:val="001B4131"/>
    <w:rsid w:val="001C6D75"/>
    <w:rsid w:val="001D07DE"/>
    <w:rsid w:val="001D31BA"/>
    <w:rsid w:val="001D51F3"/>
    <w:rsid w:val="001E05E2"/>
    <w:rsid w:val="001E3E87"/>
    <w:rsid w:val="001E74A6"/>
    <w:rsid w:val="001E75B5"/>
    <w:rsid w:val="001F0909"/>
    <w:rsid w:val="001F55BB"/>
    <w:rsid w:val="0022090F"/>
    <w:rsid w:val="00231A79"/>
    <w:rsid w:val="002372CF"/>
    <w:rsid w:val="00241887"/>
    <w:rsid w:val="00241D69"/>
    <w:rsid w:val="002459E9"/>
    <w:rsid w:val="00251CE0"/>
    <w:rsid w:val="00253EB8"/>
    <w:rsid w:val="00257BDF"/>
    <w:rsid w:val="00264EC7"/>
    <w:rsid w:val="00280F56"/>
    <w:rsid w:val="00281019"/>
    <w:rsid w:val="002817AC"/>
    <w:rsid w:val="0028406F"/>
    <w:rsid w:val="0029763B"/>
    <w:rsid w:val="002A011D"/>
    <w:rsid w:val="002A0E16"/>
    <w:rsid w:val="002A56D3"/>
    <w:rsid w:val="002A7CFE"/>
    <w:rsid w:val="002B4450"/>
    <w:rsid w:val="002C522D"/>
    <w:rsid w:val="002D7674"/>
    <w:rsid w:val="002E5405"/>
    <w:rsid w:val="002E5A1B"/>
    <w:rsid w:val="002F2086"/>
    <w:rsid w:val="00302EF4"/>
    <w:rsid w:val="00317038"/>
    <w:rsid w:val="00321117"/>
    <w:rsid w:val="00325B00"/>
    <w:rsid w:val="0033549C"/>
    <w:rsid w:val="0034584C"/>
    <w:rsid w:val="00347833"/>
    <w:rsid w:val="00376B2E"/>
    <w:rsid w:val="0038526A"/>
    <w:rsid w:val="003A7A09"/>
    <w:rsid w:val="003A7D1A"/>
    <w:rsid w:val="003B2F93"/>
    <w:rsid w:val="003B3643"/>
    <w:rsid w:val="003C5789"/>
    <w:rsid w:val="003D6481"/>
    <w:rsid w:val="003D69C2"/>
    <w:rsid w:val="00405377"/>
    <w:rsid w:val="00406601"/>
    <w:rsid w:val="00421D7F"/>
    <w:rsid w:val="00433EA3"/>
    <w:rsid w:val="0043750C"/>
    <w:rsid w:val="00450116"/>
    <w:rsid w:val="00452880"/>
    <w:rsid w:val="0045734C"/>
    <w:rsid w:val="00467938"/>
    <w:rsid w:val="004776BE"/>
    <w:rsid w:val="00487999"/>
    <w:rsid w:val="004913FD"/>
    <w:rsid w:val="004948D4"/>
    <w:rsid w:val="004973C5"/>
    <w:rsid w:val="004A1686"/>
    <w:rsid w:val="004B3A37"/>
    <w:rsid w:val="004B56DD"/>
    <w:rsid w:val="004C1408"/>
    <w:rsid w:val="004D4160"/>
    <w:rsid w:val="004D79D4"/>
    <w:rsid w:val="004E22A9"/>
    <w:rsid w:val="004F7C54"/>
    <w:rsid w:val="00513B04"/>
    <w:rsid w:val="00523661"/>
    <w:rsid w:val="00532145"/>
    <w:rsid w:val="0053225B"/>
    <w:rsid w:val="00532ADF"/>
    <w:rsid w:val="00546A2B"/>
    <w:rsid w:val="005527F2"/>
    <w:rsid w:val="00557348"/>
    <w:rsid w:val="00560388"/>
    <w:rsid w:val="00565B08"/>
    <w:rsid w:val="00573575"/>
    <w:rsid w:val="00575365"/>
    <w:rsid w:val="00594E22"/>
    <w:rsid w:val="005A453B"/>
    <w:rsid w:val="005B0C5F"/>
    <w:rsid w:val="005C189E"/>
    <w:rsid w:val="005C34A4"/>
    <w:rsid w:val="005D43B1"/>
    <w:rsid w:val="005E3267"/>
    <w:rsid w:val="005E3D90"/>
    <w:rsid w:val="005F1AAF"/>
    <w:rsid w:val="005F22E9"/>
    <w:rsid w:val="00601315"/>
    <w:rsid w:val="00602D94"/>
    <w:rsid w:val="00604C93"/>
    <w:rsid w:val="00616FCC"/>
    <w:rsid w:val="00625482"/>
    <w:rsid w:val="00626AAA"/>
    <w:rsid w:val="00632B2D"/>
    <w:rsid w:val="00633BF2"/>
    <w:rsid w:val="006346E0"/>
    <w:rsid w:val="0063696A"/>
    <w:rsid w:val="00636E61"/>
    <w:rsid w:val="00641B15"/>
    <w:rsid w:val="00642E70"/>
    <w:rsid w:val="006430B1"/>
    <w:rsid w:val="00645387"/>
    <w:rsid w:val="006471A5"/>
    <w:rsid w:val="0065576A"/>
    <w:rsid w:val="00657425"/>
    <w:rsid w:val="0067696A"/>
    <w:rsid w:val="00680343"/>
    <w:rsid w:val="00680F0E"/>
    <w:rsid w:val="0068156A"/>
    <w:rsid w:val="006A10C8"/>
    <w:rsid w:val="006B1E3A"/>
    <w:rsid w:val="006D2449"/>
    <w:rsid w:val="006E1B1C"/>
    <w:rsid w:val="006E67BF"/>
    <w:rsid w:val="006E7F0D"/>
    <w:rsid w:val="00705D8D"/>
    <w:rsid w:val="00713C98"/>
    <w:rsid w:val="0071766B"/>
    <w:rsid w:val="00724435"/>
    <w:rsid w:val="00743FE8"/>
    <w:rsid w:val="00757A89"/>
    <w:rsid w:val="0076357F"/>
    <w:rsid w:val="00780983"/>
    <w:rsid w:val="007820D2"/>
    <w:rsid w:val="00782E4A"/>
    <w:rsid w:val="0078327B"/>
    <w:rsid w:val="007951ED"/>
    <w:rsid w:val="00795FA4"/>
    <w:rsid w:val="007972A9"/>
    <w:rsid w:val="007A25B0"/>
    <w:rsid w:val="007A6DF2"/>
    <w:rsid w:val="007B7FF2"/>
    <w:rsid w:val="007D0756"/>
    <w:rsid w:val="007D5DAC"/>
    <w:rsid w:val="007D71B4"/>
    <w:rsid w:val="007F0F2D"/>
    <w:rsid w:val="007F11AE"/>
    <w:rsid w:val="00810CE3"/>
    <w:rsid w:val="008248BA"/>
    <w:rsid w:val="00825730"/>
    <w:rsid w:val="008273DB"/>
    <w:rsid w:val="00842465"/>
    <w:rsid w:val="0084437A"/>
    <w:rsid w:val="00844716"/>
    <w:rsid w:val="00850644"/>
    <w:rsid w:val="00852C58"/>
    <w:rsid w:val="00854188"/>
    <w:rsid w:val="00864C46"/>
    <w:rsid w:val="00877B9B"/>
    <w:rsid w:val="00890713"/>
    <w:rsid w:val="008915B7"/>
    <w:rsid w:val="00894DB5"/>
    <w:rsid w:val="008B366B"/>
    <w:rsid w:val="008B4DF3"/>
    <w:rsid w:val="008B62B4"/>
    <w:rsid w:val="008C0FBA"/>
    <w:rsid w:val="008C5AD9"/>
    <w:rsid w:val="008D0D79"/>
    <w:rsid w:val="008E7655"/>
    <w:rsid w:val="008F5327"/>
    <w:rsid w:val="00900C72"/>
    <w:rsid w:val="00906CAB"/>
    <w:rsid w:val="00915909"/>
    <w:rsid w:val="0091782A"/>
    <w:rsid w:val="00933CBB"/>
    <w:rsid w:val="009473B1"/>
    <w:rsid w:val="00960189"/>
    <w:rsid w:val="00965A77"/>
    <w:rsid w:val="00966401"/>
    <w:rsid w:val="00967FD6"/>
    <w:rsid w:val="00973B05"/>
    <w:rsid w:val="00976A27"/>
    <w:rsid w:val="009813F6"/>
    <w:rsid w:val="009939C8"/>
    <w:rsid w:val="009969BA"/>
    <w:rsid w:val="009A060A"/>
    <w:rsid w:val="009A294C"/>
    <w:rsid w:val="009A2F0C"/>
    <w:rsid w:val="009C68E6"/>
    <w:rsid w:val="009D3182"/>
    <w:rsid w:val="009D3CB5"/>
    <w:rsid w:val="009D744E"/>
    <w:rsid w:val="009E4B79"/>
    <w:rsid w:val="009F06F2"/>
    <w:rsid w:val="00A027CE"/>
    <w:rsid w:val="00A0792A"/>
    <w:rsid w:val="00A17735"/>
    <w:rsid w:val="00A178A0"/>
    <w:rsid w:val="00A17AE3"/>
    <w:rsid w:val="00A203D7"/>
    <w:rsid w:val="00A256B3"/>
    <w:rsid w:val="00A25C37"/>
    <w:rsid w:val="00A26FB8"/>
    <w:rsid w:val="00A35D7A"/>
    <w:rsid w:val="00A525DD"/>
    <w:rsid w:val="00A54D7A"/>
    <w:rsid w:val="00A56244"/>
    <w:rsid w:val="00A82FB2"/>
    <w:rsid w:val="00A832B4"/>
    <w:rsid w:val="00A91BEE"/>
    <w:rsid w:val="00A934DA"/>
    <w:rsid w:val="00AA039C"/>
    <w:rsid w:val="00AD0D3D"/>
    <w:rsid w:val="00AD52D0"/>
    <w:rsid w:val="00AE6AB9"/>
    <w:rsid w:val="00AF0883"/>
    <w:rsid w:val="00AF33FA"/>
    <w:rsid w:val="00AF7CF1"/>
    <w:rsid w:val="00B0248C"/>
    <w:rsid w:val="00B04B67"/>
    <w:rsid w:val="00B07598"/>
    <w:rsid w:val="00B143DB"/>
    <w:rsid w:val="00B2276C"/>
    <w:rsid w:val="00B2494F"/>
    <w:rsid w:val="00B27E52"/>
    <w:rsid w:val="00B30D0B"/>
    <w:rsid w:val="00B34305"/>
    <w:rsid w:val="00B449FF"/>
    <w:rsid w:val="00B6210E"/>
    <w:rsid w:val="00B66FB4"/>
    <w:rsid w:val="00B70257"/>
    <w:rsid w:val="00B7446B"/>
    <w:rsid w:val="00B7487E"/>
    <w:rsid w:val="00B90CF7"/>
    <w:rsid w:val="00B9655C"/>
    <w:rsid w:val="00BA5BDD"/>
    <w:rsid w:val="00BA7029"/>
    <w:rsid w:val="00BB0185"/>
    <w:rsid w:val="00BC0AA3"/>
    <w:rsid w:val="00BC3375"/>
    <w:rsid w:val="00BC72FC"/>
    <w:rsid w:val="00BC79EC"/>
    <w:rsid w:val="00C00678"/>
    <w:rsid w:val="00C029DB"/>
    <w:rsid w:val="00C2609B"/>
    <w:rsid w:val="00C334DD"/>
    <w:rsid w:val="00C6361C"/>
    <w:rsid w:val="00C7511D"/>
    <w:rsid w:val="00C80848"/>
    <w:rsid w:val="00C83585"/>
    <w:rsid w:val="00C846E5"/>
    <w:rsid w:val="00C86AA2"/>
    <w:rsid w:val="00C86CC5"/>
    <w:rsid w:val="00C972EB"/>
    <w:rsid w:val="00CA0AD9"/>
    <w:rsid w:val="00CA6B8C"/>
    <w:rsid w:val="00CC3DE0"/>
    <w:rsid w:val="00CC5F5D"/>
    <w:rsid w:val="00CD2AF8"/>
    <w:rsid w:val="00CE70E4"/>
    <w:rsid w:val="00CF207A"/>
    <w:rsid w:val="00CF3E90"/>
    <w:rsid w:val="00CF4587"/>
    <w:rsid w:val="00D01061"/>
    <w:rsid w:val="00D013A1"/>
    <w:rsid w:val="00D01F70"/>
    <w:rsid w:val="00D02EDB"/>
    <w:rsid w:val="00D04F7E"/>
    <w:rsid w:val="00D108EF"/>
    <w:rsid w:val="00D12C90"/>
    <w:rsid w:val="00D167E1"/>
    <w:rsid w:val="00D25970"/>
    <w:rsid w:val="00D306D3"/>
    <w:rsid w:val="00D461B3"/>
    <w:rsid w:val="00D54240"/>
    <w:rsid w:val="00D724EB"/>
    <w:rsid w:val="00D747BB"/>
    <w:rsid w:val="00D77BC4"/>
    <w:rsid w:val="00D81E26"/>
    <w:rsid w:val="00D91751"/>
    <w:rsid w:val="00DA58BD"/>
    <w:rsid w:val="00DB526E"/>
    <w:rsid w:val="00DB696C"/>
    <w:rsid w:val="00DC0602"/>
    <w:rsid w:val="00DC1735"/>
    <w:rsid w:val="00DF2F89"/>
    <w:rsid w:val="00E06F3E"/>
    <w:rsid w:val="00E10180"/>
    <w:rsid w:val="00E24D45"/>
    <w:rsid w:val="00E271D9"/>
    <w:rsid w:val="00E33A35"/>
    <w:rsid w:val="00E417B5"/>
    <w:rsid w:val="00E41C54"/>
    <w:rsid w:val="00E42B5D"/>
    <w:rsid w:val="00E50AE2"/>
    <w:rsid w:val="00E860E6"/>
    <w:rsid w:val="00E95BBC"/>
    <w:rsid w:val="00EA158F"/>
    <w:rsid w:val="00EA24B2"/>
    <w:rsid w:val="00EA2503"/>
    <w:rsid w:val="00EA41F8"/>
    <w:rsid w:val="00EA5D7C"/>
    <w:rsid w:val="00EB336B"/>
    <w:rsid w:val="00EB72B5"/>
    <w:rsid w:val="00ED228B"/>
    <w:rsid w:val="00ED4CEF"/>
    <w:rsid w:val="00ED74BA"/>
    <w:rsid w:val="00EF1DC3"/>
    <w:rsid w:val="00F05680"/>
    <w:rsid w:val="00F06443"/>
    <w:rsid w:val="00F424DE"/>
    <w:rsid w:val="00F42976"/>
    <w:rsid w:val="00F6211C"/>
    <w:rsid w:val="00F77764"/>
    <w:rsid w:val="00FA2F74"/>
    <w:rsid w:val="00FB14D4"/>
    <w:rsid w:val="00FB1EFD"/>
    <w:rsid w:val="00FC4F8D"/>
    <w:rsid w:val="00FD4352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9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C90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9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C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.google.com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tl00$FindField$FindField$historyControl$HistoryRepeater$ctl10$linkResults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tl00$FindField$FindField$historyControl$HistoryRepeater$ctl02$linkResults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lm.nih.gov/bsd/pmresourc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grey.e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Mohammed ALMUZIAN</dc:creator>
  <cp:keywords/>
  <dc:description/>
  <cp:lastModifiedBy>PASUMPON M.</cp:lastModifiedBy>
  <cp:revision>2</cp:revision>
  <dcterms:created xsi:type="dcterms:W3CDTF">2018-08-30T06:06:00Z</dcterms:created>
  <dcterms:modified xsi:type="dcterms:W3CDTF">2018-08-30T06:06:00Z</dcterms:modified>
</cp:coreProperties>
</file>