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14" w:rsidRPr="00735E53" w:rsidRDefault="007D5F4A" w:rsidP="00892314">
      <w:pPr>
        <w:widowControl w:val="0"/>
        <w:autoSpaceDE w:val="0"/>
        <w:autoSpaceDN w:val="0"/>
        <w:adjustRightInd w:val="0"/>
        <w:spacing w:after="140" w:line="288" w:lineRule="auto"/>
        <w:ind w:left="480" w:hanging="480"/>
        <w:jc w:val="center"/>
        <w:rPr>
          <w:b/>
          <w:sz w:val="24"/>
          <w:szCs w:val="24"/>
        </w:rPr>
      </w:pPr>
      <w:bookmarkStart w:id="0" w:name="_GoBack"/>
      <w:bookmarkEnd w:id="0"/>
      <w:r>
        <w:rPr>
          <w:b/>
          <w:sz w:val="24"/>
          <w:szCs w:val="24"/>
        </w:rPr>
        <w:t>Supplementary materials</w:t>
      </w:r>
    </w:p>
    <w:p w:rsidR="00892314" w:rsidRDefault="00892314" w:rsidP="00892314">
      <w:pPr>
        <w:widowControl w:val="0"/>
        <w:autoSpaceDE w:val="0"/>
        <w:autoSpaceDN w:val="0"/>
        <w:adjustRightInd w:val="0"/>
        <w:spacing w:after="140" w:line="288" w:lineRule="auto"/>
        <w:ind w:left="480" w:hanging="480"/>
        <w:jc w:val="center"/>
        <w:rPr>
          <w:b/>
        </w:rPr>
      </w:pPr>
    </w:p>
    <w:p w:rsidR="00617AC8" w:rsidRPr="003A20AE" w:rsidRDefault="00617AC8" w:rsidP="00617AC8">
      <w:pPr>
        <w:spacing w:after="0" w:line="480" w:lineRule="auto"/>
        <w:ind w:firstLine="0"/>
        <w:jc w:val="center"/>
      </w:pPr>
      <w:bookmarkStart w:id="1" w:name="OLE_LINK51"/>
      <w:bookmarkStart w:id="2" w:name="OLE_LINK52"/>
      <w:bookmarkStart w:id="3" w:name="OLE_LINK49"/>
      <w:bookmarkStart w:id="4" w:name="OLE_LINK50"/>
      <w:r>
        <w:rPr>
          <w:rFonts w:cs="Arial"/>
          <w:b/>
          <w:sz w:val="28"/>
          <w:szCs w:val="28"/>
        </w:rPr>
        <w:t>Environmental impacts of commuting modes in Lisbon</w:t>
      </w:r>
      <w:bookmarkEnd w:id="1"/>
      <w:bookmarkEnd w:id="2"/>
      <w:r>
        <w:rPr>
          <w:rFonts w:cs="Arial"/>
          <w:b/>
          <w:sz w:val="28"/>
          <w:szCs w:val="28"/>
        </w:rPr>
        <w:t>: a life-cycle assessment addressing particulate matter impacts on health</w:t>
      </w:r>
    </w:p>
    <w:bookmarkEnd w:id="3"/>
    <w:bookmarkEnd w:id="4"/>
    <w:p w:rsidR="00892314" w:rsidRPr="00E37F22" w:rsidRDefault="00892314" w:rsidP="00892314">
      <w:pPr>
        <w:jc w:val="center"/>
        <w:rPr>
          <w:lang w:val="pt-PT"/>
        </w:rPr>
      </w:pPr>
      <w:r w:rsidRPr="00E37F22">
        <w:rPr>
          <w:lang w:val="pt-PT"/>
        </w:rPr>
        <w:t>Joana Bastos, Pedro Marques, Stuart A. Batterman, Fausto Freire</w:t>
      </w:r>
    </w:p>
    <w:p w:rsidR="00D53FCB" w:rsidRDefault="00D53FCB" w:rsidP="00892314">
      <w:pPr>
        <w:widowControl w:val="0"/>
        <w:autoSpaceDE w:val="0"/>
        <w:autoSpaceDN w:val="0"/>
        <w:adjustRightInd w:val="0"/>
        <w:spacing w:after="140" w:line="288" w:lineRule="auto"/>
        <w:ind w:left="480" w:hanging="480"/>
        <w:rPr>
          <w:b/>
          <w:lang w:val="pt-PT"/>
        </w:rPr>
      </w:pPr>
    </w:p>
    <w:p w:rsidR="00570AB0" w:rsidRPr="00951583" w:rsidRDefault="00570AB0" w:rsidP="00892314">
      <w:pPr>
        <w:widowControl w:val="0"/>
        <w:autoSpaceDE w:val="0"/>
        <w:autoSpaceDN w:val="0"/>
        <w:adjustRightInd w:val="0"/>
        <w:spacing w:after="140" w:line="288" w:lineRule="auto"/>
        <w:ind w:left="480" w:hanging="480"/>
        <w:rPr>
          <w:b/>
        </w:rPr>
      </w:pPr>
      <w:r w:rsidRPr="00951583">
        <w:rPr>
          <w:b/>
        </w:rPr>
        <w:t>Contents</w:t>
      </w:r>
    </w:p>
    <w:p w:rsidR="00570AB0" w:rsidRPr="00D53FCB" w:rsidRDefault="00570AB0" w:rsidP="00570AB0">
      <w:pPr>
        <w:tabs>
          <w:tab w:val="clear" w:pos="0"/>
        </w:tabs>
        <w:spacing w:after="0" w:line="480" w:lineRule="auto"/>
        <w:ind w:firstLine="0"/>
        <w:jc w:val="left"/>
      </w:pPr>
      <w:r w:rsidRPr="00D53FCB">
        <w:t>1. Background</w:t>
      </w:r>
    </w:p>
    <w:p w:rsidR="00570AB0" w:rsidRDefault="00570AB0" w:rsidP="00570AB0">
      <w:pPr>
        <w:tabs>
          <w:tab w:val="clear" w:pos="0"/>
        </w:tabs>
        <w:spacing w:after="0" w:line="480" w:lineRule="auto"/>
        <w:ind w:firstLine="0"/>
        <w:jc w:val="left"/>
      </w:pPr>
      <w:r w:rsidRPr="00D53FCB">
        <w:tab/>
      </w:r>
      <w:r w:rsidRPr="00570AB0">
        <w:t>1.1 Environmental impacts of urban tr</w:t>
      </w:r>
      <w:r>
        <w:t>avel</w:t>
      </w:r>
    </w:p>
    <w:p w:rsidR="00570AB0" w:rsidRDefault="00570AB0" w:rsidP="00570AB0">
      <w:pPr>
        <w:tabs>
          <w:tab w:val="clear" w:pos="0"/>
        </w:tabs>
        <w:spacing w:after="0" w:line="480" w:lineRule="auto"/>
        <w:ind w:firstLine="0"/>
        <w:jc w:val="left"/>
      </w:pPr>
      <w:r>
        <w:tab/>
        <w:t>1.2 Life-cycle studies of urban transportation</w:t>
      </w:r>
    </w:p>
    <w:p w:rsidR="00570AB0" w:rsidRDefault="00570AB0" w:rsidP="00570AB0">
      <w:pPr>
        <w:tabs>
          <w:tab w:val="clear" w:pos="0"/>
        </w:tabs>
        <w:spacing w:after="0" w:line="480" w:lineRule="auto"/>
        <w:ind w:firstLine="0"/>
        <w:jc w:val="left"/>
      </w:pPr>
      <w:r>
        <w:tab/>
        <w:t>1.3 Reducing environmental impacts of commuting</w:t>
      </w:r>
    </w:p>
    <w:p w:rsidR="00570AB0" w:rsidRDefault="00570AB0" w:rsidP="00570AB0">
      <w:pPr>
        <w:tabs>
          <w:tab w:val="clear" w:pos="0"/>
        </w:tabs>
        <w:spacing w:after="0" w:line="480" w:lineRule="auto"/>
        <w:ind w:firstLine="0"/>
        <w:jc w:val="left"/>
      </w:pPr>
      <w:r>
        <w:t xml:space="preserve">2. </w:t>
      </w:r>
      <w:r w:rsidR="0040453F">
        <w:t>The life-cycle model: supplementary figures</w:t>
      </w:r>
      <w:r w:rsidR="00EF4726">
        <w:t xml:space="preserve"> and tables</w:t>
      </w:r>
    </w:p>
    <w:p w:rsidR="00570AB0" w:rsidRPr="00FB726B" w:rsidRDefault="00570AB0" w:rsidP="0040453F">
      <w:pPr>
        <w:spacing w:after="0" w:line="480" w:lineRule="auto"/>
      </w:pPr>
      <w:r w:rsidRPr="00FB726B">
        <w:t>Figure S1 – Commuting mode mix in 2011 in the great Lisbon a</w:t>
      </w:r>
      <w:r w:rsidR="00832359" w:rsidRPr="00FB726B">
        <w:t>rea and in the residence parish</w:t>
      </w:r>
    </w:p>
    <w:p w:rsidR="00B402C3" w:rsidRDefault="00570AB0" w:rsidP="0040453F">
      <w:pPr>
        <w:spacing w:after="0" w:line="480" w:lineRule="auto"/>
        <w:jc w:val="left"/>
      </w:pPr>
      <w:r w:rsidRPr="00FB726B">
        <w:t>Figure S2 – Map of Lisbon: residence and workplace locations</w:t>
      </w:r>
    </w:p>
    <w:p w:rsidR="00EF4726" w:rsidRPr="00FB726B" w:rsidRDefault="00EF4726" w:rsidP="0040453F">
      <w:pPr>
        <w:spacing w:after="0" w:line="480" w:lineRule="auto"/>
        <w:jc w:val="left"/>
      </w:pPr>
      <w:r>
        <w:t>Table S1 – Road transportation use phase: vehicle types and technologies modeled and share (%) covered in the Portuguese fleet (2013)</w:t>
      </w:r>
    </w:p>
    <w:p w:rsidR="00570AB0" w:rsidRPr="00FB726B" w:rsidRDefault="00EF4726" w:rsidP="00570AB0">
      <w:pPr>
        <w:tabs>
          <w:tab w:val="clear" w:pos="0"/>
        </w:tabs>
        <w:spacing w:after="0" w:line="480" w:lineRule="auto"/>
        <w:ind w:firstLine="0"/>
        <w:jc w:val="left"/>
      </w:pPr>
      <w:r>
        <w:t>3</w:t>
      </w:r>
      <w:r w:rsidR="00570AB0" w:rsidRPr="00FB726B">
        <w:t>. Detailed results per person-kilometer traveled (</w:t>
      </w:r>
      <w:r w:rsidR="00E13B20">
        <w:t>PKT</w:t>
      </w:r>
      <w:r w:rsidR="00570AB0" w:rsidRPr="00FB726B">
        <w:t>)</w:t>
      </w:r>
    </w:p>
    <w:p w:rsidR="00570AB0" w:rsidRPr="00FB726B" w:rsidRDefault="00570AB0" w:rsidP="00570AB0">
      <w:pPr>
        <w:spacing w:after="0" w:line="480" w:lineRule="auto"/>
      </w:pPr>
      <w:r w:rsidRPr="00FB726B">
        <w:t>Table S</w:t>
      </w:r>
      <w:r w:rsidR="00EF4726">
        <w:t xml:space="preserve">2 – </w:t>
      </w:r>
      <w:r w:rsidRPr="00FB726B">
        <w:t xml:space="preserve">Detailed results per </w:t>
      </w:r>
      <w:r w:rsidR="00E13B20">
        <w:t>person-kilometer traveled (PKT)</w:t>
      </w:r>
      <w:r w:rsidRPr="00FB726B">
        <w:t>: NRE, GHG, A</w:t>
      </w:r>
      <w:r w:rsidR="00FB726B" w:rsidRPr="00FB726B">
        <w:t xml:space="preserve">C, TE, FE, ME, </w:t>
      </w:r>
      <w:r w:rsidRPr="00FB726B">
        <w:t>PM</w:t>
      </w:r>
      <w:r w:rsidRPr="00FB726B">
        <w:rPr>
          <w:vertAlign w:val="subscript"/>
        </w:rPr>
        <w:t>2.5</w:t>
      </w:r>
      <w:r w:rsidR="00C1427F" w:rsidRPr="00FB726B">
        <w:t xml:space="preserve"> </w:t>
      </w:r>
      <w:r w:rsidRPr="00FB726B">
        <w:t xml:space="preserve">intake </w:t>
      </w:r>
      <w:r w:rsidR="00FB726B" w:rsidRPr="00FB726B">
        <w:t>and PM</w:t>
      </w:r>
      <w:r w:rsidR="00FB726B" w:rsidRPr="00FB726B">
        <w:rPr>
          <w:vertAlign w:val="subscript"/>
        </w:rPr>
        <w:t>2.5</w:t>
      </w:r>
      <w:r w:rsidR="00FB726B" w:rsidRPr="00FB726B">
        <w:t xml:space="preserve"> health</w:t>
      </w:r>
    </w:p>
    <w:p w:rsidR="00570AB0" w:rsidRPr="00981B68" w:rsidRDefault="00EF4726" w:rsidP="00570AB0">
      <w:pPr>
        <w:tabs>
          <w:tab w:val="clear" w:pos="0"/>
        </w:tabs>
        <w:spacing w:after="0" w:line="480" w:lineRule="auto"/>
        <w:ind w:firstLine="0"/>
        <w:jc w:val="left"/>
      </w:pPr>
      <w:r>
        <w:t>4</w:t>
      </w:r>
      <w:r w:rsidR="00570AB0" w:rsidRPr="00FB726B">
        <w:t>. Inter-study comparison of results</w:t>
      </w:r>
    </w:p>
    <w:p w:rsidR="00570AB0" w:rsidRDefault="00570AB0" w:rsidP="00570AB0">
      <w:pPr>
        <w:spacing w:after="0" w:line="480" w:lineRule="auto"/>
        <w:ind w:firstLine="360"/>
      </w:pPr>
      <w:r w:rsidRPr="00981B68">
        <w:t>Table S</w:t>
      </w:r>
      <w:r w:rsidR="00EF4726">
        <w:t>3 –</w:t>
      </w:r>
      <w:r w:rsidRPr="00981B68">
        <w:t xml:space="preserve"> NRE and GHG results</w:t>
      </w:r>
      <w:r>
        <w:t xml:space="preserve"> per person-kilometer</w:t>
      </w:r>
      <w:r w:rsidR="00E13B20">
        <w:t xml:space="preserve"> traveled</w:t>
      </w:r>
      <w:r>
        <w:t xml:space="preserve"> (</w:t>
      </w:r>
      <w:r w:rsidR="00E13B20">
        <w:t>PKT</w:t>
      </w:r>
      <w:r>
        <w:t>) in this and previous studies in the literature</w:t>
      </w:r>
    </w:p>
    <w:p w:rsidR="00570AB0" w:rsidRPr="00570AB0" w:rsidRDefault="00837834" w:rsidP="00570AB0">
      <w:pPr>
        <w:tabs>
          <w:tab w:val="clear" w:pos="0"/>
        </w:tabs>
        <w:spacing w:after="0" w:line="480" w:lineRule="auto"/>
        <w:ind w:firstLine="0"/>
        <w:jc w:val="left"/>
      </w:pPr>
      <w:r>
        <w:t>Supporting information r</w:t>
      </w:r>
      <w:r w:rsidR="00570AB0" w:rsidRPr="00570AB0">
        <w:t>eferences</w:t>
      </w:r>
    </w:p>
    <w:p w:rsidR="00570AB0" w:rsidRDefault="00570AB0">
      <w:pPr>
        <w:tabs>
          <w:tab w:val="clear" w:pos="0"/>
        </w:tabs>
        <w:spacing w:after="200" w:line="276" w:lineRule="auto"/>
        <w:ind w:firstLine="0"/>
        <w:jc w:val="left"/>
        <w:rPr>
          <w:b/>
        </w:rPr>
      </w:pPr>
    </w:p>
    <w:p w:rsidR="00892314" w:rsidRPr="005A132B" w:rsidRDefault="00892314" w:rsidP="001F3C57">
      <w:pPr>
        <w:pStyle w:val="Heading1"/>
        <w:numPr>
          <w:ilvl w:val="0"/>
          <w:numId w:val="0"/>
        </w:numPr>
        <w:ind w:left="270" w:firstLine="90"/>
      </w:pPr>
      <w:r>
        <w:t>1.</w:t>
      </w:r>
      <w:r>
        <w:tab/>
      </w:r>
      <w:r w:rsidRPr="005A132B">
        <w:t>Background</w:t>
      </w:r>
    </w:p>
    <w:p w:rsidR="00892314" w:rsidRPr="00C772D7" w:rsidRDefault="00892314" w:rsidP="001F3C57">
      <w:pPr>
        <w:pStyle w:val="Heading2"/>
      </w:pPr>
      <w:r w:rsidRPr="00C772D7">
        <w:tab/>
      </w:r>
      <w:r>
        <w:t>1</w:t>
      </w:r>
      <w:r w:rsidRPr="00C772D7">
        <w:t>.1</w:t>
      </w:r>
      <w:r w:rsidRPr="00C772D7">
        <w:tab/>
        <w:t>Environmental impacts of urban travel</w:t>
      </w:r>
    </w:p>
    <w:p w:rsidR="00892314" w:rsidRDefault="00892314" w:rsidP="001F3C57">
      <w:r w:rsidRPr="009203B4">
        <w:t>Urban transportation has a diversity of environmental impacts, both global and local. On a global scale, it contributes significantly to dependence on fossil fuels (</w:t>
      </w:r>
      <w:r w:rsidRPr="00EA0DD3">
        <w:t>representing</w:t>
      </w:r>
      <w:r w:rsidRPr="009203B4">
        <w:t xml:space="preserve"> a risk in energy</w:t>
      </w:r>
      <w:r w:rsidR="00367847">
        <w:t xml:space="preserve"> supply</w:t>
      </w:r>
      <w:r w:rsidRPr="009203B4">
        <w:t xml:space="preserve"> security), global warming and environmental degradation</w:t>
      </w:r>
      <w:r w:rsidR="00981A49">
        <w:t xml:space="preserve"> (Chester 2008; Woodcock et al. 2007)</w:t>
      </w:r>
      <w:r w:rsidR="00570AB0">
        <w:t>.</w:t>
      </w:r>
      <w:r>
        <w:t xml:space="preserve"> </w:t>
      </w:r>
      <w:r w:rsidRPr="009203B4">
        <w:t xml:space="preserve">At the </w:t>
      </w:r>
      <w:r>
        <w:t>local</w:t>
      </w:r>
      <w:r w:rsidRPr="009203B4">
        <w:t xml:space="preserve"> scale, transportation affects citizens’ quality of life in social, economic and environmental</w:t>
      </w:r>
      <w:r w:rsidRPr="009203B4" w:rsidDel="00230852">
        <w:t xml:space="preserve"> </w:t>
      </w:r>
      <w:r w:rsidRPr="009203B4">
        <w:t>ways</w:t>
      </w:r>
      <w:r w:rsidR="00981A49">
        <w:t xml:space="preserve"> (Albalate and Bel 2009)</w:t>
      </w:r>
      <w:r w:rsidRPr="009203B4">
        <w:t xml:space="preserve">, but </w:t>
      </w:r>
      <w:r>
        <w:t xml:space="preserve">its </w:t>
      </w:r>
      <w:r w:rsidRPr="009203B4">
        <w:t xml:space="preserve">impact </w:t>
      </w:r>
      <w:r w:rsidRPr="009203B4">
        <w:lastRenderedPageBreak/>
        <w:t xml:space="preserve">on health </w:t>
      </w:r>
      <w:r>
        <w:t xml:space="preserve">is a </w:t>
      </w:r>
      <w:r w:rsidRPr="009203B4">
        <w:t xml:space="preserve">major concern. </w:t>
      </w:r>
      <w:r>
        <w:t>H</w:t>
      </w:r>
      <w:r w:rsidRPr="009203B4">
        <w:t>ealth impacts associated with transportation in an urban context</w:t>
      </w:r>
      <w:r>
        <w:t xml:space="preserve"> include</w:t>
      </w:r>
      <w:r w:rsidRPr="009203B4">
        <w:t xml:space="preserve"> urban air pollution</w:t>
      </w:r>
      <w:r>
        <w:t xml:space="preserve">, </w:t>
      </w:r>
      <w:r w:rsidRPr="009203B4">
        <w:t xml:space="preserve">road-traffic injuries, physical activity, </w:t>
      </w:r>
      <w:r>
        <w:t>noise,</w:t>
      </w:r>
      <w:r w:rsidRPr="009203B4">
        <w:t xml:space="preserve"> and stress</w:t>
      </w:r>
      <w:r w:rsidR="00981A49">
        <w:t xml:space="preserve"> (Woodcock et al. 2007)</w:t>
      </w:r>
      <w:r w:rsidRPr="009203B4">
        <w:t>.</w:t>
      </w:r>
    </w:p>
    <w:p w:rsidR="00892314" w:rsidRDefault="00892314" w:rsidP="001F3C57">
      <w:r w:rsidRPr="009203B4">
        <w:t>Air pollution associated with transportation is especially relevant in urban environments due to potential</w:t>
      </w:r>
      <w:r>
        <w:t>ly</w:t>
      </w:r>
      <w:r w:rsidRPr="009203B4">
        <w:t xml:space="preserve"> high exposure</w:t>
      </w:r>
      <w:r>
        <w:t>s</w:t>
      </w:r>
      <w:r w:rsidRPr="009203B4">
        <w:t xml:space="preserve"> and </w:t>
      </w:r>
      <w:r>
        <w:t xml:space="preserve">the </w:t>
      </w:r>
      <w:r w:rsidRPr="009203B4">
        <w:t>consequent adverse effects on health</w:t>
      </w:r>
      <w:r w:rsidR="00981A49">
        <w:t xml:space="preserve"> (Chester 2008). </w:t>
      </w:r>
      <w:r w:rsidRPr="009203B4">
        <w:t>The</w:t>
      </w:r>
      <w:r>
        <w:t xml:space="preserve"> major local</w:t>
      </w:r>
      <w:r w:rsidRPr="009203B4">
        <w:t xml:space="preserve"> </w:t>
      </w:r>
      <w:r>
        <w:t xml:space="preserve">scale </w:t>
      </w:r>
      <w:r w:rsidRPr="009203B4">
        <w:t>air pollutant emissions of concern</w:t>
      </w:r>
      <w:r>
        <w:t xml:space="preserve"> associated with transportation include</w:t>
      </w:r>
      <w:r w:rsidR="00981A49">
        <w:t xml:space="preserve"> (Chester 2008; Nielsen 2013; Gorham 2002)</w:t>
      </w:r>
      <w:r w:rsidRPr="009203B4">
        <w:t>:</w:t>
      </w:r>
      <w:r>
        <w:t xml:space="preserve"> </w:t>
      </w:r>
      <w:r w:rsidRPr="009203B4">
        <w:t>(</w:t>
      </w:r>
      <w:r>
        <w:t>1</w:t>
      </w:r>
      <w:r w:rsidRPr="009203B4">
        <w:t xml:space="preserve">) particulate matter (PM), </w:t>
      </w:r>
      <w:r>
        <w:t xml:space="preserve">which is generally </w:t>
      </w:r>
      <w:r w:rsidRPr="009203B4">
        <w:t xml:space="preserve">classified </w:t>
      </w:r>
      <w:r>
        <w:t xml:space="preserve">by </w:t>
      </w:r>
      <w:r w:rsidRPr="009203B4">
        <w:t>diameter as PM</w:t>
      </w:r>
      <w:r w:rsidRPr="00CD77AA">
        <w:rPr>
          <w:vertAlign w:val="subscript"/>
        </w:rPr>
        <w:t>10</w:t>
      </w:r>
      <w:r w:rsidRPr="009203B4">
        <w:t xml:space="preserve"> and PM</w:t>
      </w:r>
      <w:r w:rsidRPr="00CD77AA">
        <w:rPr>
          <w:vertAlign w:val="subscript"/>
        </w:rPr>
        <w:t xml:space="preserve">2.5 </w:t>
      </w:r>
      <w:r w:rsidRPr="009203B4">
        <w:t>(</w:t>
      </w:r>
      <w:r w:rsidRPr="009203B4">
        <w:rPr>
          <w:rFonts w:cs="Arial"/>
        </w:rPr>
        <w:t>µ</w:t>
      </w:r>
      <w:r w:rsidRPr="009203B4">
        <w:t xml:space="preserve">m), </w:t>
      </w:r>
      <w:r>
        <w:t xml:space="preserve">and comprises of </w:t>
      </w:r>
      <w:r w:rsidRPr="009203B4">
        <w:t xml:space="preserve">a mixture of small particles and liquid droplets that can affect </w:t>
      </w:r>
      <w:r>
        <w:t xml:space="preserve">cardiovascular and </w:t>
      </w:r>
      <w:r w:rsidRPr="009203B4">
        <w:t>respiratory system</w:t>
      </w:r>
      <w:r>
        <w:t xml:space="preserve">s and </w:t>
      </w:r>
      <w:r w:rsidRPr="009203B4">
        <w:t>caus</w:t>
      </w:r>
      <w:r>
        <w:t>e</w:t>
      </w:r>
      <w:r w:rsidRPr="009203B4">
        <w:t xml:space="preserve"> </w:t>
      </w:r>
      <w:r>
        <w:t xml:space="preserve">and aggravate </w:t>
      </w:r>
      <w:r w:rsidRPr="009203B4">
        <w:t>asthma, bronchitis</w:t>
      </w:r>
      <w:r>
        <w:t>, diabetes, lung cancer, adverse birth outcomes, other diseases, and reduced life expectancy and mortality;</w:t>
      </w:r>
      <w:r w:rsidRPr="009203B4">
        <w:t xml:space="preserve"> (</w:t>
      </w:r>
      <w:r>
        <w:t>2</w:t>
      </w:r>
      <w:r w:rsidRPr="009203B4">
        <w:t>) carbon monoxide (CO), which reduce</w:t>
      </w:r>
      <w:r>
        <w:t>s the</w:t>
      </w:r>
      <w:r w:rsidRPr="009203B4">
        <w:t xml:space="preserve"> oxygen</w:t>
      </w:r>
      <w:r>
        <w:t>-</w:t>
      </w:r>
      <w:r w:rsidRPr="009203B4">
        <w:t xml:space="preserve">carrying capacity of the circulatory system, </w:t>
      </w:r>
      <w:r>
        <w:t xml:space="preserve">causing </w:t>
      </w:r>
      <w:r w:rsidRPr="009203B4">
        <w:t xml:space="preserve">hypoxia, brain problems </w:t>
      </w:r>
      <w:r>
        <w:t>and</w:t>
      </w:r>
      <w:r w:rsidRPr="009203B4">
        <w:t xml:space="preserve"> even asphyxiation if expo</w:t>
      </w:r>
      <w:r>
        <w:t>sures are high; (3</w:t>
      </w:r>
      <w:r w:rsidRPr="009203B4">
        <w:t>) nitrogen oxides (NO</w:t>
      </w:r>
      <w:r w:rsidRPr="009203B4">
        <w:rPr>
          <w:vertAlign w:val="subscript"/>
        </w:rPr>
        <w:t>x</w:t>
      </w:r>
      <w:r w:rsidRPr="009203B4">
        <w:t xml:space="preserve">), </w:t>
      </w:r>
      <w:r>
        <w:t xml:space="preserve">which </w:t>
      </w:r>
      <w:r w:rsidRPr="009203B4">
        <w:t>contribute to formation of ground-level ozone (O</w:t>
      </w:r>
      <w:r w:rsidRPr="00FE5974">
        <w:rPr>
          <w:vertAlign w:val="subscript"/>
        </w:rPr>
        <w:t>3</w:t>
      </w:r>
      <w:r w:rsidRPr="009203B4">
        <w:t>)</w:t>
      </w:r>
      <w:r>
        <w:t xml:space="preserve"> and which itself aggravates asthma and other respiratory diseases; (4</w:t>
      </w:r>
      <w:r w:rsidRPr="009203B4">
        <w:t>) volatile organic compounds (VOC), which</w:t>
      </w:r>
      <w:r>
        <w:t xml:space="preserve"> include a large number of compounds that evaporate at normal temperatures and</w:t>
      </w:r>
      <w:r w:rsidRPr="009203B4">
        <w:t xml:space="preserve"> </w:t>
      </w:r>
      <w:r>
        <w:t xml:space="preserve">which can </w:t>
      </w:r>
      <w:r w:rsidRPr="009203B4">
        <w:t>cause headache</w:t>
      </w:r>
      <w:r>
        <w:t>s</w:t>
      </w:r>
      <w:r w:rsidRPr="009203B4">
        <w:t>, nausea, central nervous system</w:t>
      </w:r>
      <w:r>
        <w:t xml:space="preserve"> problems, and</w:t>
      </w:r>
      <w:r w:rsidRPr="009203B4">
        <w:t xml:space="preserve"> cancer, among other health problems</w:t>
      </w:r>
      <w:r>
        <w:t xml:space="preserve">; VOCs also </w:t>
      </w:r>
      <w:r w:rsidRPr="009203B4">
        <w:t>co</w:t>
      </w:r>
      <w:r>
        <w:t>ntribute to O</w:t>
      </w:r>
      <w:r w:rsidRPr="00FE5974">
        <w:rPr>
          <w:vertAlign w:val="subscript"/>
        </w:rPr>
        <w:t>3</w:t>
      </w:r>
      <w:r>
        <w:t>. Other air pollutants associated with transportation include: (5)</w:t>
      </w:r>
      <w:r w:rsidRPr="009203B4">
        <w:t xml:space="preserve"> sulphur dioxide (SO</w:t>
      </w:r>
      <w:r w:rsidRPr="009203B4">
        <w:rPr>
          <w:vertAlign w:val="subscript"/>
        </w:rPr>
        <w:t>2</w:t>
      </w:r>
      <w:r w:rsidRPr="009203B4">
        <w:t xml:space="preserve">), which </w:t>
      </w:r>
      <w:r>
        <w:t xml:space="preserve">adversely </w:t>
      </w:r>
      <w:r w:rsidRPr="009203B4">
        <w:t>affect</w:t>
      </w:r>
      <w:r>
        <w:t>s</w:t>
      </w:r>
      <w:r w:rsidRPr="009203B4">
        <w:t xml:space="preserve"> </w:t>
      </w:r>
      <w:r>
        <w:t xml:space="preserve">the </w:t>
      </w:r>
      <w:r w:rsidRPr="009203B4">
        <w:t>pulmonary</w:t>
      </w:r>
      <w:r>
        <w:t xml:space="preserve">, respiratory </w:t>
      </w:r>
      <w:r w:rsidRPr="009203B4">
        <w:t xml:space="preserve">and cardiovascular </w:t>
      </w:r>
      <w:r>
        <w:t>systems,</w:t>
      </w:r>
      <w:r w:rsidRPr="009203B4">
        <w:t xml:space="preserve"> contribut</w:t>
      </w:r>
      <w:r>
        <w:t>es</w:t>
      </w:r>
      <w:r w:rsidRPr="009203B4">
        <w:t xml:space="preserve"> </w:t>
      </w:r>
      <w:r>
        <w:t xml:space="preserve">to </w:t>
      </w:r>
      <w:r w:rsidRPr="009203B4">
        <w:t>acid deposition</w:t>
      </w:r>
      <w:r>
        <w:t xml:space="preserve"> (along with NO</w:t>
      </w:r>
      <w:r w:rsidRPr="00FE5974">
        <w:rPr>
          <w:vertAlign w:val="subscript"/>
        </w:rPr>
        <w:t>2</w:t>
      </w:r>
      <w:r>
        <w:t>) that causes multiple ecological impacts</w:t>
      </w:r>
      <w:r w:rsidRPr="009203B4">
        <w:t xml:space="preserve"> and </w:t>
      </w:r>
      <w:r>
        <w:t>forms secondary PM</w:t>
      </w:r>
      <w:r w:rsidRPr="00FE5974">
        <w:rPr>
          <w:vertAlign w:val="subscript"/>
        </w:rPr>
        <w:t>2.5</w:t>
      </w:r>
      <w:r>
        <w:t>, and</w:t>
      </w:r>
      <w:r w:rsidRPr="009203B4">
        <w:t xml:space="preserve"> (</w:t>
      </w:r>
      <w:r>
        <w:t>6</w:t>
      </w:r>
      <w:r w:rsidRPr="009203B4">
        <w:t xml:space="preserve">) lead (Pb), which can impede brain development </w:t>
      </w:r>
      <w:r>
        <w:t xml:space="preserve">and </w:t>
      </w:r>
      <w:r w:rsidRPr="009203B4">
        <w:t>cause</w:t>
      </w:r>
      <w:r>
        <w:t>s</w:t>
      </w:r>
      <w:r w:rsidRPr="009203B4">
        <w:t xml:space="preserve"> anemia and kidney damage.</w:t>
      </w:r>
      <w:r>
        <w:t xml:space="preserve"> Motor vehicle fuels in Europe and most other developed countries now have most of the sulphur removed, and lead is no longer used as a fuel additive, thus concerns related to SO</w:t>
      </w:r>
      <w:r w:rsidRPr="00FE5974">
        <w:rPr>
          <w:vertAlign w:val="subscript"/>
        </w:rPr>
        <w:t>2</w:t>
      </w:r>
      <w:r>
        <w:t xml:space="preserve"> and Pb emission have been greatly diminished.</w:t>
      </w:r>
    </w:p>
    <w:p w:rsidR="009442FC" w:rsidRDefault="009442FC" w:rsidP="001F3C57">
      <w:pPr>
        <w:tabs>
          <w:tab w:val="clear" w:pos="0"/>
        </w:tabs>
        <w:spacing w:after="200"/>
        <w:ind w:firstLine="0"/>
        <w:jc w:val="left"/>
        <w:rPr>
          <w:b/>
        </w:rPr>
      </w:pPr>
    </w:p>
    <w:p w:rsidR="000613CE" w:rsidRPr="0065576B" w:rsidRDefault="000613CE" w:rsidP="001F3C57">
      <w:pPr>
        <w:pStyle w:val="Heading2"/>
        <w:ind w:firstLine="270"/>
      </w:pPr>
      <w:r>
        <w:t>1.2</w:t>
      </w:r>
      <w:r>
        <w:tab/>
      </w:r>
      <w:r w:rsidRPr="000755CC">
        <w:t xml:space="preserve">Life-cycle studies of urban </w:t>
      </w:r>
      <w:r>
        <w:t>transportation</w:t>
      </w:r>
    </w:p>
    <w:p w:rsidR="000613CE" w:rsidRDefault="000613CE" w:rsidP="001F3C57">
      <w:r>
        <w:t xml:space="preserve">Many </w:t>
      </w:r>
      <w:r w:rsidR="00367847">
        <w:t>life-cycle assessment (</w:t>
      </w:r>
      <w:r>
        <w:t>LCA</w:t>
      </w:r>
      <w:r w:rsidR="00367847">
        <w:t>)</w:t>
      </w:r>
      <w:r>
        <w:t xml:space="preserve"> studies of land-based transportation have been performed in the last decades. Most environmental assessments focused on personal transportation and explored new or alternative solutions (</w:t>
      </w:r>
      <w:r w:rsidRPr="00A9648E">
        <w:rPr>
          <w:i/>
        </w:rPr>
        <w:t>e.g.</w:t>
      </w:r>
      <w:r>
        <w:t>, alternative technologies, fuels, or eco-design strategies) to reduce impacts</w:t>
      </w:r>
      <w:r w:rsidR="00981A49">
        <w:t xml:space="preserve"> (Del Pero et al. 2015)</w:t>
      </w:r>
      <w:r>
        <w:t>.</w:t>
      </w:r>
    </w:p>
    <w:p w:rsidR="000613CE" w:rsidRPr="00832359" w:rsidRDefault="000613CE" w:rsidP="001F3C57">
      <w:r w:rsidRPr="0065576B">
        <w:t>Due</w:t>
      </w:r>
      <w:r>
        <w:t xml:space="preserve"> to the strong dependency of road</w:t>
      </w:r>
      <w:r w:rsidRPr="0065576B">
        <w:t xml:space="preserve"> transportation </w:t>
      </w:r>
      <w:r>
        <w:t>o</w:t>
      </w:r>
      <w:r w:rsidRPr="0065576B">
        <w:t>n fossil fuels</w:t>
      </w:r>
      <w:r>
        <w:t xml:space="preserve"> and associated emissions</w:t>
      </w:r>
      <w:r w:rsidRPr="0065576B">
        <w:t xml:space="preserve">, many </w:t>
      </w:r>
      <w:r>
        <w:t>life-cycle (</w:t>
      </w:r>
      <w:r w:rsidRPr="0065576B">
        <w:t>LC</w:t>
      </w:r>
      <w:r>
        <w:t>)</w:t>
      </w:r>
      <w:r w:rsidRPr="0065576B">
        <w:t xml:space="preserve"> studies have assessed and compared potential </w:t>
      </w:r>
      <w:r>
        <w:t xml:space="preserve">technologies and fuel </w:t>
      </w:r>
      <w:r w:rsidRPr="0065576B">
        <w:t>alternatives, such as biofuels, electric or hydrogen vehicles (e.g.</w:t>
      </w:r>
      <w:r w:rsidR="00280B6B">
        <w:t>,</w:t>
      </w:r>
      <w:r w:rsidR="003606FC">
        <w:t xml:space="preserve"> </w:t>
      </w:r>
      <w:r w:rsidR="00981A49">
        <w:t>Bartolozzi et al.</w:t>
      </w:r>
      <w:r w:rsidR="00BB449F">
        <w:t>,</w:t>
      </w:r>
      <w:r w:rsidR="00981A49">
        <w:t xml:space="preserve"> 2013</w:t>
      </w:r>
      <w:r w:rsidR="00BB449F">
        <w:t>; Bauer et al., 2015</w:t>
      </w:r>
      <w:r w:rsidR="00981A49">
        <w:t>)</w:t>
      </w:r>
      <w:r w:rsidR="00832359">
        <w:t>. Hawkins et al</w:t>
      </w:r>
      <w:r w:rsidR="00981A49">
        <w:t>. (2012)</w:t>
      </w:r>
      <w:r>
        <w:t xml:space="preserve"> performed a literature review on environmental impacts of hybrid and electric vehicles, supporting that LCA was the preferred tool for comparing environmental impacts of transportation impacts. A large body of literature has provided comparative LCAs of internal combustion engine vehicles (ICEV) and electric vehicles (EV), namely hybrid electric vehicles (HEV) and battery electric vehicles (BEV), highlighting that the impacts of vehicles are heavily dependent on the use phase. Although EVs </w:t>
      </w:r>
      <w:r w:rsidR="00367847">
        <w:t xml:space="preserve">can </w:t>
      </w:r>
      <w:r w:rsidRPr="00832359">
        <w:t>perform better than conventional ICEVs</w:t>
      </w:r>
      <w:r w:rsidR="00367847">
        <w:t xml:space="preserve"> in several aspects</w:t>
      </w:r>
      <w:r w:rsidRPr="00832359">
        <w:t xml:space="preserve">, the relative performance of electricity-based vehicles is strongly affected by the electricity mix used. In fact, if high-efficient ICEVs are considered, EVs do not present </w:t>
      </w:r>
      <w:r w:rsidR="00832359" w:rsidRPr="00832359">
        <w:t>such advantages. Hawkins et al.</w:t>
      </w:r>
      <w:r w:rsidR="00981A49">
        <w:t xml:space="preserve"> (2012)</w:t>
      </w:r>
      <w:r w:rsidRPr="00832359">
        <w:t xml:space="preserve"> added that the typical/average size of conventional ICEVs is generally larger than HEVs and EVs, which is likely to influence results.</w:t>
      </w:r>
    </w:p>
    <w:p w:rsidR="000613CE" w:rsidRPr="00832359" w:rsidRDefault="000613CE" w:rsidP="001F3C57">
      <w:r w:rsidRPr="00832359">
        <w:lastRenderedPageBreak/>
        <w:t>Less research is available on the LCA of railway transportation. In Europe, Del Pero et al.</w:t>
      </w:r>
      <w:r w:rsidR="00981A49">
        <w:t xml:space="preserve"> (2015)</w:t>
      </w:r>
      <w:r w:rsidRPr="00832359">
        <w:t xml:space="preserve"> performed an LCA of a heavy metro train in the area of Rome, including material acquisition, manufacturing, use and end-of-life, and showed that the use phase had the largest contribution. The study considered the vehicle kilometer traveled (</w:t>
      </w:r>
      <w:r w:rsidR="00E13B20">
        <w:t>VKT</w:t>
      </w:r>
      <w:r w:rsidRPr="00832359">
        <w:t>) as functional unit, and assumed passenger loads based on UNI EN 15663 (80% of seats occupied and 2.3/m</w:t>
      </w:r>
      <w:r w:rsidRPr="00832359">
        <w:rPr>
          <w:vertAlign w:val="superscript"/>
        </w:rPr>
        <w:t>2</w:t>
      </w:r>
      <w:r w:rsidRPr="00832359">
        <w:t xml:space="preserve"> standing). Impacts were calculated with CML2001 for abiotic depletion, acidification, eutrophication, eco-toxicity, GHG, human toxicity, ozone layer depletion, photochemical ozone creation and terrestrial eco-toxicity. The results indicated that potential approaches to increase environmental performance of the heavy metro train would be: reducing mass, increasing efficiency during operation, and increasing recyclability rate. Recently, an increasing number of EPDs has been published for railway transportation (trams, metro,</w:t>
      </w:r>
      <w:r w:rsidR="00837834">
        <w:t xml:space="preserve"> regional and intercity trains </w:t>
      </w:r>
      <w:r w:rsidR="003606FC">
        <w:t>(e.g.</w:t>
      </w:r>
      <w:r w:rsidR="00280B6B">
        <w:t>,</w:t>
      </w:r>
      <w:r w:rsidR="00981A49">
        <w:t xml:space="preserve"> AnsaldoBreda 2011; Bombardier Transportation 2011)</w:t>
      </w:r>
      <w:r w:rsidRPr="00832359">
        <w:t>. Electric rail transport is generally considered an efficient urban transportation alternative; however, its environmental performance is highly dependent on electricity genera</w:t>
      </w:r>
      <w:r w:rsidR="00832359" w:rsidRPr="00832359">
        <w:t>tion mix and vehicle occupancy</w:t>
      </w:r>
      <w:r w:rsidR="00F406AD">
        <w:t xml:space="preserve"> (Del Pero et al. 2015; Chester et al. 2012)</w:t>
      </w:r>
      <w:r w:rsidRPr="00832359">
        <w:t>.</w:t>
      </w:r>
    </w:p>
    <w:p w:rsidR="000613CE" w:rsidRDefault="000613CE" w:rsidP="001F3C57">
      <w:r w:rsidRPr="00832359">
        <w:t>Regarding multi-mode comparative analyses, Stodolsky et al.</w:t>
      </w:r>
      <w:r w:rsidR="003606FC">
        <w:t xml:space="preserve"> </w:t>
      </w:r>
      <w:r w:rsidR="00F406AD">
        <w:t>(1998)</w:t>
      </w:r>
      <w:r w:rsidRPr="00832359">
        <w:t xml:space="preserve"> compared at an early stage, rail and road modes for freight transportation. However, few other studies were found in the literature, besides the extensive work by Chester and colleagues on the LCA of transportation, developed in the l</w:t>
      </w:r>
      <w:r w:rsidR="009442FC" w:rsidRPr="00832359">
        <w:t>ast decade, mainly for the US</w:t>
      </w:r>
      <w:r w:rsidR="00367847">
        <w:t>A</w:t>
      </w:r>
      <w:r w:rsidR="009442FC" w:rsidRPr="00832359">
        <w:t xml:space="preserve">. </w:t>
      </w:r>
      <w:r w:rsidR="00832359" w:rsidRPr="00832359">
        <w:t>Chester</w:t>
      </w:r>
      <w:r w:rsidR="003606FC">
        <w:t xml:space="preserve"> </w:t>
      </w:r>
      <w:r w:rsidR="00F406AD">
        <w:t>(2008)</w:t>
      </w:r>
      <w:r w:rsidR="009442FC" w:rsidRPr="00832359">
        <w:t xml:space="preserve"> develop</w:t>
      </w:r>
      <w:r w:rsidR="00D53FCB" w:rsidRPr="00832359">
        <w:t>ed</w:t>
      </w:r>
      <w:r w:rsidR="009442FC" w:rsidRPr="00832359">
        <w:t xml:space="preserve"> a comprehensive LC inventory for passenger transportation in the US</w:t>
      </w:r>
      <w:r w:rsidR="00367847">
        <w:t>A</w:t>
      </w:r>
      <w:r w:rsidR="009442FC" w:rsidRPr="00832359">
        <w:t>.</w:t>
      </w:r>
      <w:r w:rsidRPr="00832359">
        <w:t xml:space="preserve"> Chester and </w:t>
      </w:r>
      <w:r w:rsidRPr="00390B3A">
        <w:t>Horvath</w:t>
      </w:r>
      <w:r w:rsidR="003606FC">
        <w:t xml:space="preserve"> </w:t>
      </w:r>
      <w:r w:rsidR="00F406AD">
        <w:t>(2009)</w:t>
      </w:r>
      <w:r w:rsidRPr="00390B3A">
        <w:t xml:space="preserve"> calculated the LC energy and GHG emissions for buses, trains and airplanes in the US, including the supply chain and production of vehicles, infrastructure and fuel. The authors concluded that vehicle </w:t>
      </w:r>
      <w:r>
        <w:t>occupancy</w:t>
      </w:r>
      <w:r w:rsidRPr="00390B3A">
        <w:t xml:space="preserve"> strongly affected the relative performance of these modes</w:t>
      </w:r>
      <w:r w:rsidR="00832359">
        <w:t>. Chester and Horvath</w:t>
      </w:r>
      <w:r w:rsidR="00F406AD">
        <w:t xml:space="preserve"> (2010)</w:t>
      </w:r>
      <w:r>
        <w:t xml:space="preserve"> conducted an LCA for the high speed rail (HSR) connecting four cities in the USA, comparing it with heavy rail transit, car and airplane traveling. This study emphasized again the influence of occupancy, and the best performance of railway transportation, when higher occupancies were considered. I</w:t>
      </w:r>
      <w:r w:rsidR="00832359">
        <w:t>n another study, Chester et al.</w:t>
      </w:r>
      <w:r w:rsidR="00F406AD">
        <w:t xml:space="preserve"> (2010)</w:t>
      </w:r>
      <w:r>
        <w:t xml:space="preserve"> developed an energy and emissions inventory for three metropolitan areas in the US</w:t>
      </w:r>
      <w:r w:rsidR="00367847">
        <w:t>A</w:t>
      </w:r>
      <w:r>
        <w:t xml:space="preserve">. (San Francisco, Chicago and New York City), comparing automobile, diesel rail, electric rail and ferry, and including impacts associated with vehicle insurance, parking construction and maintenance. Energy and emissions were calculated for passenger mile traveled (PMT) and vehicle mile traveled (VMT), to provide comparability. Cars had the largest impact, accounting for over 85% of the regional energy and emissions, and the authors found that a LC perspective is highly significant in this context, as the overall environmental impacts of a transport service were up to 20 times those of vehicle operation. The authors also considered healthcare and greenhouse gas monetize externalities to evaluate the societal costs of passenger transportation. </w:t>
      </w:r>
      <w:r w:rsidRPr="002C54E9">
        <w:t>Chester and Horvath</w:t>
      </w:r>
      <w:r w:rsidR="003606FC">
        <w:t xml:space="preserve"> </w:t>
      </w:r>
      <w:r w:rsidR="00A67EF4">
        <w:t>(2012)</w:t>
      </w:r>
      <w:r w:rsidRPr="002C54E9">
        <w:t xml:space="preserve"> compared fuel-efficient and electric cars, with HS</w:t>
      </w:r>
      <w:r>
        <w:t>R</w:t>
      </w:r>
      <w:r w:rsidRPr="002C54E9">
        <w:t xml:space="preserve"> and airplane traveling, to explore </w:t>
      </w:r>
      <w:r>
        <w:t xml:space="preserve">potential </w:t>
      </w:r>
      <w:r w:rsidRPr="002C54E9">
        <w:t>advances in technology, in California.</w:t>
      </w:r>
      <w:r>
        <w:t xml:space="preserve"> Chester et al.</w:t>
      </w:r>
      <w:r w:rsidR="003606FC">
        <w:t xml:space="preserve"> </w:t>
      </w:r>
      <w:r w:rsidR="00A67EF4">
        <w:t>(2013)</w:t>
      </w:r>
      <w:r>
        <w:t xml:space="preserve"> performed a comparative LCA for the new rapid bus and transit light rail lanes in Los Angeles, considering energy consumption, GHG emissions and criteria pollutants (incl. potential for smog and respiratory impacts) and using both attributional and consequential LCA. The LCA included vehicle manufacture and maintenance, infrastructure construction and operation, and energy production components, but also vehicle and infrastructure insurance. PM and ozone were considered with impact characteriz</w:t>
      </w:r>
      <w:r w:rsidR="00832359">
        <w:t>ation factors from TRACI model</w:t>
      </w:r>
      <w:r w:rsidR="00A67EF4">
        <w:t xml:space="preserve"> (Bare et al. 2002)</w:t>
      </w:r>
      <w:r>
        <w:t xml:space="preserve"> to assess respiratory and smog stressors. The authors highlighted the importance of considering environmental boundaries beyond geopolitical boundaries; however, local (interurban) and remote emissions were added with no distinction in their potential </w:t>
      </w:r>
      <w:r>
        <w:lastRenderedPageBreak/>
        <w:t>effects, which depend on exposure.</w:t>
      </w:r>
      <w:r w:rsidR="00A70EBA">
        <w:t xml:space="preserve"> </w:t>
      </w:r>
      <w:r w:rsidR="00BB449F">
        <w:t>The LC water requirements of petrol cars, urban electric and regional diesel trains were compared with an input-output approach, in Melbourne, Australia (Stephan and Crawfor</w:t>
      </w:r>
      <w:r w:rsidR="00313F36">
        <w:t>d</w:t>
      </w:r>
      <w:r w:rsidR="00BB449F">
        <w:t xml:space="preserve">, 2016). </w:t>
      </w:r>
      <w:r w:rsidR="00A70EBA">
        <w:t xml:space="preserve">Recently, daily environmental impacts of the overall urban transportation in Lyon, France, were assessed in </w:t>
      </w:r>
      <w:r w:rsidR="00313F36">
        <w:t>a study that integrated LCA and</w:t>
      </w:r>
      <w:r w:rsidR="00A70EBA">
        <w:t xml:space="preserve"> a land use and transport interactions (LUTI) model</w:t>
      </w:r>
      <w:r w:rsidR="006D60ED">
        <w:t xml:space="preserve"> (François et al. 2017)</w:t>
      </w:r>
      <w:r w:rsidR="00A70EBA">
        <w:t>. The analysis comprised nine impact indicators, including particulate matter emissions in g PM</w:t>
      </w:r>
      <w:r w:rsidR="00A70EBA" w:rsidRPr="00A70EBA">
        <w:rPr>
          <w:vertAlign w:val="subscript"/>
        </w:rPr>
        <w:t>10</w:t>
      </w:r>
      <w:r w:rsidR="00367847">
        <w:t xml:space="preserve"> </w:t>
      </w:r>
      <w:r w:rsidR="00A70EBA">
        <w:t>eq inhabitant</w:t>
      </w:r>
      <w:r w:rsidR="00A70EBA" w:rsidRPr="00A70EBA">
        <w:rPr>
          <w:vertAlign w:val="superscript"/>
        </w:rPr>
        <w:t>-1</w:t>
      </w:r>
      <w:r w:rsidR="00A70EBA">
        <w:t xml:space="preserve"> day</w:t>
      </w:r>
      <w:r w:rsidR="00A70EBA" w:rsidRPr="00A70EBA">
        <w:rPr>
          <w:vertAlign w:val="superscript"/>
        </w:rPr>
        <w:t>-1</w:t>
      </w:r>
      <w:r w:rsidR="00A70EBA">
        <w:t>, which used the same characterization for exhaust emissions and emissions occurring in other life-cycle phases (e.g., vehicle manufacture).</w:t>
      </w:r>
    </w:p>
    <w:p w:rsidR="000613CE" w:rsidRPr="0086256D" w:rsidRDefault="000613CE" w:rsidP="001F3C57">
      <w:r>
        <w:t>Most previous LCAs of transportation modes compared alternative technologies within the same mode or a very limited number of modes, and focused on one or two environmental indicators (mainly energy use and GHG emissions). However, including a broader set of environmental indicators is crucial to identify and avoid unintended trade-offs in mitigation strategies</w:t>
      </w:r>
      <w:r w:rsidR="00A67EF4">
        <w:t xml:space="preserve"> (Chester et al. 2013</w:t>
      </w:r>
      <w:r w:rsidR="00280B6B">
        <w:t>; François et al. 2017</w:t>
      </w:r>
      <w:r w:rsidR="00A67EF4">
        <w:t>)</w:t>
      </w:r>
      <w:r>
        <w:t>. In addition, no studies were found providing a comprehensive LCA of alternative urban transportation modes in Europe and the integration of PM</w:t>
      </w:r>
      <w:r>
        <w:rPr>
          <w:vertAlign w:val="subscript"/>
        </w:rPr>
        <w:t>2.5</w:t>
      </w:r>
      <w:r>
        <w:t xml:space="preserve"> in LCIA needs to be improved. </w:t>
      </w:r>
      <w:r w:rsidRPr="0086256D">
        <w:t>This paper presents a comprehensive</w:t>
      </w:r>
      <w:r>
        <w:t xml:space="preserve"> multi-mode</w:t>
      </w:r>
      <w:r w:rsidRPr="0086256D">
        <w:t xml:space="preserve"> </w:t>
      </w:r>
      <w:r>
        <w:t>LCA</w:t>
      </w:r>
      <w:r w:rsidRPr="0086256D">
        <w:t xml:space="preserve"> comparing alternative t</w:t>
      </w:r>
      <w:r>
        <w:t>ransport modes for urban travel in the region of Lisbon, considering a broader range of impacts and integrating the impacts of PM</w:t>
      </w:r>
      <w:r w:rsidRPr="00955638">
        <w:rPr>
          <w:vertAlign w:val="subscript"/>
        </w:rPr>
        <w:t>2.5</w:t>
      </w:r>
      <w:r w:rsidRPr="00955638">
        <w:t xml:space="preserve"> </w:t>
      </w:r>
      <w:r>
        <w:t>emissions, and their effects on health.</w:t>
      </w:r>
    </w:p>
    <w:p w:rsidR="00892314" w:rsidRDefault="00892314" w:rsidP="00C71682">
      <w:pPr>
        <w:widowControl w:val="0"/>
        <w:autoSpaceDE w:val="0"/>
        <w:autoSpaceDN w:val="0"/>
        <w:adjustRightInd w:val="0"/>
        <w:spacing w:after="140" w:line="288" w:lineRule="auto"/>
        <w:ind w:firstLine="0"/>
        <w:rPr>
          <w:b/>
        </w:rPr>
      </w:pPr>
    </w:p>
    <w:p w:rsidR="00892314" w:rsidRPr="005D2F06" w:rsidRDefault="00892314" w:rsidP="00892314">
      <w:pPr>
        <w:pStyle w:val="Heading2"/>
        <w:ind w:firstLine="270"/>
      </w:pPr>
      <w:r>
        <w:t>1.</w:t>
      </w:r>
      <w:r w:rsidR="000613CE">
        <w:t>3</w:t>
      </w:r>
      <w:r w:rsidRPr="005D2F06">
        <w:t xml:space="preserve"> Reducing environmental impacts of commuting</w:t>
      </w:r>
    </w:p>
    <w:p w:rsidR="00892314" w:rsidRDefault="00892314" w:rsidP="00892314">
      <w:pPr>
        <w:rPr>
          <w:rFonts w:cs="Arial"/>
        </w:rPr>
      </w:pPr>
      <w:r>
        <w:t>Strategies to reduce impacts associated with transportation, mostly focusing on energy use, emissions and congestion, have been implemented since the 1970s</w:t>
      </w:r>
      <w:r w:rsidR="00A67EF4">
        <w:t xml:space="preserve"> (Porter et al. 2013)</w:t>
      </w:r>
      <w:r w:rsidR="00832359">
        <w:t>.</w:t>
      </w:r>
      <w:r>
        <w:t xml:space="preserve"> In the last decades, many actions have been identified and explored in the literature, both addressing technological developments and travel behavior. One potential strategy is reducing the need to travel, </w:t>
      </w:r>
      <w:r w:rsidRPr="00832359">
        <w:t>e.g.,</w:t>
      </w:r>
      <w:r>
        <w:t xml:space="preserve"> </w:t>
      </w:r>
      <w:r w:rsidRPr="00EC2B37">
        <w:t>reducing the number of trips</w:t>
      </w:r>
      <w:r>
        <w:t xml:space="preserve"> by </w:t>
      </w:r>
      <w:r w:rsidRPr="00EC2B37">
        <w:t>telecommuting, increasing vehicle occupancy and trip chaining</w:t>
      </w:r>
      <w:r w:rsidR="00A67EF4">
        <w:t xml:space="preserve"> (Woodcock et al. 2007)</w:t>
      </w:r>
      <w:r w:rsidRPr="00EC2B37">
        <w:rPr>
          <w:rFonts w:cs="Arial"/>
        </w:rPr>
        <w:t xml:space="preserve">. </w:t>
      </w:r>
      <w:r>
        <w:rPr>
          <w:rFonts w:cs="Arial"/>
        </w:rPr>
        <w:t xml:space="preserve">Other actions can reduce travel-related emissions and impacts without changing the </w:t>
      </w:r>
      <w:r w:rsidRPr="00EC2B37">
        <w:rPr>
          <w:rFonts w:cs="Arial"/>
        </w:rPr>
        <w:t>modal mix</w:t>
      </w:r>
      <w:r>
        <w:rPr>
          <w:rFonts w:cs="Arial"/>
        </w:rPr>
        <w:t xml:space="preserve"> and travel demand</w:t>
      </w:r>
      <w:r w:rsidRPr="00EC2B37">
        <w:rPr>
          <w:rFonts w:cs="Arial"/>
        </w:rPr>
        <w:t xml:space="preserve">, </w:t>
      </w:r>
      <w:r>
        <w:rPr>
          <w:rFonts w:cs="Arial"/>
        </w:rPr>
        <w:t xml:space="preserve">e.g., </w:t>
      </w:r>
      <w:r w:rsidRPr="00EC2B37">
        <w:rPr>
          <w:rFonts w:cs="Arial"/>
        </w:rPr>
        <w:t>efficiency increase</w:t>
      </w:r>
      <w:r>
        <w:rPr>
          <w:rFonts w:cs="Arial"/>
        </w:rPr>
        <w:t xml:space="preserve"> due to </w:t>
      </w:r>
      <w:r w:rsidRPr="00EC2B37">
        <w:rPr>
          <w:rFonts w:cs="Arial"/>
        </w:rPr>
        <w:t>improved engine design</w:t>
      </w:r>
      <w:r>
        <w:rPr>
          <w:rFonts w:cs="Arial"/>
        </w:rPr>
        <w:t xml:space="preserve">, emission controls, and renewable </w:t>
      </w:r>
      <w:r w:rsidRPr="00EC2B37">
        <w:rPr>
          <w:rFonts w:cs="Arial"/>
        </w:rPr>
        <w:t xml:space="preserve">energy </w:t>
      </w:r>
      <w:r>
        <w:rPr>
          <w:rFonts w:cs="Arial"/>
        </w:rPr>
        <w:t>sources</w:t>
      </w:r>
      <w:r w:rsidRPr="00EC2B37">
        <w:rPr>
          <w:rFonts w:cs="Arial"/>
        </w:rPr>
        <w:t>.</w:t>
      </w:r>
      <w:r>
        <w:rPr>
          <w:rFonts w:cs="Arial"/>
        </w:rPr>
        <w:t xml:space="preserve"> This includes e</w:t>
      </w:r>
      <w:r w:rsidRPr="00EC2B37">
        <w:rPr>
          <w:rFonts w:cs="Arial"/>
        </w:rPr>
        <w:t>lectric and hybrid vehicles</w:t>
      </w:r>
      <w:r>
        <w:rPr>
          <w:rFonts w:cs="Arial"/>
        </w:rPr>
        <w:t xml:space="preserve">, </w:t>
      </w:r>
      <w:r w:rsidRPr="00EC2B37">
        <w:rPr>
          <w:rFonts w:cs="Arial"/>
        </w:rPr>
        <w:t xml:space="preserve">identified as a major </w:t>
      </w:r>
      <w:r>
        <w:rPr>
          <w:rFonts w:cs="Arial"/>
        </w:rPr>
        <w:t xml:space="preserve">short-term </w:t>
      </w:r>
      <w:r w:rsidRPr="00EC2B37">
        <w:rPr>
          <w:rFonts w:cs="Arial"/>
        </w:rPr>
        <w:t xml:space="preserve">opportunity </w:t>
      </w:r>
      <w:r>
        <w:rPr>
          <w:rFonts w:cs="Arial"/>
        </w:rPr>
        <w:t xml:space="preserve">to improve </w:t>
      </w:r>
      <w:r w:rsidRPr="00EC2B37">
        <w:rPr>
          <w:rFonts w:cs="Arial"/>
        </w:rPr>
        <w:t>fleet performance</w:t>
      </w:r>
      <w:r>
        <w:rPr>
          <w:rFonts w:cs="Arial"/>
        </w:rPr>
        <w:t xml:space="preserve"> by reducing use-phase </w:t>
      </w:r>
      <w:r w:rsidRPr="00EC2B37">
        <w:rPr>
          <w:rFonts w:cs="Arial"/>
        </w:rPr>
        <w:t xml:space="preserve">local emissions, </w:t>
      </w:r>
      <w:r>
        <w:rPr>
          <w:rFonts w:cs="Arial"/>
        </w:rPr>
        <w:t xml:space="preserve">although </w:t>
      </w:r>
      <w:r w:rsidRPr="00EC2B37">
        <w:rPr>
          <w:rFonts w:cs="Arial"/>
        </w:rPr>
        <w:t xml:space="preserve">the </w:t>
      </w:r>
      <w:r>
        <w:rPr>
          <w:rFonts w:cs="Arial"/>
        </w:rPr>
        <w:t xml:space="preserve">entire </w:t>
      </w:r>
      <w:r w:rsidRPr="00EC2B37">
        <w:rPr>
          <w:rFonts w:cs="Arial"/>
        </w:rPr>
        <w:t>life-cycle should be considered to assess the overall energy and resource use</w:t>
      </w:r>
      <w:r w:rsidR="003606FC">
        <w:rPr>
          <w:rFonts w:cs="Arial"/>
        </w:rPr>
        <w:t xml:space="preserve"> </w:t>
      </w:r>
      <w:r w:rsidR="00A67EF4">
        <w:t>(Woodcock et al. 2007)</w:t>
      </w:r>
      <w:r>
        <w:rPr>
          <w:rFonts w:cs="Arial"/>
        </w:rPr>
        <w:t>.</w:t>
      </w:r>
    </w:p>
    <w:p w:rsidR="00892314" w:rsidRDefault="00832359" w:rsidP="00892314">
      <w:r>
        <w:t>Banister</w:t>
      </w:r>
      <w:r w:rsidR="00A67EF4">
        <w:t xml:space="preserve"> (2008)</w:t>
      </w:r>
      <w:r w:rsidR="003606FC">
        <w:rPr>
          <w:vertAlign w:val="superscript"/>
        </w:rPr>
        <w:t xml:space="preserve"> </w:t>
      </w:r>
      <w:r w:rsidR="00892314">
        <w:t xml:space="preserve">identified four types of actions for reducing the environmental impacts of transportation: (1) </w:t>
      </w:r>
      <w:r w:rsidR="00892314" w:rsidRPr="00EC2B37">
        <w:t xml:space="preserve">reducing the need to travel; </w:t>
      </w:r>
      <w:r w:rsidR="00892314">
        <w:t xml:space="preserve">(2) </w:t>
      </w:r>
      <w:r w:rsidR="00892314" w:rsidRPr="00EC2B37">
        <w:t xml:space="preserve">transport policy measures; </w:t>
      </w:r>
      <w:r w:rsidR="00892314">
        <w:t xml:space="preserve">(3) </w:t>
      </w:r>
      <w:r w:rsidR="00892314" w:rsidRPr="00EC2B37">
        <w:t xml:space="preserve">land-use policy measures and </w:t>
      </w:r>
      <w:r w:rsidR="00892314">
        <w:t xml:space="preserve">(4) </w:t>
      </w:r>
      <w:r w:rsidR="00892314" w:rsidRPr="00EC2B37">
        <w:t xml:space="preserve">technological innovation. These strategies </w:t>
      </w:r>
      <w:r w:rsidR="00892314">
        <w:t xml:space="preserve">can </w:t>
      </w:r>
      <w:r w:rsidR="00892314" w:rsidRPr="00EC2B37">
        <w:t>reduce energy</w:t>
      </w:r>
      <w:r w:rsidR="00892314">
        <w:t xml:space="preserve"> demand</w:t>
      </w:r>
      <w:r w:rsidR="00892314" w:rsidRPr="00EC2B37">
        <w:t xml:space="preserve"> and environmental impacts</w:t>
      </w:r>
      <w:r w:rsidR="00892314">
        <w:t xml:space="preserve"> and also </w:t>
      </w:r>
      <w:r w:rsidR="00892314" w:rsidRPr="00EC2B37">
        <w:t>improv</w:t>
      </w:r>
      <w:r w:rsidR="00892314">
        <w:t>e</w:t>
      </w:r>
      <w:r w:rsidR="00892314" w:rsidRPr="00EC2B37">
        <w:t xml:space="preserve"> access and equity</w:t>
      </w:r>
      <w:r w:rsidR="00A67EF4">
        <w:t xml:space="preserve"> (Woodcock et al. 2007)</w:t>
      </w:r>
      <w:r w:rsidR="00892314" w:rsidRPr="00EC2B37">
        <w:rPr>
          <w:rFonts w:cs="Arial"/>
        </w:rPr>
        <w:t>.</w:t>
      </w:r>
      <w:r w:rsidR="00892314">
        <w:rPr>
          <w:rFonts w:cs="Arial"/>
        </w:rPr>
        <w:t xml:space="preserve"> Porter et al.</w:t>
      </w:r>
      <w:r w:rsidR="003606FC">
        <w:rPr>
          <w:rFonts w:cs="Arial"/>
        </w:rPr>
        <w:t xml:space="preserve"> </w:t>
      </w:r>
      <w:r w:rsidR="00A67EF4">
        <w:rPr>
          <w:rFonts w:cs="Arial"/>
        </w:rPr>
        <w:t>(2013)</w:t>
      </w:r>
      <w:r w:rsidR="00892314">
        <w:rPr>
          <w:rFonts w:cs="Arial"/>
        </w:rPr>
        <w:t xml:space="preserve"> provided an extensive review and discussion on the underlying issues and effectiveness of specific actions to address and change travel behavior, namely focusing on travel reduction and efficient driving strategies (incl. road and parking pricing, transit improvements, telework, real-time traffic and parking information, speed limit reduction, etc.).</w:t>
      </w:r>
    </w:p>
    <w:p w:rsidR="00892314" w:rsidRDefault="00892314" w:rsidP="00892314">
      <w:r>
        <w:t>This paper performs a scenario analysis based</w:t>
      </w:r>
      <w:r w:rsidR="00367847">
        <w:t xml:space="preserve"> on</w:t>
      </w:r>
      <w:r>
        <w:t xml:space="preserve"> the strategies identified by Banister</w:t>
      </w:r>
      <w:r w:rsidR="00A67EF4">
        <w:t xml:space="preserve"> (2008)</w:t>
      </w:r>
      <w:r>
        <w:t>, to assess their potential improvements</w:t>
      </w:r>
      <w:r w:rsidR="00367847">
        <w:t xml:space="preserve"> and trade-offs</w:t>
      </w:r>
      <w:r>
        <w:t xml:space="preserve"> in terms of environmental impacts associated with work travel. Work travel (commuting) represents a major portion of u</w:t>
      </w:r>
      <w:r w:rsidRPr="00217C28">
        <w:t>rban travel demand</w:t>
      </w:r>
      <w:r>
        <w:t xml:space="preserve">, and figures prominently in the </w:t>
      </w:r>
      <w:r w:rsidRPr="00217C28">
        <w:t xml:space="preserve">literature and </w:t>
      </w:r>
      <w:r w:rsidRPr="00217C28">
        <w:lastRenderedPageBreak/>
        <w:t xml:space="preserve">urban policies </w:t>
      </w:r>
      <w:r>
        <w:t xml:space="preserve">for this reason, as well as the </w:t>
      </w:r>
      <w:r w:rsidRPr="00217C28">
        <w:t>congestion and pollution</w:t>
      </w:r>
      <w:r>
        <w:t xml:space="preserve"> it can cause</w:t>
      </w:r>
      <w:r w:rsidR="00A67EF4">
        <w:t xml:space="preserve"> (Dong et al. 2016; Maat and Timmermans 2009; Strathman et al. 1994)</w:t>
      </w:r>
      <w:r w:rsidRPr="0061098B">
        <w:rPr>
          <w:color w:val="00B050"/>
        </w:rPr>
        <w:t>.</w:t>
      </w:r>
    </w:p>
    <w:p w:rsidR="00892314" w:rsidRDefault="00892314" w:rsidP="00892314">
      <w:pPr>
        <w:widowControl w:val="0"/>
        <w:autoSpaceDE w:val="0"/>
        <w:autoSpaceDN w:val="0"/>
        <w:adjustRightInd w:val="0"/>
        <w:spacing w:after="140" w:line="288" w:lineRule="auto"/>
        <w:ind w:left="480" w:hanging="480"/>
        <w:rPr>
          <w:b/>
        </w:rPr>
      </w:pPr>
    </w:p>
    <w:p w:rsidR="00411417" w:rsidRDefault="00411417" w:rsidP="00411417">
      <w:pPr>
        <w:pStyle w:val="Heading2"/>
        <w:ind w:firstLine="270"/>
      </w:pPr>
      <w:r>
        <w:t xml:space="preserve">2. </w:t>
      </w:r>
      <w:r w:rsidR="00EF4726">
        <w:t>The life-cycle model: supplementary figures and tables</w:t>
      </w:r>
    </w:p>
    <w:p w:rsidR="00634DF0" w:rsidRPr="00411417" w:rsidRDefault="00634DF0" w:rsidP="00411417">
      <w:r>
        <w:t xml:space="preserve">Figure </w:t>
      </w:r>
      <w:r w:rsidR="00570AB0">
        <w:t>S</w:t>
      </w:r>
      <w:r w:rsidR="00411417">
        <w:t>1</w:t>
      </w:r>
      <w:r>
        <w:t xml:space="preserve"> shows the 2011 transport mode mix for the Lisbo</w:t>
      </w:r>
      <w:r w:rsidR="00411417">
        <w:t>n area and the residence parish (data refer to the main transport mode used).</w:t>
      </w:r>
    </w:p>
    <w:p w:rsidR="00634DF0" w:rsidRDefault="00634DF0" w:rsidP="00634DF0">
      <w:pPr>
        <w:jc w:val="center"/>
      </w:pPr>
      <w:r>
        <w:rPr>
          <w:noProof/>
        </w:rPr>
        <w:drawing>
          <wp:inline distT="0" distB="0" distL="0" distR="0" wp14:anchorId="37DF076E" wp14:editId="022CC621">
            <wp:extent cx="3238500" cy="2257425"/>
            <wp:effectExtent l="0" t="0" r="0" b="9525"/>
            <wp:docPr id="1" name="Picture 1" descr="2011-mode-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mode-mi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2257425"/>
                    </a:xfrm>
                    <a:prstGeom prst="rect">
                      <a:avLst/>
                    </a:prstGeom>
                    <a:noFill/>
                    <a:ln>
                      <a:noFill/>
                    </a:ln>
                  </pic:spPr>
                </pic:pic>
              </a:graphicData>
            </a:graphic>
          </wp:inline>
        </w:drawing>
      </w:r>
    </w:p>
    <w:p w:rsidR="00367847" w:rsidRDefault="00634DF0" w:rsidP="00832359">
      <w:pPr>
        <w:jc w:val="center"/>
      </w:pPr>
      <w:r>
        <w:t xml:space="preserve">Figure </w:t>
      </w:r>
      <w:r w:rsidR="00570AB0">
        <w:t>S</w:t>
      </w:r>
      <w:r w:rsidR="00411417">
        <w:t>1</w:t>
      </w:r>
      <w:r w:rsidR="00EF4726" w:rsidRPr="00EF4726">
        <w:t xml:space="preserve"> </w:t>
      </w:r>
      <w:r w:rsidR="00EF4726">
        <w:t xml:space="preserve">– </w:t>
      </w:r>
      <w:r>
        <w:t>Commuting mode mix in 2011 in the great Lisbon a</w:t>
      </w:r>
      <w:r w:rsidR="00832359">
        <w:t>rea and in the residence parish</w:t>
      </w:r>
      <w:r w:rsidR="00A67EF4">
        <w:t xml:space="preserve"> (INE 2013)</w:t>
      </w:r>
    </w:p>
    <w:p w:rsidR="00367847" w:rsidRDefault="00367847">
      <w:pPr>
        <w:tabs>
          <w:tab w:val="clear" w:pos="0"/>
        </w:tabs>
        <w:spacing w:after="200" w:line="276" w:lineRule="auto"/>
        <w:ind w:firstLine="0"/>
        <w:jc w:val="left"/>
      </w:pPr>
    </w:p>
    <w:p w:rsidR="001371F3" w:rsidRDefault="001371F3" w:rsidP="00C1427F">
      <w:r>
        <w:t xml:space="preserve">Figure </w:t>
      </w:r>
      <w:r w:rsidR="00570AB0">
        <w:t>S</w:t>
      </w:r>
      <w:r>
        <w:t>2 shows the residence and workplace locations together with the main transportation infrastructure in Lisbon.</w:t>
      </w:r>
    </w:p>
    <w:p w:rsidR="001371F3" w:rsidRDefault="001371F3" w:rsidP="00582A3F">
      <w:pPr>
        <w:spacing w:after="0"/>
        <w:jc w:val="center"/>
      </w:pPr>
      <w:r>
        <w:rPr>
          <w:noProof/>
        </w:rPr>
        <w:drawing>
          <wp:inline distT="0" distB="0" distL="0" distR="0" wp14:anchorId="793E804C" wp14:editId="6DCCE336">
            <wp:extent cx="3798898" cy="273414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05-Locations.jpg"/>
                    <pic:cNvPicPr/>
                  </pic:nvPicPr>
                  <pic:blipFill rotWithShape="1">
                    <a:blip r:embed="rId9">
                      <a:extLst>
                        <a:ext uri="{28A0092B-C50C-407E-A947-70E740481C1C}">
                          <a14:useLocalDpi xmlns:a14="http://schemas.microsoft.com/office/drawing/2010/main" val="0"/>
                        </a:ext>
                      </a:extLst>
                    </a:blip>
                    <a:srcRect l="15580" t="22500" r="10507" b="24304"/>
                    <a:stretch/>
                  </pic:blipFill>
                  <pic:spPr bwMode="auto">
                    <a:xfrm>
                      <a:off x="0" y="0"/>
                      <a:ext cx="3818774" cy="2748452"/>
                    </a:xfrm>
                    <a:prstGeom prst="rect">
                      <a:avLst/>
                    </a:prstGeom>
                    <a:ln>
                      <a:noFill/>
                    </a:ln>
                    <a:extLst>
                      <a:ext uri="{53640926-AAD7-44D8-BBD7-CCE9431645EC}">
                        <a14:shadowObscured xmlns:a14="http://schemas.microsoft.com/office/drawing/2010/main"/>
                      </a:ext>
                    </a:extLst>
                  </pic:spPr>
                </pic:pic>
              </a:graphicData>
            </a:graphic>
          </wp:inline>
        </w:drawing>
      </w:r>
    </w:p>
    <w:p w:rsidR="001371F3" w:rsidRDefault="001371F3" w:rsidP="00C1427F">
      <w:pPr>
        <w:jc w:val="center"/>
      </w:pPr>
      <w:r>
        <w:t xml:space="preserve">Figure </w:t>
      </w:r>
      <w:r w:rsidR="00570AB0">
        <w:t>S</w:t>
      </w:r>
      <w:r>
        <w:t>2</w:t>
      </w:r>
      <w:r w:rsidR="00EF4726">
        <w:t xml:space="preserve"> – </w:t>
      </w:r>
      <w:r>
        <w:t>Map of Lisbon: residence an</w:t>
      </w:r>
      <w:r w:rsidR="003933A5">
        <w:t>d workplace locations</w:t>
      </w:r>
    </w:p>
    <w:p w:rsidR="00EF4726" w:rsidRDefault="00EF4726" w:rsidP="00EF4726">
      <w:r>
        <w:t>Table S1 lists the vehicle types and technologies modeled for the use phase of road modes and respective share covered in the fleet.</w:t>
      </w:r>
    </w:p>
    <w:p w:rsidR="00EF4726" w:rsidRDefault="00EF4726" w:rsidP="00EF4726"/>
    <w:p w:rsidR="00EF4726" w:rsidRPr="00286473" w:rsidRDefault="00EF4726" w:rsidP="00EF4726">
      <w:pPr>
        <w:ind w:firstLine="0"/>
        <w:rPr>
          <w:rFonts w:cs="Arial"/>
        </w:rPr>
      </w:pPr>
      <w:r>
        <w:rPr>
          <w:rFonts w:cs="Arial"/>
        </w:rPr>
        <w:t xml:space="preserve">Table S1 </w:t>
      </w:r>
      <w:r>
        <w:t>–</w:t>
      </w:r>
      <w:r>
        <w:rPr>
          <w:rFonts w:cs="Arial"/>
        </w:rPr>
        <w:t xml:space="preserve"> </w:t>
      </w:r>
      <w:r w:rsidRPr="00286473">
        <w:rPr>
          <w:rFonts w:cs="Arial"/>
        </w:rPr>
        <w:t>Road transport</w:t>
      </w:r>
      <w:r>
        <w:rPr>
          <w:rFonts w:cs="Arial"/>
        </w:rPr>
        <w:t>ation</w:t>
      </w:r>
      <w:r w:rsidRPr="00286473">
        <w:rPr>
          <w:rFonts w:cs="Arial"/>
        </w:rPr>
        <w:t xml:space="preserve"> use phase: vehicle types and technologies modeled and</w:t>
      </w:r>
      <w:r>
        <w:rPr>
          <w:rFonts w:cs="Arial"/>
        </w:rPr>
        <w:t xml:space="preserve"> </w:t>
      </w:r>
      <w:r w:rsidRPr="00286473">
        <w:rPr>
          <w:rFonts w:cs="Arial"/>
        </w:rPr>
        <w:t>share (%)</w:t>
      </w:r>
      <w:r>
        <w:rPr>
          <w:rFonts w:cs="Arial"/>
        </w:rPr>
        <w:t xml:space="preserve"> covered in the Portuguese fleet (2013)</w:t>
      </w:r>
    </w:p>
    <w:tbl>
      <w:tblPr>
        <w:tblStyle w:val="TableGrid"/>
        <w:tblW w:w="97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4256"/>
        <w:gridCol w:w="2287"/>
        <w:gridCol w:w="1318"/>
      </w:tblGrid>
      <w:tr w:rsidR="00EF4726" w:rsidRPr="009852B4" w:rsidTr="00EF4726">
        <w:trPr>
          <w:trHeight w:val="395"/>
          <w:jc w:val="center"/>
        </w:trPr>
        <w:tc>
          <w:tcPr>
            <w:tcW w:w="1898" w:type="dxa"/>
            <w:tcBorders>
              <w:top w:val="single" w:sz="4" w:space="0" w:color="auto"/>
              <w:bottom w:val="single" w:sz="4" w:space="0" w:color="auto"/>
            </w:tcBorders>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Mode</w:t>
            </w:r>
          </w:p>
        </w:tc>
        <w:tc>
          <w:tcPr>
            <w:tcW w:w="4256" w:type="dxa"/>
            <w:tcBorders>
              <w:top w:val="single" w:sz="4" w:space="0" w:color="auto"/>
              <w:bottom w:val="single" w:sz="4" w:space="0" w:color="auto"/>
            </w:tcBorders>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Vehicle type/technology</w:t>
            </w:r>
          </w:p>
        </w:tc>
        <w:tc>
          <w:tcPr>
            <w:tcW w:w="2287" w:type="dxa"/>
            <w:tcBorders>
              <w:top w:val="single" w:sz="4" w:space="0" w:color="auto"/>
              <w:bottom w:val="single" w:sz="4" w:space="0" w:color="auto"/>
            </w:tcBorders>
            <w:vAlign w:val="center"/>
          </w:tcPr>
          <w:p w:rsidR="00EF4726" w:rsidRPr="009852B4" w:rsidRDefault="00EF4726" w:rsidP="00313F36">
            <w:pPr>
              <w:spacing w:after="0" w:line="240" w:lineRule="auto"/>
              <w:ind w:firstLine="95"/>
              <w:jc w:val="left"/>
              <w:rPr>
                <w:rFonts w:cs="Arial"/>
                <w:sz w:val="18"/>
                <w:szCs w:val="18"/>
              </w:rPr>
            </w:pPr>
            <w:r w:rsidRPr="009852B4">
              <w:rPr>
                <w:rFonts w:cs="Arial"/>
                <w:sz w:val="18"/>
                <w:szCs w:val="18"/>
              </w:rPr>
              <w:t>EURO standards</w:t>
            </w:r>
            <w:r w:rsidRPr="009852B4">
              <w:rPr>
                <w:rFonts w:cs="Arial"/>
                <w:sz w:val="18"/>
                <w:szCs w:val="18"/>
                <w:vertAlign w:val="superscript"/>
              </w:rPr>
              <w:t>1</w:t>
            </w:r>
          </w:p>
        </w:tc>
        <w:tc>
          <w:tcPr>
            <w:tcW w:w="1318" w:type="dxa"/>
            <w:tcBorders>
              <w:top w:val="single" w:sz="4" w:space="0" w:color="auto"/>
              <w:bottom w:val="single" w:sz="4" w:space="0" w:color="auto"/>
            </w:tcBorders>
            <w:vAlign w:val="center"/>
          </w:tcPr>
          <w:p w:rsidR="00EF4726" w:rsidRPr="009852B4" w:rsidRDefault="00EF4726" w:rsidP="00313F36">
            <w:pPr>
              <w:spacing w:after="0" w:line="240" w:lineRule="auto"/>
              <w:jc w:val="left"/>
              <w:rPr>
                <w:rFonts w:cs="Arial"/>
                <w:sz w:val="18"/>
                <w:szCs w:val="18"/>
              </w:rPr>
            </w:pPr>
            <w:r w:rsidRPr="009852B4">
              <w:rPr>
                <w:rFonts w:cs="Arial"/>
                <w:sz w:val="18"/>
                <w:szCs w:val="18"/>
              </w:rPr>
              <w:t>Share (%)</w:t>
            </w:r>
          </w:p>
        </w:tc>
      </w:tr>
      <w:tr w:rsidR="00EF4726" w:rsidRPr="009852B4" w:rsidTr="00EF4726">
        <w:trPr>
          <w:trHeight w:val="266"/>
          <w:jc w:val="center"/>
        </w:trPr>
        <w:tc>
          <w:tcPr>
            <w:tcW w:w="1898" w:type="dxa"/>
            <w:tcBorders>
              <w:top w:val="single" w:sz="4" w:space="0" w:color="auto"/>
            </w:tcBorders>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Car</w:t>
            </w:r>
          </w:p>
        </w:tc>
        <w:tc>
          <w:tcPr>
            <w:tcW w:w="4256" w:type="dxa"/>
            <w:tcBorders>
              <w:top w:val="single" w:sz="4" w:space="0" w:color="auto"/>
            </w:tcBorders>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Gasoline, 0.8 – 1.4 l</w:t>
            </w:r>
          </w:p>
        </w:tc>
        <w:tc>
          <w:tcPr>
            <w:tcW w:w="2287" w:type="dxa"/>
            <w:tcBorders>
              <w:top w:val="single" w:sz="4" w:space="0" w:color="auto"/>
            </w:tcBorders>
            <w:vAlign w:val="center"/>
          </w:tcPr>
          <w:p w:rsidR="00EF4726" w:rsidRPr="009852B4" w:rsidRDefault="00EF4726" w:rsidP="00313F36">
            <w:pPr>
              <w:spacing w:after="0" w:line="240" w:lineRule="auto"/>
              <w:ind w:firstLine="95"/>
              <w:jc w:val="left"/>
              <w:rPr>
                <w:rFonts w:cs="Arial"/>
                <w:sz w:val="18"/>
                <w:szCs w:val="18"/>
              </w:rPr>
            </w:pPr>
            <w:r w:rsidRPr="009852B4">
              <w:rPr>
                <w:rFonts w:cs="Arial"/>
                <w:sz w:val="18"/>
                <w:szCs w:val="18"/>
              </w:rPr>
              <w:t>1 to 5</w:t>
            </w:r>
          </w:p>
        </w:tc>
        <w:tc>
          <w:tcPr>
            <w:tcW w:w="1318" w:type="dxa"/>
            <w:tcBorders>
              <w:top w:val="single" w:sz="4" w:space="0" w:color="auto"/>
            </w:tcBorders>
            <w:vAlign w:val="center"/>
          </w:tcPr>
          <w:p w:rsidR="00EF4726" w:rsidRPr="009852B4" w:rsidRDefault="00EF4726" w:rsidP="00313F36">
            <w:pPr>
              <w:spacing w:after="0" w:line="240" w:lineRule="auto"/>
              <w:jc w:val="left"/>
              <w:rPr>
                <w:rFonts w:cs="Arial"/>
                <w:sz w:val="18"/>
                <w:szCs w:val="18"/>
              </w:rPr>
            </w:pPr>
            <w:r w:rsidRPr="009852B4">
              <w:rPr>
                <w:rFonts w:cs="Arial"/>
                <w:sz w:val="18"/>
                <w:szCs w:val="18"/>
              </w:rPr>
              <w:t>80</w:t>
            </w:r>
          </w:p>
        </w:tc>
      </w:tr>
      <w:tr w:rsidR="00EF4726" w:rsidRPr="009852B4" w:rsidTr="00EF4726">
        <w:trPr>
          <w:trHeight w:val="266"/>
          <w:jc w:val="center"/>
        </w:trPr>
        <w:tc>
          <w:tcPr>
            <w:tcW w:w="1898" w:type="dxa"/>
            <w:vAlign w:val="center"/>
          </w:tcPr>
          <w:p w:rsidR="00EF4726" w:rsidRPr="009852B4" w:rsidRDefault="00EF4726" w:rsidP="00313F36">
            <w:pPr>
              <w:spacing w:after="0" w:line="240" w:lineRule="auto"/>
              <w:ind w:firstLine="0"/>
              <w:jc w:val="left"/>
              <w:rPr>
                <w:rFonts w:cs="Arial"/>
                <w:sz w:val="18"/>
                <w:szCs w:val="18"/>
              </w:rPr>
            </w:pPr>
          </w:p>
        </w:tc>
        <w:tc>
          <w:tcPr>
            <w:tcW w:w="4256" w:type="dxa"/>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Diesel, 1.5 – 2.0 l</w:t>
            </w:r>
          </w:p>
        </w:tc>
        <w:tc>
          <w:tcPr>
            <w:tcW w:w="2287" w:type="dxa"/>
            <w:vAlign w:val="center"/>
          </w:tcPr>
          <w:p w:rsidR="00EF4726" w:rsidRPr="009852B4" w:rsidRDefault="00EF4726" w:rsidP="00313F36">
            <w:pPr>
              <w:spacing w:after="0" w:line="240" w:lineRule="auto"/>
              <w:ind w:firstLine="95"/>
              <w:jc w:val="left"/>
              <w:rPr>
                <w:rFonts w:cs="Arial"/>
                <w:sz w:val="18"/>
                <w:szCs w:val="18"/>
              </w:rPr>
            </w:pPr>
            <w:r w:rsidRPr="009852B4">
              <w:rPr>
                <w:rFonts w:cs="Arial"/>
                <w:sz w:val="18"/>
                <w:szCs w:val="18"/>
              </w:rPr>
              <w:t>1 to 5</w:t>
            </w:r>
          </w:p>
        </w:tc>
        <w:tc>
          <w:tcPr>
            <w:tcW w:w="1318" w:type="dxa"/>
            <w:vAlign w:val="center"/>
          </w:tcPr>
          <w:p w:rsidR="00EF4726" w:rsidRPr="009852B4" w:rsidRDefault="00EF4726" w:rsidP="00313F36">
            <w:pPr>
              <w:spacing w:after="0" w:line="240" w:lineRule="auto"/>
              <w:jc w:val="left"/>
              <w:rPr>
                <w:rFonts w:cs="Arial"/>
                <w:sz w:val="18"/>
                <w:szCs w:val="18"/>
              </w:rPr>
            </w:pPr>
            <w:r w:rsidRPr="009852B4">
              <w:rPr>
                <w:rFonts w:cs="Arial"/>
                <w:sz w:val="18"/>
                <w:szCs w:val="18"/>
              </w:rPr>
              <w:t>80</w:t>
            </w:r>
          </w:p>
        </w:tc>
      </w:tr>
      <w:tr w:rsidR="00EF4726" w:rsidRPr="009852B4" w:rsidTr="00EF4726">
        <w:trPr>
          <w:trHeight w:val="266"/>
          <w:jc w:val="center"/>
        </w:trPr>
        <w:tc>
          <w:tcPr>
            <w:tcW w:w="1898" w:type="dxa"/>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Bus</w:t>
            </w:r>
          </w:p>
        </w:tc>
        <w:tc>
          <w:tcPr>
            <w:tcW w:w="4256" w:type="dxa"/>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Standard urban, diesel, 15 – 18 t</w:t>
            </w:r>
          </w:p>
        </w:tc>
        <w:tc>
          <w:tcPr>
            <w:tcW w:w="2287" w:type="dxa"/>
            <w:vAlign w:val="center"/>
          </w:tcPr>
          <w:p w:rsidR="00EF4726" w:rsidRPr="009852B4" w:rsidRDefault="00EF4726" w:rsidP="00313F36">
            <w:pPr>
              <w:spacing w:after="0" w:line="240" w:lineRule="auto"/>
              <w:ind w:firstLine="95"/>
              <w:jc w:val="left"/>
              <w:rPr>
                <w:rFonts w:cs="Arial"/>
                <w:sz w:val="18"/>
                <w:szCs w:val="18"/>
              </w:rPr>
            </w:pPr>
            <w:r w:rsidRPr="009852B4">
              <w:rPr>
                <w:rFonts w:cs="Arial"/>
                <w:sz w:val="18"/>
                <w:szCs w:val="18"/>
              </w:rPr>
              <w:t>I to V</w:t>
            </w:r>
          </w:p>
        </w:tc>
        <w:tc>
          <w:tcPr>
            <w:tcW w:w="1318" w:type="dxa"/>
            <w:vAlign w:val="center"/>
          </w:tcPr>
          <w:p w:rsidR="00EF4726" w:rsidRPr="009852B4" w:rsidRDefault="00EF4726" w:rsidP="00313F36">
            <w:pPr>
              <w:spacing w:after="0" w:line="240" w:lineRule="auto"/>
              <w:jc w:val="left"/>
              <w:rPr>
                <w:rFonts w:cs="Arial"/>
                <w:sz w:val="18"/>
                <w:szCs w:val="18"/>
              </w:rPr>
            </w:pPr>
            <w:r w:rsidRPr="009852B4">
              <w:rPr>
                <w:rFonts w:cs="Arial"/>
                <w:sz w:val="18"/>
                <w:szCs w:val="18"/>
              </w:rPr>
              <w:t>90</w:t>
            </w:r>
          </w:p>
        </w:tc>
      </w:tr>
      <w:tr w:rsidR="00EF4726" w:rsidRPr="009852B4" w:rsidTr="00EF4726">
        <w:trPr>
          <w:trHeight w:val="266"/>
          <w:jc w:val="center"/>
        </w:trPr>
        <w:tc>
          <w:tcPr>
            <w:tcW w:w="1898" w:type="dxa"/>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Motorcycles</w:t>
            </w:r>
          </w:p>
        </w:tc>
        <w:tc>
          <w:tcPr>
            <w:tcW w:w="4256" w:type="dxa"/>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2-stroke, &lt;50 cc</w:t>
            </w:r>
          </w:p>
        </w:tc>
        <w:tc>
          <w:tcPr>
            <w:tcW w:w="2287" w:type="dxa"/>
            <w:vAlign w:val="center"/>
          </w:tcPr>
          <w:p w:rsidR="00EF4726" w:rsidRPr="009852B4" w:rsidRDefault="00EF4726" w:rsidP="00313F36">
            <w:pPr>
              <w:spacing w:after="0" w:line="240" w:lineRule="auto"/>
              <w:ind w:firstLine="95"/>
              <w:jc w:val="left"/>
              <w:rPr>
                <w:rFonts w:cs="Arial"/>
                <w:sz w:val="18"/>
                <w:szCs w:val="18"/>
              </w:rPr>
            </w:pPr>
            <w:r w:rsidRPr="009852B4">
              <w:rPr>
                <w:rFonts w:cs="Arial"/>
                <w:sz w:val="18"/>
                <w:szCs w:val="18"/>
              </w:rPr>
              <w:t>pre-EURO and I to III</w:t>
            </w:r>
          </w:p>
        </w:tc>
        <w:tc>
          <w:tcPr>
            <w:tcW w:w="1318" w:type="dxa"/>
            <w:vAlign w:val="center"/>
          </w:tcPr>
          <w:p w:rsidR="00EF4726" w:rsidRPr="009852B4" w:rsidRDefault="00EF4726" w:rsidP="00313F36">
            <w:pPr>
              <w:spacing w:after="0" w:line="240" w:lineRule="auto"/>
              <w:jc w:val="left"/>
              <w:rPr>
                <w:rFonts w:cs="Arial"/>
                <w:sz w:val="18"/>
                <w:szCs w:val="18"/>
              </w:rPr>
            </w:pPr>
            <w:r w:rsidRPr="009852B4">
              <w:rPr>
                <w:rFonts w:cs="Arial"/>
                <w:sz w:val="18"/>
                <w:szCs w:val="18"/>
              </w:rPr>
              <w:t>100</w:t>
            </w:r>
          </w:p>
        </w:tc>
      </w:tr>
      <w:tr w:rsidR="00EF4726" w:rsidRPr="009852B4" w:rsidTr="00EF4726">
        <w:trPr>
          <w:trHeight w:val="266"/>
          <w:jc w:val="center"/>
        </w:trPr>
        <w:tc>
          <w:tcPr>
            <w:tcW w:w="1898" w:type="dxa"/>
            <w:tcBorders>
              <w:bottom w:val="single" w:sz="4" w:space="0" w:color="auto"/>
            </w:tcBorders>
            <w:vAlign w:val="center"/>
          </w:tcPr>
          <w:p w:rsidR="00EF4726" w:rsidRPr="009852B4" w:rsidRDefault="00EF4726" w:rsidP="00313F36">
            <w:pPr>
              <w:spacing w:after="0" w:line="240" w:lineRule="auto"/>
              <w:ind w:firstLine="0"/>
              <w:jc w:val="left"/>
              <w:rPr>
                <w:rFonts w:cs="Arial"/>
                <w:sz w:val="18"/>
                <w:szCs w:val="18"/>
              </w:rPr>
            </w:pPr>
          </w:p>
        </w:tc>
        <w:tc>
          <w:tcPr>
            <w:tcW w:w="4256" w:type="dxa"/>
            <w:tcBorders>
              <w:bottom w:val="single" w:sz="4" w:space="0" w:color="auto"/>
            </w:tcBorders>
            <w:vAlign w:val="center"/>
          </w:tcPr>
          <w:p w:rsidR="00EF4726" w:rsidRPr="009852B4" w:rsidRDefault="00EF4726" w:rsidP="00313F36">
            <w:pPr>
              <w:spacing w:after="0" w:line="240" w:lineRule="auto"/>
              <w:ind w:firstLine="0"/>
              <w:jc w:val="left"/>
              <w:rPr>
                <w:rFonts w:cs="Arial"/>
                <w:sz w:val="18"/>
                <w:szCs w:val="18"/>
              </w:rPr>
            </w:pPr>
            <w:r w:rsidRPr="009852B4">
              <w:rPr>
                <w:rFonts w:cs="Arial"/>
                <w:sz w:val="18"/>
                <w:szCs w:val="18"/>
              </w:rPr>
              <w:t>4-stroke, &lt;250 cc, 250 – 750 cc, &gt; 750cc</w:t>
            </w:r>
          </w:p>
        </w:tc>
        <w:tc>
          <w:tcPr>
            <w:tcW w:w="2287" w:type="dxa"/>
            <w:tcBorders>
              <w:bottom w:val="single" w:sz="4" w:space="0" w:color="auto"/>
            </w:tcBorders>
            <w:vAlign w:val="center"/>
          </w:tcPr>
          <w:p w:rsidR="00EF4726" w:rsidRPr="009852B4" w:rsidRDefault="00EF4726" w:rsidP="00313F36">
            <w:pPr>
              <w:spacing w:after="0" w:line="240" w:lineRule="auto"/>
              <w:ind w:firstLine="95"/>
              <w:jc w:val="left"/>
              <w:rPr>
                <w:rFonts w:cs="Arial"/>
                <w:sz w:val="18"/>
                <w:szCs w:val="18"/>
              </w:rPr>
            </w:pPr>
            <w:r w:rsidRPr="009852B4">
              <w:rPr>
                <w:rFonts w:cs="Arial"/>
                <w:sz w:val="18"/>
                <w:szCs w:val="18"/>
              </w:rPr>
              <w:t>pre-EURO and I to III</w:t>
            </w:r>
          </w:p>
        </w:tc>
        <w:tc>
          <w:tcPr>
            <w:tcW w:w="1318" w:type="dxa"/>
            <w:tcBorders>
              <w:bottom w:val="single" w:sz="4" w:space="0" w:color="auto"/>
            </w:tcBorders>
            <w:vAlign w:val="center"/>
          </w:tcPr>
          <w:p w:rsidR="00EF4726" w:rsidRPr="009852B4" w:rsidRDefault="00EF4726" w:rsidP="00313F36">
            <w:pPr>
              <w:spacing w:after="0" w:line="240" w:lineRule="auto"/>
              <w:jc w:val="left"/>
              <w:rPr>
                <w:rFonts w:cs="Arial"/>
                <w:sz w:val="18"/>
                <w:szCs w:val="18"/>
              </w:rPr>
            </w:pPr>
            <w:r w:rsidRPr="009852B4">
              <w:rPr>
                <w:rFonts w:cs="Arial"/>
                <w:sz w:val="18"/>
                <w:szCs w:val="18"/>
              </w:rPr>
              <w:t>100</w:t>
            </w:r>
          </w:p>
        </w:tc>
      </w:tr>
    </w:tbl>
    <w:p w:rsidR="00EF4726" w:rsidRDefault="00EF4726" w:rsidP="00582A3F">
      <w:pPr>
        <w:spacing w:line="276" w:lineRule="auto"/>
      </w:pPr>
      <w:r w:rsidRPr="00286473">
        <w:rPr>
          <w:rFonts w:cs="Arial"/>
          <w:i/>
          <w:vertAlign w:val="superscript"/>
        </w:rPr>
        <w:t>1</w:t>
      </w:r>
      <w:r w:rsidRPr="00286473">
        <w:rPr>
          <w:rFonts w:cs="Arial"/>
          <w:i/>
        </w:rPr>
        <w:t xml:space="preserve"> The different notation used (Arabic and roman numerals) for passenger cars, buses and two-wheelers follows the legislation nomentaclature</w:t>
      </w:r>
      <w:r w:rsidR="00367847">
        <w:t>.</w:t>
      </w:r>
    </w:p>
    <w:p w:rsidR="00367847" w:rsidRDefault="00367847">
      <w:pPr>
        <w:tabs>
          <w:tab w:val="clear" w:pos="0"/>
        </w:tabs>
        <w:spacing w:after="200" w:line="276" w:lineRule="auto"/>
        <w:ind w:firstLine="0"/>
        <w:jc w:val="left"/>
        <w:rPr>
          <w:b/>
        </w:rPr>
      </w:pPr>
    </w:p>
    <w:p w:rsidR="002559A1" w:rsidRDefault="00343436" w:rsidP="002559A1">
      <w:pPr>
        <w:pStyle w:val="Heading2"/>
        <w:ind w:firstLine="270"/>
      </w:pPr>
      <w:r>
        <w:t>3</w:t>
      </w:r>
      <w:r w:rsidR="00290088" w:rsidRPr="001F3C57">
        <w:t>. Detailed results per person-kilometer traveled (</w:t>
      </w:r>
      <w:r w:rsidR="00E13B20">
        <w:t>PKT</w:t>
      </w:r>
      <w:r w:rsidR="00290088" w:rsidRPr="001F3C57">
        <w:t>)</w:t>
      </w:r>
    </w:p>
    <w:p w:rsidR="00374E6F" w:rsidRDefault="00EF3583" w:rsidP="001F3C57">
      <w:r>
        <w:t>T</w:t>
      </w:r>
      <w:r w:rsidR="00290088">
        <w:t xml:space="preserve">able </w:t>
      </w:r>
      <w:r w:rsidR="00570AB0">
        <w:t>S</w:t>
      </w:r>
      <w:r w:rsidR="00EF4726">
        <w:t>2 –</w:t>
      </w:r>
      <w:r w:rsidR="00290088">
        <w:t xml:space="preserve"> Detailed results per </w:t>
      </w:r>
      <w:r w:rsidR="00E13B20">
        <w:t>PKT</w:t>
      </w:r>
      <w:r w:rsidR="00FB726B">
        <w:t xml:space="preserve">: </w:t>
      </w:r>
      <w:r w:rsidR="006572D2">
        <w:t>non</w:t>
      </w:r>
      <w:r w:rsidR="00B159FC">
        <w:t>-renewable foss</w:t>
      </w:r>
      <w:r w:rsidR="006572D2">
        <w:t>il energy (</w:t>
      </w:r>
      <w:r w:rsidR="00FB726B">
        <w:t>NRE</w:t>
      </w:r>
      <w:r w:rsidR="006572D2">
        <w:t>)</w:t>
      </w:r>
      <w:r w:rsidR="00FB726B">
        <w:t>,</w:t>
      </w:r>
      <w:r w:rsidR="006572D2">
        <w:t xml:space="preserve"> greenhouse gas emissions (</w:t>
      </w:r>
      <w:r w:rsidR="00FB726B">
        <w:t>GHG</w:t>
      </w:r>
      <w:r w:rsidR="006572D2">
        <w:t>), acidification (</w:t>
      </w:r>
      <w:r w:rsidR="00FB726B">
        <w:t>AC</w:t>
      </w:r>
      <w:r w:rsidR="006572D2">
        <w:t>)</w:t>
      </w:r>
      <w:r w:rsidR="00FB726B">
        <w:t xml:space="preserve">, </w:t>
      </w:r>
      <w:r w:rsidR="006572D2">
        <w:t>terrestrial eutrophication (</w:t>
      </w:r>
      <w:r w:rsidR="00FB726B">
        <w:t>TE</w:t>
      </w:r>
      <w:r w:rsidR="006572D2">
        <w:t>)</w:t>
      </w:r>
      <w:r w:rsidR="00FB726B">
        <w:t>,</w:t>
      </w:r>
      <w:r w:rsidR="006572D2">
        <w:t xml:space="preserve"> freshwater eutrophication</w:t>
      </w:r>
      <w:r w:rsidR="00FB726B">
        <w:t xml:space="preserve"> </w:t>
      </w:r>
      <w:r w:rsidR="006572D2">
        <w:t>(</w:t>
      </w:r>
      <w:r w:rsidR="00FB726B">
        <w:t>FE</w:t>
      </w:r>
      <w:r w:rsidR="006572D2">
        <w:t>)</w:t>
      </w:r>
      <w:r w:rsidR="00FB726B">
        <w:t xml:space="preserve">, </w:t>
      </w:r>
      <w:r w:rsidR="006572D2">
        <w:t>marine eutrophication (</w:t>
      </w:r>
      <w:r w:rsidR="00FB726B">
        <w:t>ME</w:t>
      </w:r>
      <w:r w:rsidR="006572D2">
        <w:t>)</w:t>
      </w:r>
      <w:r w:rsidR="00FB726B">
        <w:t>,</w:t>
      </w:r>
      <w:r>
        <w:t xml:space="preserve"> PM</w:t>
      </w:r>
      <w:r w:rsidRPr="00EF3583">
        <w:rPr>
          <w:vertAlign w:val="subscript"/>
        </w:rPr>
        <w:t>2.5</w:t>
      </w:r>
      <w:r w:rsidR="00FB726B">
        <w:t xml:space="preserve"> </w:t>
      </w:r>
      <w:r>
        <w:t xml:space="preserve">intake </w:t>
      </w:r>
      <w:r w:rsidR="00FB726B">
        <w:t>and PM</w:t>
      </w:r>
      <w:r w:rsidR="00FB726B" w:rsidRPr="00FB726B">
        <w:rPr>
          <w:vertAlign w:val="subscript"/>
        </w:rPr>
        <w:t>2.5</w:t>
      </w:r>
      <w:r w:rsidR="00FB726B">
        <w:t xml:space="preserve"> health</w:t>
      </w:r>
      <w:r w:rsidR="006572D2">
        <w:t>.</w:t>
      </w:r>
    </w:p>
    <w:tbl>
      <w:tblPr>
        <w:tblW w:w="9720" w:type="dxa"/>
        <w:tblLook w:val="04A0" w:firstRow="1" w:lastRow="0" w:firstColumn="1" w:lastColumn="0" w:noHBand="0" w:noVBand="1"/>
      </w:tblPr>
      <w:tblGrid>
        <w:gridCol w:w="1260"/>
        <w:gridCol w:w="1133"/>
        <w:gridCol w:w="960"/>
        <w:gridCol w:w="1097"/>
        <w:gridCol w:w="1170"/>
        <w:gridCol w:w="1066"/>
        <w:gridCol w:w="960"/>
        <w:gridCol w:w="960"/>
        <w:gridCol w:w="1114"/>
      </w:tblGrid>
      <w:tr w:rsidR="001F3C57" w:rsidRPr="001F3C57" w:rsidTr="001F3C57">
        <w:trPr>
          <w:trHeight w:val="288"/>
        </w:trPr>
        <w:tc>
          <w:tcPr>
            <w:tcW w:w="1260" w:type="dxa"/>
            <w:tcBorders>
              <w:top w:val="single" w:sz="4" w:space="0" w:color="auto"/>
              <w:left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1133" w:type="dxa"/>
            <w:tcBorders>
              <w:top w:val="single" w:sz="4" w:space="0" w:color="auto"/>
              <w:left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960" w:type="dxa"/>
            <w:tcBorders>
              <w:top w:val="single" w:sz="4" w:space="0" w:color="auto"/>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b/>
                <w:color w:val="000000"/>
                <w:sz w:val="16"/>
                <w:szCs w:val="16"/>
                <w:lang w:eastAsia="zh-CN"/>
              </w:rPr>
            </w:pPr>
            <w:r w:rsidRPr="001F3C57">
              <w:rPr>
                <w:rFonts w:eastAsia="Times New Roman" w:cs="Arial"/>
                <w:b/>
                <w:color w:val="000000"/>
                <w:sz w:val="16"/>
                <w:szCs w:val="16"/>
                <w:lang w:eastAsia="zh-CN"/>
              </w:rPr>
              <w:t>NRE</w:t>
            </w:r>
          </w:p>
        </w:tc>
        <w:tc>
          <w:tcPr>
            <w:tcW w:w="1097" w:type="dxa"/>
            <w:tcBorders>
              <w:top w:val="single" w:sz="4" w:space="0" w:color="auto"/>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b/>
                <w:color w:val="000000"/>
                <w:sz w:val="16"/>
                <w:szCs w:val="16"/>
                <w:lang w:eastAsia="zh-CN"/>
              </w:rPr>
            </w:pPr>
            <w:r w:rsidRPr="001F3C57">
              <w:rPr>
                <w:rFonts w:eastAsia="Times New Roman" w:cs="Arial"/>
                <w:b/>
                <w:color w:val="000000"/>
                <w:sz w:val="16"/>
                <w:szCs w:val="16"/>
                <w:lang w:eastAsia="zh-CN"/>
              </w:rPr>
              <w:t>GHG</w:t>
            </w:r>
          </w:p>
        </w:tc>
        <w:tc>
          <w:tcPr>
            <w:tcW w:w="1170" w:type="dxa"/>
            <w:tcBorders>
              <w:top w:val="single" w:sz="4" w:space="0" w:color="auto"/>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b/>
                <w:color w:val="000000"/>
                <w:sz w:val="16"/>
                <w:szCs w:val="16"/>
                <w:lang w:eastAsia="zh-CN"/>
              </w:rPr>
            </w:pPr>
            <w:r w:rsidRPr="001F3C57">
              <w:rPr>
                <w:rFonts w:eastAsia="Times New Roman" w:cs="Arial"/>
                <w:b/>
                <w:color w:val="000000"/>
                <w:sz w:val="16"/>
                <w:szCs w:val="16"/>
                <w:lang w:eastAsia="zh-CN"/>
              </w:rPr>
              <w:t>AC</w:t>
            </w:r>
          </w:p>
        </w:tc>
        <w:tc>
          <w:tcPr>
            <w:tcW w:w="1066" w:type="dxa"/>
            <w:tcBorders>
              <w:top w:val="single" w:sz="4" w:space="0" w:color="auto"/>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b/>
                <w:color w:val="000000"/>
                <w:sz w:val="16"/>
                <w:szCs w:val="16"/>
                <w:lang w:eastAsia="zh-CN"/>
              </w:rPr>
            </w:pPr>
            <w:r w:rsidRPr="001F3C57">
              <w:rPr>
                <w:rFonts w:eastAsia="Times New Roman" w:cs="Arial"/>
                <w:b/>
                <w:color w:val="000000"/>
                <w:sz w:val="16"/>
                <w:szCs w:val="16"/>
                <w:lang w:eastAsia="zh-CN"/>
              </w:rPr>
              <w:t>TE</w:t>
            </w:r>
          </w:p>
        </w:tc>
        <w:tc>
          <w:tcPr>
            <w:tcW w:w="960" w:type="dxa"/>
            <w:tcBorders>
              <w:top w:val="single" w:sz="4" w:space="0" w:color="auto"/>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b/>
                <w:color w:val="000000"/>
                <w:sz w:val="16"/>
                <w:szCs w:val="16"/>
                <w:lang w:eastAsia="zh-CN"/>
              </w:rPr>
            </w:pPr>
            <w:r w:rsidRPr="001F3C57">
              <w:rPr>
                <w:rFonts w:eastAsia="Times New Roman" w:cs="Arial"/>
                <w:b/>
                <w:color w:val="000000"/>
                <w:sz w:val="16"/>
                <w:szCs w:val="16"/>
                <w:lang w:eastAsia="zh-CN"/>
              </w:rPr>
              <w:t>FE</w:t>
            </w:r>
          </w:p>
        </w:tc>
        <w:tc>
          <w:tcPr>
            <w:tcW w:w="960" w:type="dxa"/>
            <w:tcBorders>
              <w:top w:val="single" w:sz="4" w:space="0" w:color="auto"/>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b/>
                <w:color w:val="000000"/>
                <w:sz w:val="16"/>
                <w:szCs w:val="16"/>
                <w:lang w:eastAsia="zh-CN"/>
              </w:rPr>
            </w:pPr>
            <w:r w:rsidRPr="001F3C57">
              <w:rPr>
                <w:rFonts w:eastAsia="Times New Roman" w:cs="Arial"/>
                <w:b/>
                <w:color w:val="000000"/>
                <w:sz w:val="16"/>
                <w:szCs w:val="16"/>
                <w:lang w:eastAsia="zh-CN"/>
              </w:rPr>
              <w:t>ME</w:t>
            </w:r>
          </w:p>
        </w:tc>
        <w:tc>
          <w:tcPr>
            <w:tcW w:w="1114" w:type="dxa"/>
            <w:tcBorders>
              <w:top w:val="single" w:sz="4" w:space="0" w:color="auto"/>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b/>
                <w:color w:val="000000"/>
                <w:sz w:val="16"/>
                <w:szCs w:val="16"/>
                <w:lang w:eastAsia="zh-CN"/>
              </w:rPr>
            </w:pPr>
            <w:r w:rsidRPr="001F3C57">
              <w:rPr>
                <w:rFonts w:eastAsia="Times New Roman" w:cs="Arial"/>
                <w:b/>
                <w:color w:val="000000"/>
                <w:sz w:val="16"/>
                <w:szCs w:val="16"/>
                <w:lang w:eastAsia="zh-CN"/>
              </w:rPr>
              <w:t>PM</w:t>
            </w:r>
            <w:r w:rsidRPr="001F3C57">
              <w:rPr>
                <w:rFonts w:eastAsia="Times New Roman" w:cs="Arial"/>
                <w:b/>
                <w:color w:val="000000"/>
                <w:sz w:val="16"/>
                <w:szCs w:val="16"/>
                <w:vertAlign w:val="subscript"/>
                <w:lang w:eastAsia="zh-CN"/>
              </w:rPr>
              <w:t>2.5</w:t>
            </w:r>
            <w:r w:rsidRPr="001F3C57">
              <w:rPr>
                <w:rFonts w:eastAsia="Times New Roman" w:cs="Arial"/>
                <w:b/>
                <w:color w:val="000000"/>
                <w:sz w:val="16"/>
                <w:szCs w:val="16"/>
                <w:lang w:eastAsia="zh-CN"/>
              </w:rPr>
              <w:t xml:space="preserve"> intake</w:t>
            </w:r>
          </w:p>
        </w:tc>
      </w:tr>
      <w:tr w:rsidR="001F3C57" w:rsidRPr="001F3C57" w:rsidTr="001F3C57">
        <w:trPr>
          <w:trHeight w:val="288"/>
        </w:trPr>
        <w:tc>
          <w:tcPr>
            <w:tcW w:w="1260" w:type="dxa"/>
            <w:tcBorders>
              <w:top w:val="nil"/>
              <w:left w:val="nil"/>
              <w:bottom w:val="single" w:sz="4" w:space="0" w:color="auto"/>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single" w:sz="4" w:space="0" w:color="auto"/>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sz w:val="16"/>
                <w:szCs w:val="16"/>
                <w:lang w:eastAsia="zh-CN"/>
              </w:rPr>
            </w:pPr>
          </w:p>
        </w:tc>
        <w:tc>
          <w:tcPr>
            <w:tcW w:w="96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color w:val="000000"/>
                <w:sz w:val="16"/>
                <w:szCs w:val="16"/>
                <w:lang w:eastAsia="zh-CN"/>
              </w:rPr>
            </w:pPr>
            <w:r w:rsidRPr="001F3C57">
              <w:rPr>
                <w:rFonts w:eastAsia="Times New Roman" w:cs="Arial"/>
                <w:color w:val="000000"/>
                <w:sz w:val="16"/>
                <w:szCs w:val="16"/>
                <w:lang w:eastAsia="zh-CN"/>
              </w:rPr>
              <w:t>(MJ)</w:t>
            </w:r>
          </w:p>
        </w:tc>
        <w:tc>
          <w:tcPr>
            <w:tcW w:w="1097"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color w:val="000000"/>
                <w:sz w:val="16"/>
                <w:szCs w:val="16"/>
                <w:lang w:eastAsia="zh-CN"/>
              </w:rPr>
            </w:pPr>
            <w:r w:rsidRPr="001F3C57">
              <w:rPr>
                <w:rFonts w:eastAsia="Times New Roman" w:cs="Arial"/>
                <w:color w:val="000000"/>
                <w:sz w:val="16"/>
                <w:szCs w:val="16"/>
                <w:lang w:eastAsia="zh-CN"/>
              </w:rPr>
              <w:t>(g CO</w:t>
            </w:r>
            <w:r w:rsidRPr="001F3C57">
              <w:rPr>
                <w:rFonts w:eastAsia="Times New Roman" w:cs="Arial"/>
                <w:color w:val="000000"/>
                <w:sz w:val="16"/>
                <w:szCs w:val="16"/>
                <w:vertAlign w:val="subscript"/>
                <w:lang w:eastAsia="zh-CN"/>
              </w:rPr>
              <w:t>2</w:t>
            </w:r>
            <w:r w:rsidRPr="001F3C57">
              <w:rPr>
                <w:rFonts w:eastAsia="Times New Roman" w:cs="Arial"/>
                <w:color w:val="000000"/>
                <w:sz w:val="16"/>
                <w:szCs w:val="16"/>
                <w:lang w:eastAsia="zh-CN"/>
              </w:rPr>
              <w:t xml:space="preserve"> eq)</w:t>
            </w:r>
          </w:p>
        </w:tc>
        <w:tc>
          <w:tcPr>
            <w:tcW w:w="117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color w:val="000000"/>
                <w:sz w:val="16"/>
                <w:szCs w:val="16"/>
                <w:lang w:eastAsia="zh-CN"/>
              </w:rPr>
            </w:pPr>
            <w:r w:rsidRPr="001F3C57">
              <w:rPr>
                <w:rFonts w:eastAsia="Times New Roman" w:cs="Arial"/>
                <w:color w:val="000000"/>
                <w:sz w:val="16"/>
                <w:szCs w:val="16"/>
                <w:lang w:eastAsia="zh-CN"/>
              </w:rPr>
              <w:t>(molc H</w:t>
            </w:r>
            <w:r w:rsidRPr="001F3C57">
              <w:rPr>
                <w:rFonts w:eastAsia="Times New Roman" w:cs="Arial"/>
                <w:color w:val="000000"/>
                <w:sz w:val="16"/>
                <w:szCs w:val="16"/>
                <w:vertAlign w:val="superscript"/>
                <w:lang w:eastAsia="zh-CN"/>
              </w:rPr>
              <w:t>+</w:t>
            </w:r>
            <w:r w:rsidRPr="001F3C57">
              <w:rPr>
                <w:rFonts w:eastAsia="Times New Roman" w:cs="Arial"/>
                <w:color w:val="000000"/>
                <w:sz w:val="16"/>
                <w:szCs w:val="16"/>
                <w:lang w:eastAsia="zh-CN"/>
              </w:rPr>
              <w:t xml:space="preserve"> eq)</w:t>
            </w:r>
          </w:p>
        </w:tc>
        <w:tc>
          <w:tcPr>
            <w:tcW w:w="1066"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color w:val="000000"/>
                <w:sz w:val="16"/>
                <w:szCs w:val="16"/>
                <w:lang w:eastAsia="zh-CN"/>
              </w:rPr>
            </w:pPr>
            <w:r w:rsidRPr="001F3C57">
              <w:rPr>
                <w:rFonts w:eastAsia="Times New Roman" w:cs="Arial"/>
                <w:color w:val="000000"/>
                <w:sz w:val="16"/>
                <w:szCs w:val="16"/>
                <w:lang w:eastAsia="zh-CN"/>
              </w:rPr>
              <w:t>(molc N eq)</w:t>
            </w:r>
          </w:p>
        </w:tc>
        <w:tc>
          <w:tcPr>
            <w:tcW w:w="96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color w:val="000000"/>
                <w:sz w:val="16"/>
                <w:szCs w:val="16"/>
                <w:lang w:eastAsia="zh-CN"/>
              </w:rPr>
            </w:pPr>
            <w:r w:rsidRPr="001F3C57">
              <w:rPr>
                <w:rFonts w:eastAsia="Times New Roman" w:cs="Arial"/>
                <w:color w:val="000000"/>
                <w:sz w:val="16"/>
                <w:szCs w:val="16"/>
                <w:lang w:eastAsia="zh-CN"/>
              </w:rPr>
              <w:t>(kg P eq)</w:t>
            </w:r>
          </w:p>
        </w:tc>
        <w:tc>
          <w:tcPr>
            <w:tcW w:w="96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color w:val="000000"/>
                <w:sz w:val="16"/>
                <w:szCs w:val="16"/>
                <w:lang w:eastAsia="zh-CN"/>
              </w:rPr>
            </w:pPr>
            <w:r w:rsidRPr="001F3C57">
              <w:rPr>
                <w:rFonts w:eastAsia="Times New Roman" w:cs="Arial"/>
                <w:color w:val="000000"/>
                <w:sz w:val="16"/>
                <w:szCs w:val="16"/>
                <w:lang w:eastAsia="zh-CN"/>
              </w:rPr>
              <w:t>(kg N eq)</w:t>
            </w:r>
          </w:p>
        </w:tc>
        <w:tc>
          <w:tcPr>
            <w:tcW w:w="1114"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center"/>
              <w:rPr>
                <w:rFonts w:eastAsia="Times New Roman" w:cs="Arial"/>
                <w:color w:val="000000"/>
                <w:sz w:val="16"/>
                <w:szCs w:val="16"/>
                <w:lang w:eastAsia="zh-CN"/>
              </w:rPr>
            </w:pPr>
            <w:r w:rsidRPr="001F3C57">
              <w:rPr>
                <w:rFonts w:eastAsia="Times New Roman" w:cs="Arial"/>
                <w:color w:val="000000"/>
                <w:sz w:val="16"/>
                <w:szCs w:val="16"/>
                <w:lang w:eastAsia="zh-CN"/>
              </w:rPr>
              <w:t>(10</w:t>
            </w:r>
            <w:r w:rsidRPr="001F3C57">
              <w:rPr>
                <w:rFonts w:eastAsia="Times New Roman" w:cs="Arial"/>
                <w:color w:val="000000"/>
                <w:sz w:val="16"/>
                <w:szCs w:val="16"/>
                <w:vertAlign w:val="superscript"/>
                <w:lang w:eastAsia="zh-CN"/>
              </w:rPr>
              <w:t>-6</w:t>
            </w:r>
            <w:r w:rsidRPr="001F3C57">
              <w:rPr>
                <w:rFonts w:eastAsia="Times New Roman" w:cs="Arial"/>
                <w:color w:val="000000"/>
                <w:sz w:val="16"/>
                <w:szCs w:val="16"/>
                <w:lang w:eastAsia="zh-CN"/>
              </w:rPr>
              <w:t xml:space="preserve"> mg)</w:t>
            </w:r>
          </w:p>
        </w:tc>
      </w:tr>
      <w:tr w:rsidR="001F3C57" w:rsidRPr="001F3C57" w:rsidTr="001F3C57">
        <w:trPr>
          <w:trHeight w:val="288"/>
        </w:trPr>
        <w:tc>
          <w:tcPr>
            <w:tcW w:w="9720" w:type="dxa"/>
            <w:gridSpan w:val="9"/>
            <w:tcBorders>
              <w:top w:val="single" w:sz="4" w:space="0" w:color="auto"/>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r w:rsidRPr="001F3C57">
              <w:rPr>
                <w:rFonts w:eastAsia="Times New Roman" w:cs="Arial"/>
                <w:b/>
                <w:color w:val="000000"/>
                <w:sz w:val="16"/>
                <w:szCs w:val="16"/>
                <w:lang w:eastAsia="zh-CN"/>
              </w:rPr>
              <w:t>Passenger car, petrol</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Infrastructure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Construction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0.1287</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4.7177</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3.12E-05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1.26E-04</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9.30E-07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1.15E-05</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73.2185</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0.0712</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5.6973</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3.09E-05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4.50E-05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4.84E-06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5.32E-06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5.4387</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0.0008</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0.0500</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4.27E-07</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2.02E-06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3.73E-09</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1.84E-07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0.0738</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Vehicle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Manufacture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0.2912</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18.7675</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1.47E-04</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1.67E-04</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1.46E-05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1.65E-05</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20.1531</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0.0789</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3.5015</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2.07E-05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2.92E-05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2.36E-06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2.99E-06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2.5877</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0.0096</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1.8522</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2.59E-06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6.46E-06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1.28E-07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6.15E-07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0.2575</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Operation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2.3737</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172.7286</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4.71E-04</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1.15E-03</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4.59E-06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8.18E-05</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340.8644</w:t>
            </w:r>
          </w:p>
        </w:tc>
      </w:tr>
      <w:tr w:rsidR="001F3C57" w:rsidRPr="001F3C57" w:rsidTr="001F3C57">
        <w:trPr>
          <w:trHeight w:val="288"/>
        </w:trPr>
        <w:tc>
          <w:tcPr>
            <w:tcW w:w="9720" w:type="dxa"/>
            <w:gridSpan w:val="9"/>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r w:rsidRPr="001F3C57">
              <w:rPr>
                <w:rFonts w:eastAsia="Times New Roman" w:cs="Arial"/>
                <w:b/>
                <w:color w:val="000000"/>
                <w:sz w:val="16"/>
                <w:szCs w:val="16"/>
                <w:lang w:eastAsia="zh-CN"/>
              </w:rPr>
              <w:t>Passenger car, diesel</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Infrastructure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Construction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0.1287</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4.7177</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3.12E-05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1.26E-04</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9.30E-07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1.15E-05</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73.2185</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0.0712</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5.6973</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3.09E-05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4.50E-05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4.84E-06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5.32E-06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5.4387</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0.0008</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0.0500</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4.27E-07</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2.02E-06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3.73E-09</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1.84E-07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0.0738</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Vehicle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Manufacture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0.2912</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18.7675</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1.47E-04</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1.67E-04</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1.46E-05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1.65E-05</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20.1531</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0.0789</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3.5015</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2.07E-05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2.92E-05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2.36E-06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2.99E-06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2.5877</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0.0096</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1.8522</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2.59E-06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6.46E-06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1.28E-07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6.15E-07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0.2575</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Operation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2.2038</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153.1905</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6.03E-04</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2.53E-03</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3.44E-06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2.31E-04</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1304.9558</w:t>
            </w:r>
          </w:p>
        </w:tc>
      </w:tr>
      <w:tr w:rsidR="001F3C57" w:rsidRPr="001F3C57" w:rsidTr="001F3C57">
        <w:trPr>
          <w:trHeight w:val="288"/>
        </w:trPr>
        <w:tc>
          <w:tcPr>
            <w:tcW w:w="9720" w:type="dxa"/>
            <w:gridSpan w:val="9"/>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r w:rsidRPr="001F3C57">
              <w:rPr>
                <w:rFonts w:eastAsia="Times New Roman" w:cs="Arial"/>
                <w:b/>
                <w:color w:val="000000"/>
                <w:sz w:val="16"/>
                <w:szCs w:val="16"/>
                <w:lang w:eastAsia="zh-CN"/>
              </w:rPr>
              <w:t>Bus, diesel</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Infrastructure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Construction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0.0886</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3.2471</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2.15E-05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8.70E-05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6.40E-07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7.92E-06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50.3948</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0.0052</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0.4123</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2.24E-06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3.25E-06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3.50E-07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3.85E-07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0.3936</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0.0005</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0.0344</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2.94E-07</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1.39E-06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2.57E-09</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1.27E-07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0.0508</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Vehicle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Manufacture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0.0255</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1.8369</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1.03E-05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1.73E-05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1.66E-06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2.7738</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0.0150</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1.0178</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4.35E-06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6.29E-06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5.97E-07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1.13E-06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0.5654</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0.0000</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0.0695</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2.09E-08</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9.50E-08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9.58E-10</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1.02E-08</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0.0016</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Operation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0.8111</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56.4211</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3.62E-04</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1.74E-03</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1.27E-06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1.59E-04</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301.7336</w:t>
            </w:r>
          </w:p>
        </w:tc>
      </w:tr>
      <w:tr w:rsidR="001F3C57" w:rsidRPr="001F3C57" w:rsidTr="001F3C57">
        <w:trPr>
          <w:trHeight w:val="288"/>
        </w:trPr>
        <w:tc>
          <w:tcPr>
            <w:tcW w:w="9720" w:type="dxa"/>
            <w:gridSpan w:val="9"/>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r w:rsidRPr="001F3C57">
              <w:rPr>
                <w:rFonts w:eastAsia="Times New Roman" w:cs="Arial"/>
                <w:b/>
                <w:color w:val="000000"/>
                <w:sz w:val="16"/>
                <w:szCs w:val="16"/>
                <w:lang w:eastAsia="zh-CN"/>
              </w:rPr>
              <w:t>Motorcycle, 2-stroke, petrol</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lastRenderedPageBreak/>
              <w:t>Infrastructure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Construction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0.0255</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0.9350</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6.18E-06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2.51E-05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1.84E-07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2.28E-06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14.5111</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0.0002</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0.0099</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8.46E-08</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3.99E-07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7.39E-10</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3.65E-08</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0.0146</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Vehicle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Manufacture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0.1144</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7.0038</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5.92E-05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8.01E-05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3.86E-06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7.52E-06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7.2386</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0.0886</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4.8644</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1.95E-05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3.72E-05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3.50E-06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3.120162</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0.0023</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1.3597</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1.61E-06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4.34E-06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6.24E-08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4.30E-07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0.12437</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Operation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1.1820</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83.1799</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2.85E-04</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8.98E-04</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2.29E-06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8.12E-05</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2309.428</w:t>
            </w:r>
          </w:p>
        </w:tc>
      </w:tr>
      <w:tr w:rsidR="001F3C57" w:rsidRPr="001F3C57" w:rsidTr="001F3C57">
        <w:trPr>
          <w:trHeight w:val="288"/>
        </w:trPr>
        <w:tc>
          <w:tcPr>
            <w:tcW w:w="9720" w:type="dxa"/>
            <w:gridSpan w:val="9"/>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r w:rsidRPr="001F3C57">
              <w:rPr>
                <w:rFonts w:eastAsia="Times New Roman" w:cs="Arial"/>
                <w:b/>
                <w:color w:val="000000"/>
                <w:sz w:val="16"/>
                <w:szCs w:val="16"/>
                <w:lang w:eastAsia="zh-CN"/>
              </w:rPr>
              <w:t>Motorcycle, 4-stroke, petrol</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Infrastructure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Construction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0.0255</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0.9350</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6.18E-06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2.51E-05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1.84E-07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2.28E-06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14.51111</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0.0002</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0.0099</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8.46E-08</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3.99E-07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7.39E-10</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3.65E-08</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0.014621</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Vehicle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Manufacture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0.1144</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7.0038</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5.92E-05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8.01E-05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3.86E-06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7.52E-06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7.23859</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0.0886</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4.8644</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1.95E-05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3.72E-05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3.50E-06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3.120162</w:t>
            </w:r>
          </w:p>
        </w:tc>
      </w:tr>
      <w:tr w:rsidR="001F3C57" w:rsidRPr="001F3C57" w:rsidTr="001F3C57">
        <w:trPr>
          <w:trHeight w:val="288"/>
        </w:trPr>
        <w:tc>
          <w:tcPr>
            <w:tcW w:w="12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0.0023</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1.3597</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1.61E-06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4.34E-06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6.24E-08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4.30E-07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0.12437</w:t>
            </w:r>
          </w:p>
        </w:tc>
      </w:tr>
      <w:tr w:rsidR="001F3C57" w:rsidRPr="001F3C57" w:rsidTr="001F3C57">
        <w:trPr>
          <w:trHeight w:val="288"/>
        </w:trPr>
        <w:tc>
          <w:tcPr>
            <w:tcW w:w="12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Operation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1.7611</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124.6334</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4.34E-04</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1.39E-03</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3.41E-06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1.26E-04</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647.9598</w:t>
            </w:r>
          </w:p>
        </w:tc>
      </w:tr>
      <w:tr w:rsidR="001F3C57" w:rsidRPr="001F3C57" w:rsidTr="001F3C57">
        <w:trPr>
          <w:trHeight w:val="288"/>
        </w:trPr>
        <w:tc>
          <w:tcPr>
            <w:tcW w:w="12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color w:val="000000"/>
                <w:sz w:val="16"/>
                <w:szCs w:val="16"/>
                <w:lang w:eastAsia="zh-CN"/>
              </w:rPr>
            </w:pPr>
            <w:r w:rsidRPr="001F3C57">
              <w:rPr>
                <w:rFonts w:eastAsia="Times New Roman" w:cs="Arial"/>
                <w:b/>
                <w:color w:val="000000"/>
                <w:sz w:val="16"/>
                <w:szCs w:val="16"/>
                <w:lang w:eastAsia="zh-CN"/>
              </w:rPr>
              <w:t>Bicycle</w:t>
            </w:r>
          </w:p>
        </w:tc>
        <w:tc>
          <w:tcPr>
            <w:tcW w:w="1133"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color w:val="000000"/>
                <w:sz w:val="16"/>
                <w:szCs w:val="16"/>
                <w:lang w:eastAsia="zh-CN"/>
              </w:rPr>
            </w:pP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b/>
                <w:sz w:val="16"/>
                <w:szCs w:val="16"/>
                <w:lang w:eastAsia="zh-CN"/>
              </w:rPr>
            </w:pP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b/>
                <w:sz w:val="16"/>
                <w:szCs w:val="16"/>
                <w:lang w:eastAsia="zh-CN"/>
              </w:rPr>
            </w:pP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b/>
                <w:sz w:val="16"/>
                <w:szCs w:val="16"/>
                <w:lang w:eastAsia="zh-CN"/>
              </w:rPr>
            </w:pP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b/>
                <w:sz w:val="16"/>
                <w:szCs w:val="16"/>
                <w:lang w:eastAsia="zh-CN"/>
              </w:rPr>
            </w:pP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b/>
                <w:sz w:val="16"/>
                <w:szCs w:val="16"/>
                <w:lang w:eastAsia="zh-CN"/>
              </w:rPr>
            </w:pP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b/>
                <w:sz w:val="16"/>
                <w:szCs w:val="16"/>
                <w:lang w:eastAsia="zh-CN"/>
              </w:rPr>
            </w:pP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b/>
                <w:sz w:val="16"/>
                <w:szCs w:val="16"/>
                <w:lang w:eastAsia="zh-CN"/>
              </w:rPr>
            </w:pP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Infrastructure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Construction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0.0136</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0.4987</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3.30E-06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1.34E-05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9.83E-08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1.22E-06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7.739264</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0.0001</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0.0053</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4.51E-08</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2.13E-07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3.94E-10</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1.95E-08</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0.007798</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Vehicle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Manufacture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0.0904</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7.3778</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4.49E-05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7.22E-05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3.05E-06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6.92E-06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10.36223</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0.0191</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1.2026</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4.61E-06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8.96E-06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3.00E-07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8.69E-07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0.938188</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0.0004</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0.3937</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2.64E-07</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1.22E-06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5.98E-09</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1.19E-07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0.026684</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Operation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w:t>
            </w:r>
          </w:p>
        </w:tc>
      </w:tr>
      <w:tr w:rsidR="001F3C57" w:rsidRPr="001F3C57" w:rsidTr="001F3C57">
        <w:trPr>
          <w:trHeight w:val="288"/>
        </w:trPr>
        <w:tc>
          <w:tcPr>
            <w:tcW w:w="2393" w:type="dxa"/>
            <w:gridSpan w:val="2"/>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color w:val="000000"/>
                <w:sz w:val="16"/>
                <w:szCs w:val="16"/>
                <w:lang w:eastAsia="zh-CN"/>
              </w:rPr>
            </w:pPr>
            <w:r w:rsidRPr="001F3C57">
              <w:rPr>
                <w:rFonts w:eastAsia="Times New Roman" w:cs="Arial"/>
                <w:b/>
                <w:color w:val="000000"/>
                <w:sz w:val="16"/>
                <w:szCs w:val="16"/>
                <w:lang w:eastAsia="zh-CN"/>
              </w:rPr>
              <w:t>Train, electricity</w:t>
            </w:r>
          </w:p>
        </w:tc>
        <w:tc>
          <w:tcPr>
            <w:tcW w:w="9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color w:val="000000"/>
                <w:sz w:val="16"/>
                <w:szCs w:val="16"/>
                <w:lang w:eastAsia="zh-CN"/>
              </w:rPr>
            </w:pPr>
          </w:p>
        </w:tc>
        <w:tc>
          <w:tcPr>
            <w:tcW w:w="1097"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117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1066"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9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9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1114"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Infrastructure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Construction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0.0463</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4.3070</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1.93E-05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5.69E-05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1.83E-06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5.14E-06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8.606696</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0.0099</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0.7965</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4.29E-06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6.06E-06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6.91E-07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6.86E-07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0.662349</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0.0124</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0.7694</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5.88E-06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2.77E-05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6.48E-08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2.53E-06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0.71231</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Vehicle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Manufacture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0.0115</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0.7801</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6.24E-06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8.76E-06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1.21E-06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8.28E-07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1.299714</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0.0024</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0.1476</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7.5E-07</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1.81E-06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4.72E-08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2.09E-07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0.149974</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0.0000</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0.0039</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1.88E-08</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9.31E-08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2.23E-10</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7.13E-08</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0.002123</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Operation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0.6201</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47.8297</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0.00015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0.000518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2.01E-05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4.89E-05</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22.76584</w:t>
            </w:r>
          </w:p>
        </w:tc>
      </w:tr>
      <w:tr w:rsidR="001F3C57" w:rsidRPr="001F3C57" w:rsidTr="001F3C57">
        <w:trPr>
          <w:trHeight w:val="288"/>
        </w:trPr>
        <w:tc>
          <w:tcPr>
            <w:tcW w:w="2393" w:type="dxa"/>
            <w:gridSpan w:val="2"/>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color w:val="000000"/>
                <w:sz w:val="16"/>
                <w:szCs w:val="16"/>
                <w:lang w:eastAsia="zh-CN"/>
              </w:rPr>
            </w:pPr>
            <w:r w:rsidRPr="001F3C57">
              <w:rPr>
                <w:rFonts w:eastAsia="Times New Roman" w:cs="Arial"/>
                <w:b/>
                <w:color w:val="000000"/>
                <w:sz w:val="16"/>
                <w:szCs w:val="16"/>
                <w:lang w:eastAsia="zh-CN"/>
              </w:rPr>
              <w:t>Subway, electricity</w:t>
            </w:r>
          </w:p>
        </w:tc>
        <w:tc>
          <w:tcPr>
            <w:tcW w:w="9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color w:val="000000"/>
                <w:sz w:val="16"/>
                <w:szCs w:val="16"/>
                <w:lang w:eastAsia="zh-CN"/>
              </w:rPr>
            </w:pPr>
          </w:p>
        </w:tc>
        <w:tc>
          <w:tcPr>
            <w:tcW w:w="1097"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117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1066"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9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960"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c>
          <w:tcPr>
            <w:tcW w:w="1114" w:type="dxa"/>
            <w:tcBorders>
              <w:top w:val="nil"/>
              <w:left w:val="nil"/>
              <w:bottom w:val="nil"/>
              <w:right w:val="nil"/>
            </w:tcBorders>
            <w:shd w:val="clear" w:color="auto" w:fill="auto"/>
            <w:noWrap/>
            <w:vAlign w:val="bottom"/>
            <w:hideMark/>
          </w:tcPr>
          <w:p w:rsidR="001F3C57" w:rsidRPr="001F3C57" w:rsidRDefault="001F3C57" w:rsidP="001F3C57">
            <w:pPr>
              <w:tabs>
                <w:tab w:val="clear" w:pos="0"/>
              </w:tabs>
              <w:spacing w:after="0" w:line="240" w:lineRule="auto"/>
              <w:ind w:firstLine="0"/>
              <w:jc w:val="left"/>
              <w:rPr>
                <w:rFonts w:eastAsia="Times New Roman" w:cs="Arial"/>
                <w:b/>
                <w:sz w:val="16"/>
                <w:szCs w:val="16"/>
                <w:lang w:eastAsia="zh-CN"/>
              </w:rPr>
            </w:pP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Infrastructure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Construction</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0.0943</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13.6010</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4.41E-05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0.000137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3.23E-06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1.22E-05</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15.90824</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0.0093</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0.7505</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4.05E-06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5.71E-06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6.51E-07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6.46E-07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0.624036</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0.0117</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0.7249</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5.54E-06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2.61E-05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6.1E-08</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2.39E-06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0.671108</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Vehicle</w:t>
            </w: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Manufacture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0.0277</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2.0761</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1.24E-05</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1.68E-05</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1.43E-06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1.65E-06</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2.229499</w:t>
            </w:r>
          </w:p>
        </w:tc>
      </w:tr>
      <w:tr w:rsidR="001F3C57" w:rsidRPr="001F3C57" w:rsidTr="001F3C57">
        <w:trPr>
          <w:trHeight w:val="288"/>
        </w:trPr>
        <w:tc>
          <w:tcPr>
            <w:tcW w:w="12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Maintenance</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0.0218</w:t>
            </w:r>
          </w:p>
        </w:tc>
        <w:tc>
          <w:tcPr>
            <w:tcW w:w="1097"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1.2230</w:t>
            </w:r>
          </w:p>
        </w:tc>
        <w:tc>
          <w:tcPr>
            <w:tcW w:w="117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5.18E-06</w:t>
            </w:r>
          </w:p>
        </w:tc>
        <w:tc>
          <w:tcPr>
            <w:tcW w:w="1066"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9.39E-06</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3.45E-07</w:t>
            </w:r>
          </w:p>
        </w:tc>
        <w:tc>
          <w:tcPr>
            <w:tcW w:w="960"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9.81E-07</w:t>
            </w:r>
          </w:p>
        </w:tc>
        <w:tc>
          <w:tcPr>
            <w:tcW w:w="1114" w:type="dxa"/>
            <w:tcBorders>
              <w:top w:val="nil"/>
              <w:left w:val="nil"/>
              <w:bottom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0.710091</w:t>
            </w:r>
          </w:p>
        </w:tc>
      </w:tr>
      <w:tr w:rsidR="001F3C57" w:rsidRPr="001F3C57" w:rsidTr="001F3C57">
        <w:trPr>
          <w:trHeight w:val="288"/>
        </w:trPr>
        <w:tc>
          <w:tcPr>
            <w:tcW w:w="1260"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Disposal</w:t>
            </w:r>
          </w:p>
        </w:tc>
        <w:tc>
          <w:tcPr>
            <w:tcW w:w="960"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0.0000</w:t>
            </w:r>
          </w:p>
        </w:tc>
        <w:tc>
          <w:tcPr>
            <w:tcW w:w="1097"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0.0102</w:t>
            </w:r>
          </w:p>
        </w:tc>
        <w:tc>
          <w:tcPr>
            <w:tcW w:w="1170"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2.2E-08</w:t>
            </w:r>
          </w:p>
        </w:tc>
        <w:tc>
          <w:tcPr>
            <w:tcW w:w="1066"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1.01E-07</w:t>
            </w:r>
          </w:p>
        </w:tc>
        <w:tc>
          <w:tcPr>
            <w:tcW w:w="960"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3.09E-10</w:t>
            </w:r>
          </w:p>
        </w:tc>
        <w:tc>
          <w:tcPr>
            <w:tcW w:w="960"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2E-07</w:t>
            </w:r>
          </w:p>
        </w:tc>
        <w:tc>
          <w:tcPr>
            <w:tcW w:w="1114" w:type="dxa"/>
            <w:tcBorders>
              <w:top w:val="nil"/>
              <w:left w:val="nil"/>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0.003308</w:t>
            </w:r>
          </w:p>
        </w:tc>
      </w:tr>
      <w:tr w:rsidR="001F3C57" w:rsidRPr="001F3C57" w:rsidTr="001F3C57">
        <w:trPr>
          <w:trHeight w:val="288"/>
        </w:trPr>
        <w:tc>
          <w:tcPr>
            <w:tcW w:w="126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p>
        </w:tc>
        <w:tc>
          <w:tcPr>
            <w:tcW w:w="1133"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left"/>
              <w:rPr>
                <w:rFonts w:eastAsia="Times New Roman" w:cs="Arial"/>
                <w:color w:val="000000"/>
                <w:sz w:val="16"/>
                <w:szCs w:val="16"/>
                <w:lang w:eastAsia="zh-CN"/>
              </w:rPr>
            </w:pPr>
            <w:r w:rsidRPr="001F3C57">
              <w:rPr>
                <w:rFonts w:eastAsia="Times New Roman" w:cs="Arial"/>
                <w:color w:val="000000"/>
                <w:sz w:val="16"/>
                <w:szCs w:val="16"/>
                <w:lang w:eastAsia="zh-CN"/>
              </w:rPr>
              <w:t>Operation</w:t>
            </w:r>
          </w:p>
        </w:tc>
        <w:tc>
          <w:tcPr>
            <w:tcW w:w="96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0.5589</w:t>
            </w:r>
          </w:p>
        </w:tc>
        <w:tc>
          <w:tcPr>
            <w:tcW w:w="1097"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43.0828</w:t>
            </w:r>
          </w:p>
        </w:tc>
        <w:tc>
          <w:tcPr>
            <w:tcW w:w="117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0.000135</w:t>
            </w:r>
          </w:p>
        </w:tc>
        <w:tc>
          <w:tcPr>
            <w:tcW w:w="1066"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0.000467</w:t>
            </w:r>
          </w:p>
        </w:tc>
        <w:tc>
          <w:tcPr>
            <w:tcW w:w="96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1.81E-05</w:t>
            </w:r>
          </w:p>
        </w:tc>
        <w:tc>
          <w:tcPr>
            <w:tcW w:w="960"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4.4E-05</w:t>
            </w:r>
          </w:p>
        </w:tc>
        <w:tc>
          <w:tcPr>
            <w:tcW w:w="1114" w:type="dxa"/>
            <w:tcBorders>
              <w:top w:val="nil"/>
              <w:left w:val="nil"/>
              <w:bottom w:val="single" w:sz="4" w:space="0" w:color="auto"/>
              <w:right w:val="nil"/>
            </w:tcBorders>
            <w:shd w:val="clear" w:color="auto" w:fill="auto"/>
            <w:noWrap/>
            <w:vAlign w:val="center"/>
            <w:hideMark/>
          </w:tcPr>
          <w:p w:rsidR="001F3C57" w:rsidRPr="001F3C57" w:rsidRDefault="001F3C57" w:rsidP="001F3C57">
            <w:pPr>
              <w:tabs>
                <w:tab w:val="clear" w:pos="0"/>
              </w:tabs>
              <w:spacing w:after="0" w:line="240" w:lineRule="auto"/>
              <w:ind w:firstLine="0"/>
              <w:jc w:val="right"/>
              <w:rPr>
                <w:rFonts w:eastAsia="Times New Roman" w:cs="Arial"/>
                <w:color w:val="000000"/>
                <w:sz w:val="16"/>
                <w:szCs w:val="16"/>
                <w:lang w:eastAsia="zh-CN"/>
              </w:rPr>
            </w:pPr>
            <w:r w:rsidRPr="001F3C57">
              <w:rPr>
                <w:rFonts w:eastAsia="Times New Roman" w:cs="Arial"/>
                <w:color w:val="000000"/>
                <w:sz w:val="16"/>
                <w:szCs w:val="16"/>
                <w:lang w:eastAsia="zh-CN"/>
              </w:rPr>
              <w:t>20.51918</w:t>
            </w:r>
          </w:p>
        </w:tc>
      </w:tr>
    </w:tbl>
    <w:p w:rsidR="00367847" w:rsidRDefault="00367847">
      <w:pPr>
        <w:tabs>
          <w:tab w:val="clear" w:pos="0"/>
        </w:tabs>
        <w:spacing w:after="200" w:line="276" w:lineRule="auto"/>
        <w:ind w:firstLine="0"/>
        <w:jc w:val="left"/>
        <w:rPr>
          <w:b/>
        </w:rPr>
      </w:pPr>
      <w:r>
        <w:rPr>
          <w:b/>
        </w:rPr>
        <w:br w:type="page"/>
      </w:r>
    </w:p>
    <w:p w:rsidR="00290088" w:rsidRPr="002559A1" w:rsidRDefault="001F3C57" w:rsidP="00290088">
      <w:pPr>
        <w:rPr>
          <w:b/>
        </w:rPr>
      </w:pPr>
      <w:r>
        <w:rPr>
          <w:b/>
        </w:rPr>
        <w:lastRenderedPageBreak/>
        <w:t>5</w:t>
      </w:r>
      <w:r w:rsidR="00290088" w:rsidRPr="002559A1">
        <w:rPr>
          <w:b/>
        </w:rPr>
        <w:t xml:space="preserve">. </w:t>
      </w:r>
      <w:r w:rsidR="00290088">
        <w:rPr>
          <w:b/>
        </w:rPr>
        <w:t>Inter-study comparison of results</w:t>
      </w:r>
    </w:p>
    <w:p w:rsidR="00290088" w:rsidRDefault="00290088" w:rsidP="00D50538">
      <w:pPr>
        <w:ind w:firstLine="360"/>
      </w:pPr>
      <w:r>
        <w:t xml:space="preserve">Table </w:t>
      </w:r>
      <w:r w:rsidR="00570AB0">
        <w:t>S</w:t>
      </w:r>
      <w:r w:rsidR="00EF4726">
        <w:t>3 –</w:t>
      </w:r>
      <w:r>
        <w:t xml:space="preserve"> NRE and GHG</w:t>
      </w:r>
      <w:r w:rsidR="00100654">
        <w:t xml:space="preserve"> results</w:t>
      </w:r>
      <w:r>
        <w:t xml:space="preserve"> </w:t>
      </w:r>
      <w:r w:rsidR="00100654">
        <w:t>per person-kilometer</w:t>
      </w:r>
      <w:r w:rsidR="00E13B20">
        <w:t xml:space="preserve"> traveled</w:t>
      </w:r>
      <w:r w:rsidR="00100654">
        <w:t xml:space="preserve"> (</w:t>
      </w:r>
      <w:r w:rsidR="00E13B20">
        <w:t>PKT</w:t>
      </w:r>
      <w:r w:rsidR="00100654">
        <w:t xml:space="preserve">) </w:t>
      </w:r>
      <w:r>
        <w:t>in this and pre</w:t>
      </w:r>
      <w:r w:rsidR="00D50538">
        <w:t>vious studies in the literature</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39"/>
        <w:gridCol w:w="1112"/>
        <w:gridCol w:w="933"/>
        <w:gridCol w:w="929"/>
        <w:gridCol w:w="858"/>
        <w:gridCol w:w="923"/>
        <w:gridCol w:w="798"/>
        <w:gridCol w:w="920"/>
        <w:gridCol w:w="634"/>
        <w:gridCol w:w="839"/>
      </w:tblGrid>
      <w:tr w:rsidR="00206885" w:rsidRPr="00DA2F4A" w:rsidTr="00FD7CC1">
        <w:trPr>
          <w:trHeight w:val="395"/>
        </w:trPr>
        <w:tc>
          <w:tcPr>
            <w:tcW w:w="1246" w:type="dxa"/>
            <w:tcBorders>
              <w:top w:val="single" w:sz="4" w:space="0" w:color="auto"/>
              <w:bottom w:val="single" w:sz="4" w:space="0" w:color="auto"/>
            </w:tcBorders>
            <w:vAlign w:val="center"/>
          </w:tcPr>
          <w:p w:rsidR="00206885" w:rsidRPr="00DA2F4A" w:rsidRDefault="00206885" w:rsidP="00DA2F4A">
            <w:pPr>
              <w:spacing w:after="0" w:line="276" w:lineRule="auto"/>
              <w:ind w:firstLine="0"/>
              <w:jc w:val="center"/>
              <w:rPr>
                <w:sz w:val="17"/>
                <w:szCs w:val="17"/>
              </w:rPr>
            </w:pPr>
          </w:p>
        </w:tc>
        <w:tc>
          <w:tcPr>
            <w:tcW w:w="1951" w:type="dxa"/>
            <w:gridSpan w:val="2"/>
            <w:tcBorders>
              <w:top w:val="single" w:sz="4" w:space="0" w:color="auto"/>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Car</w:t>
            </w:r>
          </w:p>
        </w:tc>
        <w:tc>
          <w:tcPr>
            <w:tcW w:w="1862" w:type="dxa"/>
            <w:gridSpan w:val="2"/>
            <w:tcBorders>
              <w:top w:val="single" w:sz="4" w:space="0" w:color="auto"/>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Bus</w:t>
            </w:r>
          </w:p>
        </w:tc>
        <w:tc>
          <w:tcPr>
            <w:tcW w:w="1781" w:type="dxa"/>
            <w:gridSpan w:val="2"/>
            <w:tcBorders>
              <w:top w:val="single" w:sz="4" w:space="0" w:color="auto"/>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Rail</w:t>
            </w:r>
          </w:p>
        </w:tc>
        <w:tc>
          <w:tcPr>
            <w:tcW w:w="1718" w:type="dxa"/>
            <w:gridSpan w:val="2"/>
            <w:tcBorders>
              <w:top w:val="single" w:sz="4" w:space="0" w:color="auto"/>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Motorcycle</w:t>
            </w:r>
          </w:p>
        </w:tc>
        <w:tc>
          <w:tcPr>
            <w:tcW w:w="1473" w:type="dxa"/>
            <w:gridSpan w:val="2"/>
            <w:tcBorders>
              <w:top w:val="single" w:sz="4" w:space="0" w:color="auto"/>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Bicycle</w:t>
            </w:r>
          </w:p>
        </w:tc>
      </w:tr>
      <w:tr w:rsidR="00206885" w:rsidRPr="00DA2F4A" w:rsidTr="00FD7CC1">
        <w:tc>
          <w:tcPr>
            <w:tcW w:w="1246" w:type="dxa"/>
            <w:tcBorders>
              <w:top w:val="single" w:sz="4" w:space="0" w:color="auto"/>
            </w:tcBorders>
          </w:tcPr>
          <w:p w:rsidR="00206885" w:rsidRPr="00DA2F4A" w:rsidRDefault="00206885" w:rsidP="00DA2F4A">
            <w:pPr>
              <w:spacing w:after="0" w:line="276" w:lineRule="auto"/>
              <w:ind w:firstLine="0"/>
              <w:rPr>
                <w:sz w:val="17"/>
                <w:szCs w:val="17"/>
              </w:rPr>
            </w:pPr>
          </w:p>
        </w:tc>
        <w:tc>
          <w:tcPr>
            <w:tcW w:w="839" w:type="dxa"/>
            <w:tcBorders>
              <w:top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NRE</w:t>
            </w:r>
          </w:p>
          <w:p w:rsidR="00206885" w:rsidRPr="00DA2F4A" w:rsidRDefault="00206885" w:rsidP="00DA2F4A">
            <w:pPr>
              <w:spacing w:after="0" w:line="276" w:lineRule="auto"/>
              <w:ind w:firstLine="0"/>
              <w:jc w:val="center"/>
              <w:rPr>
                <w:sz w:val="17"/>
                <w:szCs w:val="17"/>
              </w:rPr>
            </w:pPr>
            <w:r w:rsidRPr="00DA2F4A">
              <w:rPr>
                <w:sz w:val="17"/>
                <w:szCs w:val="17"/>
              </w:rPr>
              <w:t>(MJ)</w:t>
            </w:r>
          </w:p>
        </w:tc>
        <w:tc>
          <w:tcPr>
            <w:tcW w:w="1112" w:type="dxa"/>
            <w:tcBorders>
              <w:top w:val="single" w:sz="4" w:space="0" w:color="auto"/>
            </w:tcBorders>
            <w:vAlign w:val="center"/>
          </w:tcPr>
          <w:p w:rsidR="00206885" w:rsidRPr="00DA2F4A" w:rsidRDefault="00206885" w:rsidP="00DA2F4A">
            <w:pPr>
              <w:tabs>
                <w:tab w:val="clear" w:pos="0"/>
                <w:tab w:val="left" w:pos="-297"/>
              </w:tabs>
              <w:spacing w:after="0" w:line="276" w:lineRule="auto"/>
              <w:ind w:left="-117" w:right="-120" w:firstLine="0"/>
              <w:jc w:val="center"/>
              <w:rPr>
                <w:sz w:val="17"/>
                <w:szCs w:val="17"/>
              </w:rPr>
            </w:pPr>
            <w:r w:rsidRPr="00DA2F4A">
              <w:rPr>
                <w:sz w:val="17"/>
                <w:szCs w:val="17"/>
              </w:rPr>
              <w:t>GHG</w:t>
            </w:r>
          </w:p>
          <w:p w:rsidR="00206885" w:rsidRPr="00DA2F4A" w:rsidRDefault="00206885" w:rsidP="00DA2F4A">
            <w:pPr>
              <w:tabs>
                <w:tab w:val="clear" w:pos="0"/>
                <w:tab w:val="left" w:pos="-297"/>
              </w:tabs>
              <w:spacing w:after="0" w:line="276" w:lineRule="auto"/>
              <w:ind w:left="-117" w:right="-120" w:firstLine="0"/>
              <w:jc w:val="center"/>
              <w:rPr>
                <w:sz w:val="17"/>
                <w:szCs w:val="17"/>
              </w:rPr>
            </w:pPr>
            <w:r w:rsidRPr="00DA2F4A">
              <w:rPr>
                <w:sz w:val="17"/>
                <w:szCs w:val="17"/>
              </w:rPr>
              <w:t>(g CO</w:t>
            </w:r>
            <w:r w:rsidRPr="00DA2F4A">
              <w:rPr>
                <w:sz w:val="17"/>
                <w:szCs w:val="17"/>
                <w:vertAlign w:val="subscript"/>
              </w:rPr>
              <w:t>2</w:t>
            </w:r>
            <w:r w:rsidRPr="00DA2F4A">
              <w:rPr>
                <w:sz w:val="17"/>
                <w:szCs w:val="17"/>
              </w:rPr>
              <w:t>-eq)</w:t>
            </w:r>
          </w:p>
        </w:tc>
        <w:tc>
          <w:tcPr>
            <w:tcW w:w="933" w:type="dxa"/>
            <w:tcBorders>
              <w:top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NRE</w:t>
            </w:r>
          </w:p>
          <w:p w:rsidR="00206885" w:rsidRPr="00DA2F4A" w:rsidRDefault="00206885" w:rsidP="00DA2F4A">
            <w:pPr>
              <w:spacing w:after="0" w:line="276" w:lineRule="auto"/>
              <w:ind w:firstLine="0"/>
              <w:jc w:val="center"/>
              <w:rPr>
                <w:sz w:val="17"/>
                <w:szCs w:val="17"/>
              </w:rPr>
            </w:pPr>
            <w:r w:rsidRPr="00DA2F4A">
              <w:rPr>
                <w:sz w:val="17"/>
                <w:szCs w:val="17"/>
              </w:rPr>
              <w:t>(MJ)</w:t>
            </w:r>
          </w:p>
        </w:tc>
        <w:tc>
          <w:tcPr>
            <w:tcW w:w="929" w:type="dxa"/>
            <w:tcBorders>
              <w:top w:val="single" w:sz="4" w:space="0" w:color="auto"/>
            </w:tcBorders>
            <w:vAlign w:val="center"/>
          </w:tcPr>
          <w:p w:rsidR="00206885" w:rsidRPr="00DA2F4A" w:rsidRDefault="00206885" w:rsidP="00DA2F4A">
            <w:pPr>
              <w:tabs>
                <w:tab w:val="clear" w:pos="0"/>
                <w:tab w:val="left" w:pos="-171"/>
              </w:tabs>
              <w:spacing w:after="0" w:line="276" w:lineRule="auto"/>
              <w:ind w:left="-81" w:firstLine="0"/>
              <w:jc w:val="center"/>
              <w:rPr>
                <w:sz w:val="17"/>
                <w:szCs w:val="17"/>
              </w:rPr>
            </w:pPr>
            <w:r w:rsidRPr="00DA2F4A">
              <w:rPr>
                <w:sz w:val="17"/>
                <w:szCs w:val="17"/>
              </w:rPr>
              <w:t>GHG</w:t>
            </w:r>
          </w:p>
          <w:p w:rsidR="00206885" w:rsidRPr="00DA2F4A" w:rsidRDefault="00206885" w:rsidP="00DA2F4A">
            <w:pPr>
              <w:tabs>
                <w:tab w:val="clear" w:pos="0"/>
                <w:tab w:val="left" w:pos="-171"/>
                <w:tab w:val="left" w:pos="-108"/>
              </w:tabs>
              <w:spacing w:after="0" w:line="276" w:lineRule="auto"/>
              <w:ind w:left="-81" w:right="-108" w:firstLine="0"/>
              <w:jc w:val="center"/>
              <w:rPr>
                <w:sz w:val="17"/>
                <w:szCs w:val="17"/>
              </w:rPr>
            </w:pPr>
            <w:r w:rsidRPr="00DA2F4A">
              <w:rPr>
                <w:sz w:val="17"/>
                <w:szCs w:val="17"/>
              </w:rPr>
              <w:t>(g CO</w:t>
            </w:r>
            <w:r w:rsidRPr="00DA2F4A">
              <w:rPr>
                <w:sz w:val="17"/>
                <w:szCs w:val="17"/>
                <w:vertAlign w:val="subscript"/>
              </w:rPr>
              <w:t>2</w:t>
            </w:r>
            <w:r w:rsidRPr="00DA2F4A">
              <w:rPr>
                <w:sz w:val="17"/>
                <w:szCs w:val="17"/>
              </w:rPr>
              <w:t>-eq)</w:t>
            </w:r>
          </w:p>
        </w:tc>
        <w:tc>
          <w:tcPr>
            <w:tcW w:w="858" w:type="dxa"/>
            <w:tcBorders>
              <w:top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NRE</w:t>
            </w:r>
          </w:p>
          <w:p w:rsidR="00206885" w:rsidRPr="00DA2F4A" w:rsidRDefault="00206885" w:rsidP="00DA2F4A">
            <w:pPr>
              <w:spacing w:after="0" w:line="276" w:lineRule="auto"/>
              <w:ind w:firstLine="0"/>
              <w:jc w:val="center"/>
              <w:rPr>
                <w:sz w:val="17"/>
                <w:szCs w:val="17"/>
              </w:rPr>
            </w:pPr>
            <w:r w:rsidRPr="00DA2F4A">
              <w:rPr>
                <w:sz w:val="17"/>
                <w:szCs w:val="17"/>
              </w:rPr>
              <w:t>(MJ)</w:t>
            </w:r>
          </w:p>
        </w:tc>
        <w:tc>
          <w:tcPr>
            <w:tcW w:w="923" w:type="dxa"/>
            <w:tcBorders>
              <w:top w:val="single" w:sz="4" w:space="0" w:color="auto"/>
            </w:tcBorders>
            <w:vAlign w:val="center"/>
          </w:tcPr>
          <w:p w:rsidR="00206885" w:rsidRPr="00DA2F4A" w:rsidRDefault="00206885" w:rsidP="00DA2F4A">
            <w:pPr>
              <w:tabs>
                <w:tab w:val="clear" w:pos="0"/>
                <w:tab w:val="left" w:pos="-288"/>
              </w:tabs>
              <w:spacing w:after="0" w:line="276" w:lineRule="auto"/>
              <w:ind w:left="-108" w:right="-108" w:firstLine="18"/>
              <w:jc w:val="center"/>
              <w:rPr>
                <w:sz w:val="17"/>
                <w:szCs w:val="17"/>
              </w:rPr>
            </w:pPr>
            <w:r w:rsidRPr="00DA2F4A">
              <w:rPr>
                <w:sz w:val="17"/>
                <w:szCs w:val="17"/>
              </w:rPr>
              <w:t>GHG</w:t>
            </w:r>
          </w:p>
          <w:p w:rsidR="00206885" w:rsidRPr="00DA2F4A" w:rsidRDefault="00206885" w:rsidP="00DA2F4A">
            <w:pPr>
              <w:tabs>
                <w:tab w:val="left" w:pos="-288"/>
              </w:tabs>
              <w:spacing w:after="0" w:line="276" w:lineRule="auto"/>
              <w:ind w:left="-108" w:right="-108" w:firstLine="0"/>
              <w:jc w:val="center"/>
              <w:rPr>
                <w:sz w:val="17"/>
                <w:szCs w:val="17"/>
              </w:rPr>
            </w:pPr>
            <w:r w:rsidRPr="00DA2F4A">
              <w:rPr>
                <w:sz w:val="17"/>
                <w:szCs w:val="17"/>
              </w:rPr>
              <w:t>(g CO</w:t>
            </w:r>
            <w:r w:rsidRPr="00DA2F4A">
              <w:rPr>
                <w:sz w:val="17"/>
                <w:szCs w:val="17"/>
                <w:vertAlign w:val="subscript"/>
              </w:rPr>
              <w:t>2</w:t>
            </w:r>
            <w:r w:rsidRPr="00DA2F4A">
              <w:rPr>
                <w:sz w:val="17"/>
                <w:szCs w:val="17"/>
              </w:rPr>
              <w:t>-eq)</w:t>
            </w:r>
          </w:p>
        </w:tc>
        <w:tc>
          <w:tcPr>
            <w:tcW w:w="798" w:type="dxa"/>
            <w:tcBorders>
              <w:top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NRE</w:t>
            </w:r>
          </w:p>
          <w:p w:rsidR="00206885" w:rsidRPr="00DA2F4A" w:rsidRDefault="00206885" w:rsidP="00DA2F4A">
            <w:pPr>
              <w:spacing w:after="0" w:line="276" w:lineRule="auto"/>
              <w:ind w:firstLine="0"/>
              <w:jc w:val="center"/>
              <w:rPr>
                <w:sz w:val="17"/>
                <w:szCs w:val="17"/>
              </w:rPr>
            </w:pPr>
            <w:r w:rsidRPr="00DA2F4A">
              <w:rPr>
                <w:sz w:val="17"/>
                <w:szCs w:val="17"/>
              </w:rPr>
              <w:t>(MJ)</w:t>
            </w:r>
          </w:p>
        </w:tc>
        <w:tc>
          <w:tcPr>
            <w:tcW w:w="920" w:type="dxa"/>
            <w:tcBorders>
              <w:top w:val="single" w:sz="4" w:space="0" w:color="auto"/>
            </w:tcBorders>
            <w:vAlign w:val="center"/>
          </w:tcPr>
          <w:p w:rsidR="00206885" w:rsidRPr="00DA2F4A" w:rsidRDefault="00206885" w:rsidP="00DA2F4A">
            <w:pPr>
              <w:spacing w:after="0" w:line="276" w:lineRule="auto"/>
              <w:ind w:right="-124" w:hanging="121"/>
              <w:jc w:val="center"/>
              <w:rPr>
                <w:sz w:val="17"/>
                <w:szCs w:val="17"/>
              </w:rPr>
            </w:pPr>
            <w:r w:rsidRPr="00DA2F4A">
              <w:rPr>
                <w:sz w:val="17"/>
                <w:szCs w:val="17"/>
              </w:rPr>
              <w:t>GHG</w:t>
            </w:r>
          </w:p>
          <w:p w:rsidR="00206885" w:rsidRPr="00DA2F4A" w:rsidRDefault="00206885" w:rsidP="00DA2F4A">
            <w:pPr>
              <w:spacing w:after="0" w:line="276" w:lineRule="auto"/>
              <w:ind w:right="-124" w:hanging="121"/>
              <w:jc w:val="center"/>
              <w:rPr>
                <w:sz w:val="17"/>
                <w:szCs w:val="17"/>
              </w:rPr>
            </w:pPr>
            <w:r w:rsidRPr="00DA2F4A">
              <w:rPr>
                <w:sz w:val="17"/>
                <w:szCs w:val="17"/>
              </w:rPr>
              <w:t>(g CO</w:t>
            </w:r>
            <w:r w:rsidRPr="00DA2F4A">
              <w:rPr>
                <w:sz w:val="17"/>
                <w:szCs w:val="17"/>
                <w:vertAlign w:val="subscript"/>
              </w:rPr>
              <w:t>2</w:t>
            </w:r>
            <w:r w:rsidRPr="00DA2F4A">
              <w:rPr>
                <w:sz w:val="17"/>
                <w:szCs w:val="17"/>
              </w:rPr>
              <w:t>-eq)</w:t>
            </w:r>
          </w:p>
        </w:tc>
        <w:tc>
          <w:tcPr>
            <w:tcW w:w="634" w:type="dxa"/>
            <w:tcBorders>
              <w:top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NRE</w:t>
            </w:r>
          </w:p>
          <w:p w:rsidR="00206885" w:rsidRPr="00DA2F4A" w:rsidRDefault="00206885" w:rsidP="00DA2F4A">
            <w:pPr>
              <w:spacing w:after="0" w:line="276" w:lineRule="auto"/>
              <w:ind w:firstLine="0"/>
              <w:jc w:val="center"/>
              <w:rPr>
                <w:sz w:val="17"/>
                <w:szCs w:val="17"/>
              </w:rPr>
            </w:pPr>
            <w:r w:rsidRPr="00DA2F4A">
              <w:rPr>
                <w:sz w:val="17"/>
                <w:szCs w:val="17"/>
              </w:rPr>
              <w:t>(KJ)</w:t>
            </w:r>
          </w:p>
        </w:tc>
        <w:tc>
          <w:tcPr>
            <w:tcW w:w="839" w:type="dxa"/>
            <w:tcBorders>
              <w:top w:val="single" w:sz="4" w:space="0" w:color="auto"/>
            </w:tcBorders>
            <w:vAlign w:val="center"/>
          </w:tcPr>
          <w:p w:rsidR="00206885" w:rsidRPr="00DA2F4A" w:rsidRDefault="00206885" w:rsidP="00DA2F4A">
            <w:pPr>
              <w:spacing w:after="0" w:line="276" w:lineRule="auto"/>
              <w:ind w:right="-124" w:hanging="121"/>
              <w:jc w:val="center"/>
              <w:rPr>
                <w:sz w:val="17"/>
                <w:szCs w:val="17"/>
              </w:rPr>
            </w:pPr>
            <w:r w:rsidRPr="00DA2F4A">
              <w:rPr>
                <w:sz w:val="17"/>
                <w:szCs w:val="17"/>
              </w:rPr>
              <w:t>GHG</w:t>
            </w:r>
          </w:p>
          <w:p w:rsidR="00206885" w:rsidRPr="00DA2F4A" w:rsidRDefault="00206885" w:rsidP="00DA2F4A">
            <w:pPr>
              <w:spacing w:after="0" w:line="276" w:lineRule="auto"/>
              <w:ind w:right="-124" w:hanging="121"/>
              <w:jc w:val="center"/>
              <w:rPr>
                <w:sz w:val="17"/>
                <w:szCs w:val="17"/>
              </w:rPr>
            </w:pPr>
            <w:r w:rsidRPr="00DA2F4A">
              <w:rPr>
                <w:sz w:val="17"/>
                <w:szCs w:val="17"/>
              </w:rPr>
              <w:t>(g CO</w:t>
            </w:r>
            <w:r w:rsidRPr="00DA2F4A">
              <w:rPr>
                <w:sz w:val="17"/>
                <w:szCs w:val="17"/>
                <w:vertAlign w:val="subscript"/>
              </w:rPr>
              <w:t>2</w:t>
            </w:r>
            <w:r w:rsidRPr="00DA2F4A">
              <w:rPr>
                <w:sz w:val="17"/>
                <w:szCs w:val="17"/>
              </w:rPr>
              <w:t>-eq)</w:t>
            </w:r>
          </w:p>
        </w:tc>
      </w:tr>
      <w:tr w:rsidR="00206885" w:rsidRPr="00DA2F4A" w:rsidTr="00FD7CC1">
        <w:trPr>
          <w:trHeight w:val="333"/>
        </w:trPr>
        <w:tc>
          <w:tcPr>
            <w:tcW w:w="1246" w:type="dxa"/>
            <w:vAlign w:val="center"/>
          </w:tcPr>
          <w:p w:rsidR="00206885" w:rsidRDefault="00206885" w:rsidP="00DA2F4A">
            <w:pPr>
              <w:spacing w:after="0" w:line="276" w:lineRule="auto"/>
              <w:ind w:firstLine="0"/>
              <w:jc w:val="left"/>
              <w:rPr>
                <w:sz w:val="17"/>
                <w:szCs w:val="17"/>
              </w:rPr>
            </w:pPr>
            <w:r w:rsidRPr="00DA2F4A">
              <w:rPr>
                <w:sz w:val="17"/>
                <w:szCs w:val="17"/>
              </w:rPr>
              <w:t>Our study</w:t>
            </w:r>
          </w:p>
          <w:p w:rsidR="007A44CF" w:rsidRPr="00DA2F4A" w:rsidRDefault="007A44CF" w:rsidP="00DA2F4A">
            <w:pPr>
              <w:spacing w:after="0" w:line="276" w:lineRule="auto"/>
              <w:ind w:firstLine="0"/>
              <w:jc w:val="left"/>
              <w:rPr>
                <w:sz w:val="17"/>
                <w:szCs w:val="17"/>
              </w:rPr>
            </w:pPr>
            <w:r>
              <w:rPr>
                <w:sz w:val="17"/>
                <w:szCs w:val="17"/>
              </w:rPr>
              <w:t>(Portugal)</w:t>
            </w:r>
          </w:p>
        </w:tc>
        <w:tc>
          <w:tcPr>
            <w:tcW w:w="839" w:type="dxa"/>
            <w:vAlign w:val="center"/>
          </w:tcPr>
          <w:p w:rsidR="00206885" w:rsidRPr="00DA2F4A" w:rsidRDefault="00206885" w:rsidP="00DA2F4A">
            <w:pPr>
              <w:tabs>
                <w:tab w:val="clear" w:pos="0"/>
                <w:tab w:val="left" w:pos="-198"/>
              </w:tabs>
              <w:spacing w:after="0" w:line="276" w:lineRule="auto"/>
              <w:ind w:left="-108" w:right="-99" w:firstLine="108"/>
              <w:jc w:val="center"/>
              <w:rPr>
                <w:sz w:val="17"/>
                <w:szCs w:val="17"/>
              </w:rPr>
            </w:pPr>
            <w:r w:rsidRPr="00DA2F4A">
              <w:rPr>
                <w:sz w:val="17"/>
                <w:szCs w:val="17"/>
              </w:rPr>
              <w:t>2.8 - 3.0</w:t>
            </w:r>
          </w:p>
        </w:tc>
        <w:tc>
          <w:tcPr>
            <w:tcW w:w="1112" w:type="dxa"/>
            <w:vAlign w:val="center"/>
          </w:tcPr>
          <w:p w:rsidR="00206885" w:rsidRPr="00DA2F4A" w:rsidRDefault="00206885" w:rsidP="00DA2F4A">
            <w:pPr>
              <w:spacing w:after="0" w:line="276" w:lineRule="auto"/>
              <w:ind w:right="-62" w:firstLine="0"/>
              <w:jc w:val="center"/>
              <w:rPr>
                <w:sz w:val="17"/>
                <w:szCs w:val="17"/>
              </w:rPr>
            </w:pPr>
            <w:r w:rsidRPr="00DA2F4A">
              <w:rPr>
                <w:sz w:val="17"/>
                <w:szCs w:val="17"/>
              </w:rPr>
              <w:t>188 - 207</w:t>
            </w:r>
          </w:p>
        </w:tc>
        <w:tc>
          <w:tcPr>
            <w:tcW w:w="933" w:type="dxa"/>
            <w:vAlign w:val="center"/>
          </w:tcPr>
          <w:p w:rsidR="00206885" w:rsidRPr="00DA2F4A" w:rsidRDefault="00206885" w:rsidP="00DA2F4A">
            <w:pPr>
              <w:spacing w:after="0" w:line="276" w:lineRule="auto"/>
              <w:ind w:firstLine="0"/>
              <w:jc w:val="center"/>
              <w:rPr>
                <w:sz w:val="17"/>
                <w:szCs w:val="17"/>
              </w:rPr>
            </w:pPr>
            <w:r w:rsidRPr="00DA2F4A">
              <w:rPr>
                <w:sz w:val="17"/>
                <w:szCs w:val="17"/>
              </w:rPr>
              <w:t>0.9</w:t>
            </w:r>
          </w:p>
        </w:tc>
        <w:tc>
          <w:tcPr>
            <w:tcW w:w="929" w:type="dxa"/>
            <w:vAlign w:val="center"/>
          </w:tcPr>
          <w:p w:rsidR="00206885" w:rsidRPr="00DA2F4A" w:rsidRDefault="00206885" w:rsidP="00DA2F4A">
            <w:pPr>
              <w:spacing w:after="0" w:line="276" w:lineRule="auto"/>
              <w:ind w:firstLine="0"/>
              <w:jc w:val="center"/>
              <w:rPr>
                <w:sz w:val="17"/>
                <w:szCs w:val="17"/>
              </w:rPr>
            </w:pPr>
            <w:r w:rsidRPr="00DA2F4A">
              <w:rPr>
                <w:sz w:val="17"/>
                <w:szCs w:val="17"/>
              </w:rPr>
              <w:t>63</w:t>
            </w:r>
          </w:p>
        </w:tc>
        <w:tc>
          <w:tcPr>
            <w:tcW w:w="858" w:type="dxa"/>
            <w:vAlign w:val="center"/>
          </w:tcPr>
          <w:p w:rsidR="00206885" w:rsidRPr="00DA2F4A" w:rsidRDefault="00206885" w:rsidP="00DA2F4A">
            <w:pPr>
              <w:spacing w:after="0" w:line="276" w:lineRule="auto"/>
              <w:ind w:firstLine="0"/>
              <w:jc w:val="center"/>
              <w:rPr>
                <w:sz w:val="17"/>
                <w:szCs w:val="17"/>
              </w:rPr>
            </w:pPr>
            <w:r w:rsidRPr="00DA2F4A">
              <w:rPr>
                <w:sz w:val="17"/>
                <w:szCs w:val="17"/>
              </w:rPr>
              <w:t>0.7</w:t>
            </w:r>
          </w:p>
        </w:tc>
        <w:tc>
          <w:tcPr>
            <w:tcW w:w="923" w:type="dxa"/>
            <w:vAlign w:val="center"/>
          </w:tcPr>
          <w:p w:rsidR="00206885" w:rsidRPr="00DA2F4A" w:rsidRDefault="00206885" w:rsidP="00DA2F4A">
            <w:pPr>
              <w:spacing w:after="0" w:line="276" w:lineRule="auto"/>
              <w:ind w:firstLine="0"/>
              <w:jc w:val="center"/>
              <w:rPr>
                <w:sz w:val="17"/>
                <w:szCs w:val="17"/>
              </w:rPr>
            </w:pPr>
            <w:r w:rsidRPr="00DA2F4A">
              <w:rPr>
                <w:sz w:val="17"/>
                <w:szCs w:val="17"/>
              </w:rPr>
              <w:t>55</w:t>
            </w:r>
            <w:r w:rsidR="00B402C3" w:rsidRPr="00DA2F4A">
              <w:rPr>
                <w:sz w:val="17"/>
                <w:szCs w:val="17"/>
              </w:rPr>
              <w:t xml:space="preserve"> </w:t>
            </w:r>
            <w:r w:rsidRPr="00DA2F4A">
              <w:rPr>
                <w:sz w:val="17"/>
                <w:szCs w:val="17"/>
              </w:rPr>
              <w:t>-</w:t>
            </w:r>
            <w:r w:rsidR="00B402C3" w:rsidRPr="00DA2F4A">
              <w:rPr>
                <w:sz w:val="17"/>
                <w:szCs w:val="17"/>
              </w:rPr>
              <w:t xml:space="preserve"> </w:t>
            </w:r>
            <w:r w:rsidRPr="00DA2F4A">
              <w:rPr>
                <w:sz w:val="17"/>
                <w:szCs w:val="17"/>
              </w:rPr>
              <w:t>61</w:t>
            </w:r>
          </w:p>
        </w:tc>
        <w:tc>
          <w:tcPr>
            <w:tcW w:w="798" w:type="dxa"/>
            <w:vAlign w:val="center"/>
          </w:tcPr>
          <w:p w:rsidR="00206885" w:rsidRPr="00DA2F4A" w:rsidRDefault="00206885" w:rsidP="00DA2F4A">
            <w:pPr>
              <w:spacing w:after="0" w:line="276" w:lineRule="auto"/>
              <w:ind w:right="-95" w:hanging="112"/>
              <w:jc w:val="center"/>
              <w:rPr>
                <w:sz w:val="17"/>
                <w:szCs w:val="17"/>
              </w:rPr>
            </w:pPr>
            <w:r w:rsidRPr="00DA2F4A">
              <w:rPr>
                <w:sz w:val="17"/>
                <w:szCs w:val="17"/>
              </w:rPr>
              <w:t>1.4 - 2.0</w:t>
            </w:r>
          </w:p>
        </w:tc>
        <w:tc>
          <w:tcPr>
            <w:tcW w:w="920" w:type="dxa"/>
            <w:vAlign w:val="center"/>
          </w:tcPr>
          <w:p w:rsidR="00206885" w:rsidRPr="00DA2F4A" w:rsidRDefault="00386DBB" w:rsidP="00DA2F4A">
            <w:pPr>
              <w:spacing w:after="0" w:line="276" w:lineRule="auto"/>
              <w:ind w:right="-62" w:hanging="39"/>
              <w:jc w:val="center"/>
              <w:rPr>
                <w:sz w:val="17"/>
                <w:szCs w:val="17"/>
              </w:rPr>
            </w:pPr>
            <w:r w:rsidRPr="00DA2F4A">
              <w:rPr>
                <w:sz w:val="17"/>
                <w:szCs w:val="17"/>
              </w:rPr>
              <w:t>97 - 138</w:t>
            </w:r>
          </w:p>
        </w:tc>
        <w:tc>
          <w:tcPr>
            <w:tcW w:w="634" w:type="dxa"/>
            <w:vAlign w:val="center"/>
          </w:tcPr>
          <w:p w:rsidR="00206885" w:rsidRPr="00DA2F4A" w:rsidRDefault="00206885" w:rsidP="00DA2F4A">
            <w:pPr>
              <w:spacing w:after="0" w:line="276" w:lineRule="auto"/>
              <w:ind w:firstLine="0"/>
              <w:jc w:val="center"/>
              <w:rPr>
                <w:sz w:val="17"/>
                <w:szCs w:val="17"/>
              </w:rPr>
            </w:pPr>
            <w:r w:rsidRPr="00DA2F4A">
              <w:rPr>
                <w:sz w:val="17"/>
                <w:szCs w:val="17"/>
              </w:rPr>
              <w:t>124</w:t>
            </w:r>
          </w:p>
        </w:tc>
        <w:tc>
          <w:tcPr>
            <w:tcW w:w="839" w:type="dxa"/>
            <w:vAlign w:val="center"/>
          </w:tcPr>
          <w:p w:rsidR="00206885" w:rsidRPr="00DA2F4A" w:rsidRDefault="00206885" w:rsidP="00DA2F4A">
            <w:pPr>
              <w:spacing w:after="0" w:line="276" w:lineRule="auto"/>
              <w:ind w:firstLine="0"/>
              <w:jc w:val="center"/>
              <w:rPr>
                <w:sz w:val="17"/>
                <w:szCs w:val="17"/>
              </w:rPr>
            </w:pPr>
            <w:r w:rsidRPr="00DA2F4A">
              <w:rPr>
                <w:sz w:val="17"/>
                <w:szCs w:val="17"/>
              </w:rPr>
              <w:t>9.</w:t>
            </w:r>
            <w:r w:rsidR="00386DBB" w:rsidRPr="00DA2F4A">
              <w:rPr>
                <w:sz w:val="17"/>
                <w:szCs w:val="17"/>
              </w:rPr>
              <w:t>5</w:t>
            </w:r>
          </w:p>
        </w:tc>
      </w:tr>
      <w:tr w:rsidR="00206885" w:rsidRPr="00DA2F4A" w:rsidTr="00FD7CC1">
        <w:trPr>
          <w:trHeight w:val="567"/>
        </w:trPr>
        <w:tc>
          <w:tcPr>
            <w:tcW w:w="1246" w:type="dxa"/>
            <w:vAlign w:val="center"/>
          </w:tcPr>
          <w:p w:rsidR="00206885" w:rsidRDefault="00206885" w:rsidP="00DA2F4A">
            <w:pPr>
              <w:spacing w:after="0" w:line="276" w:lineRule="auto"/>
              <w:ind w:right="-108" w:firstLine="0"/>
              <w:jc w:val="left"/>
              <w:rPr>
                <w:sz w:val="17"/>
                <w:szCs w:val="17"/>
              </w:rPr>
            </w:pPr>
            <w:r w:rsidRPr="00DA2F4A">
              <w:rPr>
                <w:sz w:val="17"/>
                <w:szCs w:val="17"/>
              </w:rPr>
              <w:t>Chester</w:t>
            </w:r>
            <w:r w:rsidRPr="00DA2F4A">
              <w:rPr>
                <w:sz w:val="17"/>
                <w:szCs w:val="17"/>
                <w:vertAlign w:val="superscript"/>
              </w:rPr>
              <w:t xml:space="preserve"> </w:t>
            </w:r>
            <w:r w:rsidRPr="00DA2F4A">
              <w:rPr>
                <w:sz w:val="17"/>
                <w:szCs w:val="17"/>
              </w:rPr>
              <w:t>(2008)</w:t>
            </w:r>
          </w:p>
          <w:p w:rsidR="007A44CF" w:rsidRPr="00DA2F4A" w:rsidRDefault="007A44CF" w:rsidP="00DA2F4A">
            <w:pPr>
              <w:spacing w:after="0" w:line="276" w:lineRule="auto"/>
              <w:ind w:right="-108" w:firstLine="0"/>
              <w:jc w:val="left"/>
              <w:rPr>
                <w:sz w:val="17"/>
                <w:szCs w:val="17"/>
              </w:rPr>
            </w:pPr>
            <w:r>
              <w:rPr>
                <w:sz w:val="17"/>
                <w:szCs w:val="17"/>
              </w:rPr>
              <w:t>(USA)</w:t>
            </w:r>
          </w:p>
        </w:tc>
        <w:tc>
          <w:tcPr>
            <w:tcW w:w="839" w:type="dxa"/>
            <w:vAlign w:val="center"/>
          </w:tcPr>
          <w:p w:rsidR="00206885" w:rsidRPr="00DA2F4A" w:rsidRDefault="00206885" w:rsidP="00DA2F4A">
            <w:pPr>
              <w:spacing w:after="0" w:line="276" w:lineRule="auto"/>
              <w:ind w:firstLine="0"/>
              <w:jc w:val="center"/>
              <w:rPr>
                <w:sz w:val="17"/>
                <w:szCs w:val="17"/>
              </w:rPr>
            </w:pPr>
            <w:r w:rsidRPr="00DA2F4A">
              <w:rPr>
                <w:sz w:val="17"/>
                <w:szCs w:val="17"/>
              </w:rPr>
              <w:t>2.9</w:t>
            </w:r>
          </w:p>
        </w:tc>
        <w:tc>
          <w:tcPr>
            <w:tcW w:w="1112" w:type="dxa"/>
            <w:vAlign w:val="center"/>
          </w:tcPr>
          <w:p w:rsidR="00206885" w:rsidRPr="00DA2F4A" w:rsidRDefault="00206885" w:rsidP="00DA2F4A">
            <w:pPr>
              <w:spacing w:after="0" w:line="276" w:lineRule="auto"/>
              <w:ind w:firstLine="0"/>
              <w:jc w:val="center"/>
              <w:rPr>
                <w:sz w:val="17"/>
                <w:szCs w:val="17"/>
              </w:rPr>
            </w:pPr>
            <w:r w:rsidRPr="00DA2F4A">
              <w:rPr>
                <w:sz w:val="17"/>
                <w:szCs w:val="17"/>
              </w:rPr>
              <w:t>236.2</w:t>
            </w:r>
          </w:p>
        </w:tc>
        <w:tc>
          <w:tcPr>
            <w:tcW w:w="933" w:type="dxa"/>
            <w:vAlign w:val="center"/>
          </w:tcPr>
          <w:p w:rsidR="00206885" w:rsidRPr="00DA2F4A" w:rsidRDefault="00206885" w:rsidP="00DA2F4A">
            <w:pPr>
              <w:tabs>
                <w:tab w:val="clear" w:pos="0"/>
                <w:tab w:val="left" w:pos="-108"/>
              </w:tabs>
              <w:spacing w:after="0" w:line="276" w:lineRule="auto"/>
              <w:ind w:left="-18" w:right="-108" w:firstLine="0"/>
              <w:jc w:val="center"/>
              <w:rPr>
                <w:sz w:val="17"/>
                <w:szCs w:val="17"/>
              </w:rPr>
            </w:pPr>
            <w:r w:rsidRPr="00DA2F4A">
              <w:rPr>
                <w:sz w:val="17"/>
                <w:szCs w:val="17"/>
              </w:rPr>
              <w:t>0.7 - 5.5</w:t>
            </w:r>
            <w:r w:rsidRPr="00DA2F4A">
              <w:rPr>
                <w:sz w:val="17"/>
                <w:szCs w:val="17"/>
                <w:vertAlign w:val="superscript"/>
              </w:rPr>
              <w:t>(a)</w:t>
            </w:r>
          </w:p>
        </w:tc>
        <w:tc>
          <w:tcPr>
            <w:tcW w:w="929" w:type="dxa"/>
            <w:vAlign w:val="center"/>
          </w:tcPr>
          <w:p w:rsidR="00206885" w:rsidRPr="00DA2F4A" w:rsidRDefault="00206885" w:rsidP="00DA2F4A">
            <w:pPr>
              <w:spacing w:after="0" w:line="276" w:lineRule="auto"/>
              <w:ind w:right="-67" w:hanging="81"/>
              <w:jc w:val="center"/>
              <w:rPr>
                <w:sz w:val="17"/>
                <w:szCs w:val="17"/>
              </w:rPr>
            </w:pPr>
            <w:r w:rsidRPr="00DA2F4A">
              <w:rPr>
                <w:sz w:val="17"/>
                <w:szCs w:val="17"/>
              </w:rPr>
              <w:t>53 - 422</w:t>
            </w:r>
            <w:r w:rsidRPr="00DA2F4A">
              <w:rPr>
                <w:sz w:val="17"/>
                <w:szCs w:val="17"/>
                <w:vertAlign w:val="superscript"/>
              </w:rPr>
              <w:t>(a)</w:t>
            </w:r>
          </w:p>
        </w:tc>
        <w:tc>
          <w:tcPr>
            <w:tcW w:w="858" w:type="dxa"/>
            <w:vAlign w:val="center"/>
          </w:tcPr>
          <w:p w:rsidR="00206885" w:rsidRPr="00DA2F4A" w:rsidRDefault="00206885" w:rsidP="00DA2F4A">
            <w:pPr>
              <w:tabs>
                <w:tab w:val="clear" w:pos="0"/>
                <w:tab w:val="left" w:pos="-239"/>
              </w:tabs>
              <w:spacing w:after="0" w:line="276" w:lineRule="auto"/>
              <w:ind w:left="-59" w:right="-108" w:firstLine="0"/>
              <w:jc w:val="center"/>
              <w:rPr>
                <w:sz w:val="17"/>
                <w:szCs w:val="17"/>
              </w:rPr>
            </w:pPr>
            <w:r w:rsidRPr="00DA2F4A">
              <w:rPr>
                <w:sz w:val="17"/>
                <w:szCs w:val="17"/>
              </w:rPr>
              <w:t>1.2 - 1.9</w:t>
            </w:r>
            <w:r w:rsidRPr="00DA2F4A">
              <w:rPr>
                <w:sz w:val="17"/>
                <w:szCs w:val="17"/>
                <w:vertAlign w:val="superscript"/>
              </w:rPr>
              <w:t>(b)</w:t>
            </w:r>
          </w:p>
        </w:tc>
        <w:tc>
          <w:tcPr>
            <w:tcW w:w="923" w:type="dxa"/>
            <w:vAlign w:val="center"/>
          </w:tcPr>
          <w:p w:rsidR="00206885" w:rsidRPr="00DA2F4A" w:rsidRDefault="00206885" w:rsidP="00DA2F4A">
            <w:pPr>
              <w:tabs>
                <w:tab w:val="clear" w:pos="0"/>
                <w:tab w:val="left" w:pos="-224"/>
              </w:tabs>
              <w:spacing w:after="0" w:line="276" w:lineRule="auto"/>
              <w:ind w:left="-68" w:right="-104" w:firstLine="0"/>
              <w:jc w:val="center"/>
              <w:rPr>
                <w:sz w:val="17"/>
                <w:szCs w:val="17"/>
              </w:rPr>
            </w:pPr>
            <w:r w:rsidRPr="00DA2F4A">
              <w:rPr>
                <w:sz w:val="17"/>
                <w:szCs w:val="17"/>
              </w:rPr>
              <w:t>81 - 143</w:t>
            </w:r>
            <w:r w:rsidRPr="00DA2F4A">
              <w:rPr>
                <w:sz w:val="17"/>
                <w:szCs w:val="17"/>
                <w:vertAlign w:val="superscript"/>
              </w:rPr>
              <w:t>(b)</w:t>
            </w:r>
          </w:p>
        </w:tc>
        <w:tc>
          <w:tcPr>
            <w:tcW w:w="798" w:type="dxa"/>
            <w:vAlign w:val="center"/>
          </w:tcPr>
          <w:p w:rsidR="00206885" w:rsidRPr="00DA2F4A" w:rsidRDefault="00206885" w:rsidP="00DA2F4A">
            <w:pPr>
              <w:spacing w:after="0" w:line="276" w:lineRule="auto"/>
              <w:ind w:firstLine="0"/>
              <w:jc w:val="center"/>
              <w:rPr>
                <w:sz w:val="17"/>
                <w:szCs w:val="17"/>
              </w:rPr>
            </w:pPr>
            <w:r w:rsidRPr="00DA2F4A">
              <w:rPr>
                <w:sz w:val="17"/>
                <w:szCs w:val="17"/>
              </w:rPr>
              <w:t>1.7</w:t>
            </w:r>
          </w:p>
        </w:tc>
        <w:tc>
          <w:tcPr>
            <w:tcW w:w="920" w:type="dxa"/>
            <w:vAlign w:val="center"/>
          </w:tcPr>
          <w:p w:rsidR="00206885" w:rsidRPr="00DA2F4A" w:rsidRDefault="00206885" w:rsidP="00DA2F4A">
            <w:pPr>
              <w:spacing w:after="0" w:line="276" w:lineRule="auto"/>
              <w:ind w:firstLine="0"/>
              <w:jc w:val="center"/>
              <w:rPr>
                <w:sz w:val="17"/>
                <w:szCs w:val="17"/>
              </w:rPr>
            </w:pPr>
            <w:r w:rsidRPr="00DA2F4A">
              <w:rPr>
                <w:sz w:val="17"/>
                <w:szCs w:val="17"/>
              </w:rPr>
              <w:t>109</w:t>
            </w:r>
          </w:p>
        </w:tc>
        <w:tc>
          <w:tcPr>
            <w:tcW w:w="634" w:type="dxa"/>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839" w:type="dxa"/>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r>
      <w:tr w:rsidR="00CB0BEA" w:rsidRPr="00DA2F4A" w:rsidTr="00FD7CC1">
        <w:trPr>
          <w:trHeight w:val="704"/>
        </w:trPr>
        <w:tc>
          <w:tcPr>
            <w:tcW w:w="1246" w:type="dxa"/>
          </w:tcPr>
          <w:p w:rsidR="00023D36" w:rsidRDefault="00CB0BEA" w:rsidP="00DA2F4A">
            <w:pPr>
              <w:spacing w:after="0" w:line="276" w:lineRule="auto"/>
              <w:ind w:firstLine="0"/>
              <w:rPr>
                <w:sz w:val="17"/>
                <w:szCs w:val="17"/>
              </w:rPr>
            </w:pPr>
            <w:r>
              <w:rPr>
                <w:sz w:val="17"/>
                <w:szCs w:val="17"/>
              </w:rPr>
              <w:t>Girardi</w:t>
            </w:r>
            <w:r w:rsidR="00023D36">
              <w:rPr>
                <w:sz w:val="17"/>
                <w:szCs w:val="17"/>
              </w:rPr>
              <w:t xml:space="preserve"> </w:t>
            </w:r>
            <w:r>
              <w:rPr>
                <w:sz w:val="17"/>
                <w:szCs w:val="17"/>
              </w:rPr>
              <w:t>et</w:t>
            </w:r>
          </w:p>
          <w:p w:rsidR="00CB0BEA" w:rsidRDefault="00CB0BEA" w:rsidP="00DA2F4A">
            <w:pPr>
              <w:spacing w:after="0" w:line="276" w:lineRule="auto"/>
              <w:ind w:firstLine="0"/>
              <w:rPr>
                <w:sz w:val="17"/>
                <w:szCs w:val="17"/>
              </w:rPr>
            </w:pPr>
            <w:r>
              <w:rPr>
                <w:sz w:val="17"/>
                <w:szCs w:val="17"/>
              </w:rPr>
              <w:t>al.</w:t>
            </w:r>
          </w:p>
          <w:p w:rsidR="00CB0BEA" w:rsidRDefault="00CB0BEA" w:rsidP="00DA2F4A">
            <w:pPr>
              <w:spacing w:after="0" w:line="276" w:lineRule="auto"/>
              <w:ind w:firstLine="0"/>
              <w:rPr>
                <w:sz w:val="17"/>
                <w:szCs w:val="17"/>
              </w:rPr>
            </w:pPr>
            <w:r>
              <w:rPr>
                <w:sz w:val="17"/>
                <w:szCs w:val="17"/>
              </w:rPr>
              <w:t>(2015)</w:t>
            </w:r>
          </w:p>
          <w:p w:rsidR="007A44CF" w:rsidRPr="00DA2F4A" w:rsidRDefault="007A44CF" w:rsidP="00DA2F4A">
            <w:pPr>
              <w:spacing w:after="0" w:line="276" w:lineRule="auto"/>
              <w:ind w:firstLine="0"/>
              <w:rPr>
                <w:sz w:val="17"/>
                <w:szCs w:val="17"/>
              </w:rPr>
            </w:pPr>
            <w:r>
              <w:rPr>
                <w:sz w:val="17"/>
                <w:szCs w:val="17"/>
              </w:rPr>
              <w:t>(Italy)</w:t>
            </w:r>
          </w:p>
        </w:tc>
        <w:tc>
          <w:tcPr>
            <w:tcW w:w="839" w:type="dxa"/>
            <w:vAlign w:val="center"/>
          </w:tcPr>
          <w:p w:rsidR="00CB0BEA" w:rsidRPr="00DA2F4A" w:rsidRDefault="00CB0BEA" w:rsidP="00DA2F4A">
            <w:pPr>
              <w:spacing w:after="0" w:line="276" w:lineRule="auto"/>
              <w:ind w:firstLine="0"/>
              <w:jc w:val="center"/>
              <w:rPr>
                <w:sz w:val="17"/>
                <w:szCs w:val="17"/>
              </w:rPr>
            </w:pPr>
            <w:r>
              <w:rPr>
                <w:sz w:val="17"/>
                <w:szCs w:val="17"/>
              </w:rPr>
              <w:t>3.1</w:t>
            </w:r>
            <w:r w:rsidRPr="00DA2F4A">
              <w:rPr>
                <w:sz w:val="17"/>
                <w:szCs w:val="17"/>
                <w:vertAlign w:val="superscript"/>
              </w:rPr>
              <w:t>(</w:t>
            </w:r>
            <w:r>
              <w:rPr>
                <w:sz w:val="17"/>
                <w:szCs w:val="17"/>
                <w:vertAlign w:val="superscript"/>
              </w:rPr>
              <w:t>c</w:t>
            </w:r>
            <w:r w:rsidRPr="00DA2F4A">
              <w:rPr>
                <w:sz w:val="17"/>
                <w:szCs w:val="17"/>
                <w:vertAlign w:val="superscript"/>
              </w:rPr>
              <w:t>)</w:t>
            </w:r>
          </w:p>
        </w:tc>
        <w:tc>
          <w:tcPr>
            <w:tcW w:w="1112" w:type="dxa"/>
            <w:vAlign w:val="center"/>
          </w:tcPr>
          <w:p w:rsidR="00CB0BEA" w:rsidRPr="00DA2F4A" w:rsidRDefault="00CB0BEA" w:rsidP="00DA2F4A">
            <w:pPr>
              <w:spacing w:after="0" w:line="276" w:lineRule="auto"/>
              <w:ind w:firstLine="0"/>
              <w:jc w:val="center"/>
              <w:rPr>
                <w:sz w:val="17"/>
                <w:szCs w:val="17"/>
              </w:rPr>
            </w:pPr>
            <w:r>
              <w:rPr>
                <w:sz w:val="17"/>
                <w:szCs w:val="17"/>
              </w:rPr>
              <w:t>205</w:t>
            </w:r>
            <w:r w:rsidRPr="00DA2F4A">
              <w:rPr>
                <w:sz w:val="17"/>
                <w:szCs w:val="17"/>
                <w:vertAlign w:val="superscript"/>
              </w:rPr>
              <w:t>(</w:t>
            </w:r>
            <w:r>
              <w:rPr>
                <w:sz w:val="17"/>
                <w:szCs w:val="17"/>
                <w:vertAlign w:val="superscript"/>
              </w:rPr>
              <w:t>c</w:t>
            </w:r>
            <w:r w:rsidRPr="00DA2F4A">
              <w:rPr>
                <w:sz w:val="17"/>
                <w:szCs w:val="17"/>
                <w:vertAlign w:val="superscript"/>
              </w:rPr>
              <w:t>)</w:t>
            </w:r>
          </w:p>
        </w:tc>
        <w:tc>
          <w:tcPr>
            <w:tcW w:w="933" w:type="dxa"/>
            <w:vAlign w:val="center"/>
          </w:tcPr>
          <w:p w:rsidR="00CB0BEA" w:rsidRPr="00DA2F4A" w:rsidRDefault="00023D36" w:rsidP="00DA2F4A">
            <w:pPr>
              <w:spacing w:after="0" w:line="276" w:lineRule="auto"/>
              <w:ind w:firstLine="0"/>
              <w:jc w:val="center"/>
              <w:rPr>
                <w:sz w:val="17"/>
                <w:szCs w:val="17"/>
              </w:rPr>
            </w:pPr>
            <w:r>
              <w:rPr>
                <w:sz w:val="17"/>
                <w:szCs w:val="17"/>
              </w:rPr>
              <w:t>-</w:t>
            </w:r>
          </w:p>
        </w:tc>
        <w:tc>
          <w:tcPr>
            <w:tcW w:w="929" w:type="dxa"/>
            <w:vAlign w:val="center"/>
          </w:tcPr>
          <w:p w:rsidR="00CB0BEA" w:rsidRPr="00DA2F4A" w:rsidRDefault="00023D36" w:rsidP="00DA2F4A">
            <w:pPr>
              <w:spacing w:after="0" w:line="276" w:lineRule="auto"/>
              <w:ind w:firstLine="0"/>
              <w:jc w:val="center"/>
              <w:rPr>
                <w:sz w:val="17"/>
                <w:szCs w:val="17"/>
              </w:rPr>
            </w:pPr>
            <w:r>
              <w:rPr>
                <w:sz w:val="17"/>
                <w:szCs w:val="17"/>
              </w:rPr>
              <w:t>-</w:t>
            </w:r>
          </w:p>
        </w:tc>
        <w:tc>
          <w:tcPr>
            <w:tcW w:w="858" w:type="dxa"/>
            <w:vAlign w:val="center"/>
          </w:tcPr>
          <w:p w:rsidR="00CB0BEA" w:rsidRPr="00DA2F4A" w:rsidRDefault="00023D36" w:rsidP="00DA2F4A">
            <w:pPr>
              <w:spacing w:after="0" w:line="276" w:lineRule="auto"/>
              <w:ind w:firstLine="0"/>
              <w:jc w:val="center"/>
              <w:rPr>
                <w:sz w:val="17"/>
                <w:szCs w:val="17"/>
              </w:rPr>
            </w:pPr>
            <w:r>
              <w:rPr>
                <w:sz w:val="17"/>
                <w:szCs w:val="17"/>
              </w:rPr>
              <w:t>-</w:t>
            </w:r>
          </w:p>
        </w:tc>
        <w:tc>
          <w:tcPr>
            <w:tcW w:w="923" w:type="dxa"/>
            <w:vAlign w:val="center"/>
          </w:tcPr>
          <w:p w:rsidR="00CB0BEA" w:rsidRPr="00DA2F4A" w:rsidRDefault="00023D36" w:rsidP="00DA2F4A">
            <w:pPr>
              <w:spacing w:after="0" w:line="276" w:lineRule="auto"/>
              <w:ind w:firstLine="0"/>
              <w:jc w:val="center"/>
              <w:rPr>
                <w:sz w:val="17"/>
                <w:szCs w:val="17"/>
              </w:rPr>
            </w:pPr>
            <w:r>
              <w:rPr>
                <w:sz w:val="17"/>
                <w:szCs w:val="17"/>
              </w:rPr>
              <w:t>-</w:t>
            </w:r>
          </w:p>
        </w:tc>
        <w:tc>
          <w:tcPr>
            <w:tcW w:w="798" w:type="dxa"/>
            <w:vAlign w:val="center"/>
          </w:tcPr>
          <w:p w:rsidR="00CB0BEA" w:rsidRPr="00DA2F4A" w:rsidRDefault="00023D36" w:rsidP="00DA2F4A">
            <w:pPr>
              <w:spacing w:after="0" w:line="276" w:lineRule="auto"/>
              <w:ind w:firstLine="0"/>
              <w:jc w:val="center"/>
              <w:rPr>
                <w:sz w:val="17"/>
                <w:szCs w:val="17"/>
              </w:rPr>
            </w:pPr>
            <w:r>
              <w:rPr>
                <w:sz w:val="17"/>
                <w:szCs w:val="17"/>
              </w:rPr>
              <w:t>-</w:t>
            </w:r>
          </w:p>
        </w:tc>
        <w:tc>
          <w:tcPr>
            <w:tcW w:w="920" w:type="dxa"/>
            <w:vAlign w:val="center"/>
          </w:tcPr>
          <w:p w:rsidR="00CB0BEA" w:rsidRPr="00DA2F4A" w:rsidRDefault="00023D36" w:rsidP="00DA2F4A">
            <w:pPr>
              <w:spacing w:after="0" w:line="276" w:lineRule="auto"/>
              <w:ind w:firstLine="0"/>
              <w:jc w:val="center"/>
              <w:rPr>
                <w:sz w:val="17"/>
                <w:szCs w:val="17"/>
              </w:rPr>
            </w:pPr>
            <w:r>
              <w:rPr>
                <w:sz w:val="17"/>
                <w:szCs w:val="17"/>
              </w:rPr>
              <w:t>-</w:t>
            </w:r>
          </w:p>
        </w:tc>
        <w:tc>
          <w:tcPr>
            <w:tcW w:w="634" w:type="dxa"/>
            <w:vAlign w:val="center"/>
          </w:tcPr>
          <w:p w:rsidR="00CB0BEA" w:rsidRPr="00DA2F4A" w:rsidRDefault="00023D36" w:rsidP="00DA2F4A">
            <w:pPr>
              <w:spacing w:after="0" w:line="276" w:lineRule="auto"/>
              <w:ind w:firstLine="0"/>
              <w:jc w:val="center"/>
              <w:rPr>
                <w:sz w:val="17"/>
                <w:szCs w:val="17"/>
              </w:rPr>
            </w:pPr>
            <w:r>
              <w:rPr>
                <w:sz w:val="17"/>
                <w:szCs w:val="17"/>
              </w:rPr>
              <w:t>-</w:t>
            </w:r>
          </w:p>
        </w:tc>
        <w:tc>
          <w:tcPr>
            <w:tcW w:w="839" w:type="dxa"/>
            <w:vAlign w:val="center"/>
          </w:tcPr>
          <w:p w:rsidR="00CB0BEA" w:rsidRPr="00DA2F4A" w:rsidRDefault="00023D36" w:rsidP="00DA2F4A">
            <w:pPr>
              <w:spacing w:after="0" w:line="276" w:lineRule="auto"/>
              <w:ind w:firstLine="0"/>
              <w:jc w:val="center"/>
              <w:rPr>
                <w:sz w:val="17"/>
                <w:szCs w:val="17"/>
              </w:rPr>
            </w:pPr>
            <w:r>
              <w:rPr>
                <w:sz w:val="17"/>
                <w:szCs w:val="17"/>
              </w:rPr>
              <w:t>-</w:t>
            </w:r>
          </w:p>
        </w:tc>
      </w:tr>
      <w:tr w:rsidR="00CA3CF8" w:rsidRPr="00DA2F4A" w:rsidTr="00FD7CC1">
        <w:trPr>
          <w:trHeight w:val="704"/>
        </w:trPr>
        <w:tc>
          <w:tcPr>
            <w:tcW w:w="1246" w:type="dxa"/>
            <w:vAlign w:val="center"/>
          </w:tcPr>
          <w:p w:rsidR="00CA3CF8" w:rsidRDefault="00CA3CF8" w:rsidP="00A330D4">
            <w:pPr>
              <w:spacing w:after="0" w:line="276" w:lineRule="auto"/>
              <w:ind w:firstLine="0"/>
              <w:jc w:val="left"/>
              <w:rPr>
                <w:sz w:val="17"/>
                <w:szCs w:val="17"/>
              </w:rPr>
            </w:pPr>
            <w:r>
              <w:rPr>
                <w:sz w:val="17"/>
                <w:szCs w:val="17"/>
              </w:rPr>
              <w:t>Ercan &amp; Tatari (2015)</w:t>
            </w:r>
          </w:p>
          <w:p w:rsidR="007A44CF" w:rsidRDefault="007A55A7" w:rsidP="00A330D4">
            <w:pPr>
              <w:spacing w:after="0" w:line="276" w:lineRule="auto"/>
              <w:ind w:firstLine="0"/>
              <w:jc w:val="left"/>
              <w:rPr>
                <w:sz w:val="17"/>
                <w:szCs w:val="17"/>
              </w:rPr>
            </w:pPr>
            <w:r>
              <w:rPr>
                <w:sz w:val="17"/>
                <w:szCs w:val="17"/>
              </w:rPr>
              <w:t>(USA)</w:t>
            </w:r>
          </w:p>
        </w:tc>
        <w:tc>
          <w:tcPr>
            <w:tcW w:w="839" w:type="dxa"/>
            <w:vAlign w:val="center"/>
          </w:tcPr>
          <w:p w:rsidR="00CA3CF8" w:rsidRDefault="00CA3CF8" w:rsidP="00DA2F4A">
            <w:pPr>
              <w:spacing w:after="0" w:line="276" w:lineRule="auto"/>
              <w:ind w:firstLine="0"/>
              <w:jc w:val="center"/>
              <w:rPr>
                <w:sz w:val="17"/>
                <w:szCs w:val="17"/>
              </w:rPr>
            </w:pPr>
            <w:r>
              <w:rPr>
                <w:sz w:val="17"/>
                <w:szCs w:val="17"/>
              </w:rPr>
              <w:t>-</w:t>
            </w:r>
          </w:p>
        </w:tc>
        <w:tc>
          <w:tcPr>
            <w:tcW w:w="1112" w:type="dxa"/>
            <w:vAlign w:val="center"/>
          </w:tcPr>
          <w:p w:rsidR="00CA3CF8" w:rsidRDefault="00CA3CF8" w:rsidP="00DA2F4A">
            <w:pPr>
              <w:spacing w:after="0" w:line="276" w:lineRule="auto"/>
              <w:ind w:firstLine="0"/>
              <w:jc w:val="center"/>
              <w:rPr>
                <w:sz w:val="17"/>
                <w:szCs w:val="17"/>
              </w:rPr>
            </w:pPr>
            <w:r>
              <w:rPr>
                <w:sz w:val="17"/>
                <w:szCs w:val="17"/>
              </w:rPr>
              <w:t>-</w:t>
            </w:r>
          </w:p>
        </w:tc>
        <w:tc>
          <w:tcPr>
            <w:tcW w:w="933" w:type="dxa"/>
            <w:vAlign w:val="center"/>
          </w:tcPr>
          <w:p w:rsidR="00CA3CF8" w:rsidRDefault="00CA3CF8" w:rsidP="00DA2F4A">
            <w:pPr>
              <w:spacing w:after="0" w:line="276" w:lineRule="auto"/>
              <w:ind w:firstLine="0"/>
              <w:jc w:val="center"/>
              <w:rPr>
                <w:sz w:val="17"/>
                <w:szCs w:val="17"/>
              </w:rPr>
            </w:pPr>
            <w:r>
              <w:rPr>
                <w:sz w:val="17"/>
                <w:szCs w:val="17"/>
              </w:rPr>
              <w:t>-</w:t>
            </w:r>
          </w:p>
        </w:tc>
        <w:tc>
          <w:tcPr>
            <w:tcW w:w="929" w:type="dxa"/>
            <w:vAlign w:val="center"/>
          </w:tcPr>
          <w:p w:rsidR="00CA3CF8" w:rsidRDefault="00CA3CF8" w:rsidP="00A330D4">
            <w:pPr>
              <w:spacing w:after="0" w:line="276" w:lineRule="auto"/>
              <w:ind w:right="-60" w:hanging="65"/>
              <w:jc w:val="center"/>
              <w:rPr>
                <w:sz w:val="17"/>
                <w:szCs w:val="17"/>
              </w:rPr>
            </w:pPr>
            <w:r>
              <w:rPr>
                <w:sz w:val="17"/>
                <w:szCs w:val="17"/>
              </w:rPr>
              <w:t>140 - 196</w:t>
            </w:r>
            <w:r w:rsidRPr="00A330D4">
              <w:rPr>
                <w:sz w:val="17"/>
                <w:szCs w:val="17"/>
                <w:vertAlign w:val="superscript"/>
              </w:rPr>
              <w:t>(d)</w:t>
            </w:r>
          </w:p>
        </w:tc>
        <w:tc>
          <w:tcPr>
            <w:tcW w:w="858" w:type="dxa"/>
            <w:vAlign w:val="center"/>
          </w:tcPr>
          <w:p w:rsidR="00CA3CF8" w:rsidRDefault="00CA3CF8" w:rsidP="00DA2F4A">
            <w:pPr>
              <w:spacing w:after="0" w:line="276" w:lineRule="auto"/>
              <w:ind w:firstLine="0"/>
              <w:jc w:val="center"/>
              <w:rPr>
                <w:sz w:val="17"/>
                <w:szCs w:val="17"/>
              </w:rPr>
            </w:pPr>
            <w:r>
              <w:rPr>
                <w:sz w:val="17"/>
                <w:szCs w:val="17"/>
              </w:rPr>
              <w:t>-</w:t>
            </w:r>
          </w:p>
        </w:tc>
        <w:tc>
          <w:tcPr>
            <w:tcW w:w="923" w:type="dxa"/>
            <w:vAlign w:val="center"/>
          </w:tcPr>
          <w:p w:rsidR="00CA3CF8" w:rsidRDefault="00CA3CF8" w:rsidP="00DA2F4A">
            <w:pPr>
              <w:spacing w:after="0" w:line="276" w:lineRule="auto"/>
              <w:ind w:firstLine="0"/>
              <w:jc w:val="center"/>
              <w:rPr>
                <w:sz w:val="17"/>
                <w:szCs w:val="17"/>
              </w:rPr>
            </w:pPr>
            <w:r>
              <w:rPr>
                <w:sz w:val="17"/>
                <w:szCs w:val="17"/>
              </w:rPr>
              <w:t>-</w:t>
            </w:r>
          </w:p>
        </w:tc>
        <w:tc>
          <w:tcPr>
            <w:tcW w:w="798" w:type="dxa"/>
            <w:vAlign w:val="center"/>
          </w:tcPr>
          <w:p w:rsidR="00CA3CF8" w:rsidRDefault="00CA3CF8" w:rsidP="00DA2F4A">
            <w:pPr>
              <w:spacing w:after="0" w:line="276" w:lineRule="auto"/>
              <w:ind w:firstLine="0"/>
              <w:jc w:val="center"/>
              <w:rPr>
                <w:sz w:val="17"/>
                <w:szCs w:val="17"/>
              </w:rPr>
            </w:pPr>
            <w:r>
              <w:rPr>
                <w:sz w:val="17"/>
                <w:szCs w:val="17"/>
              </w:rPr>
              <w:t>-</w:t>
            </w:r>
          </w:p>
        </w:tc>
        <w:tc>
          <w:tcPr>
            <w:tcW w:w="920" w:type="dxa"/>
            <w:vAlign w:val="center"/>
          </w:tcPr>
          <w:p w:rsidR="00CA3CF8" w:rsidRDefault="00CA3CF8" w:rsidP="00DA2F4A">
            <w:pPr>
              <w:spacing w:after="0" w:line="276" w:lineRule="auto"/>
              <w:ind w:firstLine="0"/>
              <w:jc w:val="center"/>
              <w:rPr>
                <w:sz w:val="17"/>
                <w:szCs w:val="17"/>
              </w:rPr>
            </w:pPr>
            <w:r>
              <w:rPr>
                <w:sz w:val="17"/>
                <w:szCs w:val="17"/>
              </w:rPr>
              <w:t>-</w:t>
            </w:r>
          </w:p>
        </w:tc>
        <w:tc>
          <w:tcPr>
            <w:tcW w:w="634" w:type="dxa"/>
            <w:vAlign w:val="center"/>
          </w:tcPr>
          <w:p w:rsidR="00CA3CF8" w:rsidRDefault="00CA3CF8" w:rsidP="00DA2F4A">
            <w:pPr>
              <w:spacing w:after="0" w:line="276" w:lineRule="auto"/>
              <w:ind w:firstLine="0"/>
              <w:jc w:val="center"/>
              <w:rPr>
                <w:sz w:val="17"/>
                <w:szCs w:val="17"/>
              </w:rPr>
            </w:pPr>
            <w:r>
              <w:rPr>
                <w:sz w:val="17"/>
                <w:szCs w:val="17"/>
              </w:rPr>
              <w:t>-</w:t>
            </w:r>
          </w:p>
        </w:tc>
        <w:tc>
          <w:tcPr>
            <w:tcW w:w="839" w:type="dxa"/>
            <w:vAlign w:val="center"/>
          </w:tcPr>
          <w:p w:rsidR="00CA3CF8" w:rsidRDefault="00CA3CF8" w:rsidP="00DA2F4A">
            <w:pPr>
              <w:spacing w:after="0" w:line="276" w:lineRule="auto"/>
              <w:ind w:firstLine="0"/>
              <w:jc w:val="center"/>
              <w:rPr>
                <w:sz w:val="17"/>
                <w:szCs w:val="17"/>
              </w:rPr>
            </w:pPr>
            <w:r>
              <w:rPr>
                <w:sz w:val="17"/>
                <w:szCs w:val="17"/>
              </w:rPr>
              <w:t>-</w:t>
            </w:r>
          </w:p>
        </w:tc>
      </w:tr>
      <w:tr w:rsidR="00023D36" w:rsidRPr="00DA2F4A" w:rsidTr="00FD7CC1">
        <w:trPr>
          <w:trHeight w:val="540"/>
        </w:trPr>
        <w:tc>
          <w:tcPr>
            <w:tcW w:w="1246" w:type="dxa"/>
            <w:vAlign w:val="center"/>
          </w:tcPr>
          <w:p w:rsidR="00023D36" w:rsidRDefault="00023D36">
            <w:pPr>
              <w:spacing w:after="0" w:line="276" w:lineRule="auto"/>
              <w:ind w:firstLine="0"/>
              <w:jc w:val="left"/>
              <w:rPr>
                <w:sz w:val="17"/>
                <w:szCs w:val="17"/>
                <w:vertAlign w:val="superscript"/>
              </w:rPr>
            </w:pPr>
            <w:r>
              <w:rPr>
                <w:sz w:val="17"/>
                <w:szCs w:val="17"/>
              </w:rPr>
              <w:t>Cherry et al. (2009)</w:t>
            </w:r>
            <w:r w:rsidRPr="00023D36">
              <w:rPr>
                <w:sz w:val="17"/>
                <w:szCs w:val="17"/>
                <w:vertAlign w:val="superscript"/>
              </w:rPr>
              <w:t>(</w:t>
            </w:r>
            <w:r w:rsidR="00CA3CF8">
              <w:rPr>
                <w:sz w:val="17"/>
                <w:szCs w:val="17"/>
                <w:vertAlign w:val="superscript"/>
              </w:rPr>
              <w:t>e</w:t>
            </w:r>
            <w:r w:rsidRPr="00023D36">
              <w:rPr>
                <w:sz w:val="17"/>
                <w:szCs w:val="17"/>
                <w:vertAlign w:val="superscript"/>
              </w:rPr>
              <w:t>)</w:t>
            </w:r>
          </w:p>
          <w:p w:rsidR="007A55A7" w:rsidRPr="007A55A7" w:rsidRDefault="007A55A7">
            <w:pPr>
              <w:spacing w:after="0" w:line="276" w:lineRule="auto"/>
              <w:ind w:firstLine="0"/>
              <w:jc w:val="left"/>
              <w:rPr>
                <w:sz w:val="17"/>
                <w:szCs w:val="17"/>
              </w:rPr>
            </w:pPr>
            <w:r>
              <w:rPr>
                <w:sz w:val="17"/>
                <w:szCs w:val="17"/>
              </w:rPr>
              <w:t>(China)</w:t>
            </w:r>
          </w:p>
        </w:tc>
        <w:tc>
          <w:tcPr>
            <w:tcW w:w="839" w:type="dxa"/>
            <w:vAlign w:val="center"/>
          </w:tcPr>
          <w:p w:rsidR="00023D36" w:rsidRPr="00DA2F4A" w:rsidRDefault="00023D36" w:rsidP="00023D36">
            <w:pPr>
              <w:spacing w:after="0" w:line="276" w:lineRule="auto"/>
              <w:ind w:firstLine="0"/>
              <w:jc w:val="center"/>
              <w:rPr>
                <w:sz w:val="17"/>
                <w:szCs w:val="17"/>
              </w:rPr>
            </w:pPr>
            <w:r>
              <w:rPr>
                <w:sz w:val="17"/>
                <w:szCs w:val="17"/>
              </w:rPr>
              <w:t>-</w:t>
            </w:r>
          </w:p>
        </w:tc>
        <w:tc>
          <w:tcPr>
            <w:tcW w:w="1112" w:type="dxa"/>
            <w:vAlign w:val="center"/>
          </w:tcPr>
          <w:p w:rsidR="00023D36" w:rsidRPr="00DA2F4A" w:rsidRDefault="00023D36" w:rsidP="00023D36">
            <w:pPr>
              <w:spacing w:after="0" w:line="276" w:lineRule="auto"/>
              <w:ind w:firstLine="0"/>
              <w:jc w:val="center"/>
              <w:rPr>
                <w:sz w:val="17"/>
                <w:szCs w:val="17"/>
              </w:rPr>
            </w:pPr>
            <w:r w:rsidRPr="00FD7CC1">
              <w:rPr>
                <w:sz w:val="17"/>
                <w:szCs w:val="17"/>
              </w:rPr>
              <w:t>268</w:t>
            </w:r>
          </w:p>
        </w:tc>
        <w:tc>
          <w:tcPr>
            <w:tcW w:w="933" w:type="dxa"/>
            <w:vAlign w:val="center"/>
          </w:tcPr>
          <w:p w:rsidR="00023D36" w:rsidRPr="00DA2F4A" w:rsidRDefault="00023D36" w:rsidP="00023D36">
            <w:pPr>
              <w:spacing w:after="0" w:line="276" w:lineRule="auto"/>
              <w:ind w:firstLine="0"/>
              <w:jc w:val="center"/>
              <w:rPr>
                <w:sz w:val="17"/>
                <w:szCs w:val="17"/>
              </w:rPr>
            </w:pPr>
            <w:r>
              <w:rPr>
                <w:sz w:val="17"/>
                <w:szCs w:val="17"/>
              </w:rPr>
              <w:t>-</w:t>
            </w:r>
          </w:p>
        </w:tc>
        <w:tc>
          <w:tcPr>
            <w:tcW w:w="929" w:type="dxa"/>
            <w:vAlign w:val="center"/>
          </w:tcPr>
          <w:p w:rsidR="00023D36" w:rsidRPr="00DA2F4A" w:rsidRDefault="00FD7CC1" w:rsidP="00023D36">
            <w:pPr>
              <w:spacing w:after="0" w:line="276" w:lineRule="auto"/>
              <w:ind w:firstLine="0"/>
              <w:jc w:val="center"/>
              <w:rPr>
                <w:sz w:val="17"/>
                <w:szCs w:val="17"/>
              </w:rPr>
            </w:pPr>
            <w:r>
              <w:rPr>
                <w:sz w:val="17"/>
                <w:szCs w:val="17"/>
              </w:rPr>
              <w:t>151</w:t>
            </w:r>
          </w:p>
        </w:tc>
        <w:tc>
          <w:tcPr>
            <w:tcW w:w="858" w:type="dxa"/>
            <w:vAlign w:val="center"/>
          </w:tcPr>
          <w:p w:rsidR="00023D36" w:rsidRPr="00DA2F4A" w:rsidRDefault="00023D36" w:rsidP="00023D36">
            <w:pPr>
              <w:spacing w:after="0" w:line="276" w:lineRule="auto"/>
              <w:ind w:firstLine="0"/>
              <w:jc w:val="center"/>
              <w:rPr>
                <w:sz w:val="17"/>
                <w:szCs w:val="17"/>
              </w:rPr>
            </w:pPr>
            <w:r>
              <w:rPr>
                <w:sz w:val="17"/>
                <w:szCs w:val="17"/>
              </w:rPr>
              <w:t>-</w:t>
            </w:r>
          </w:p>
        </w:tc>
        <w:tc>
          <w:tcPr>
            <w:tcW w:w="923" w:type="dxa"/>
            <w:vAlign w:val="center"/>
          </w:tcPr>
          <w:p w:rsidR="00023D36" w:rsidRPr="00DA2F4A" w:rsidRDefault="00023D36" w:rsidP="00023D36">
            <w:pPr>
              <w:spacing w:after="0" w:line="276" w:lineRule="auto"/>
              <w:ind w:firstLine="0"/>
              <w:jc w:val="center"/>
              <w:rPr>
                <w:sz w:val="17"/>
                <w:szCs w:val="17"/>
              </w:rPr>
            </w:pPr>
            <w:r>
              <w:rPr>
                <w:sz w:val="17"/>
                <w:szCs w:val="17"/>
              </w:rPr>
              <w:t>-</w:t>
            </w:r>
          </w:p>
        </w:tc>
        <w:tc>
          <w:tcPr>
            <w:tcW w:w="798" w:type="dxa"/>
            <w:vAlign w:val="center"/>
          </w:tcPr>
          <w:p w:rsidR="00023D36" w:rsidRPr="00DA2F4A" w:rsidRDefault="00023D36" w:rsidP="00023D36">
            <w:pPr>
              <w:spacing w:after="0" w:line="276" w:lineRule="auto"/>
              <w:ind w:firstLine="0"/>
              <w:jc w:val="center"/>
              <w:rPr>
                <w:sz w:val="17"/>
                <w:szCs w:val="17"/>
              </w:rPr>
            </w:pPr>
            <w:r>
              <w:rPr>
                <w:sz w:val="17"/>
                <w:szCs w:val="17"/>
              </w:rPr>
              <w:t>-</w:t>
            </w:r>
          </w:p>
        </w:tc>
        <w:tc>
          <w:tcPr>
            <w:tcW w:w="920" w:type="dxa"/>
            <w:vAlign w:val="center"/>
          </w:tcPr>
          <w:p w:rsidR="00023D36" w:rsidRPr="00DA2F4A" w:rsidRDefault="00023D36" w:rsidP="00023D36">
            <w:pPr>
              <w:spacing w:after="0" w:line="276" w:lineRule="auto"/>
              <w:ind w:firstLine="0"/>
              <w:jc w:val="center"/>
              <w:rPr>
                <w:sz w:val="17"/>
                <w:szCs w:val="17"/>
              </w:rPr>
            </w:pPr>
            <w:r>
              <w:rPr>
                <w:sz w:val="17"/>
                <w:szCs w:val="17"/>
              </w:rPr>
              <w:t>15</w:t>
            </w:r>
            <w:r w:rsidR="00FA037E">
              <w:rPr>
                <w:sz w:val="17"/>
                <w:szCs w:val="17"/>
              </w:rPr>
              <w:t>4</w:t>
            </w:r>
          </w:p>
        </w:tc>
        <w:tc>
          <w:tcPr>
            <w:tcW w:w="634" w:type="dxa"/>
            <w:vAlign w:val="center"/>
          </w:tcPr>
          <w:p w:rsidR="00023D36" w:rsidRPr="00DA2F4A" w:rsidRDefault="00023D36" w:rsidP="0012625A">
            <w:pPr>
              <w:spacing w:after="0" w:line="276" w:lineRule="auto"/>
              <w:ind w:firstLine="0"/>
              <w:jc w:val="center"/>
              <w:rPr>
                <w:sz w:val="17"/>
                <w:szCs w:val="17"/>
              </w:rPr>
            </w:pPr>
            <w:r>
              <w:rPr>
                <w:sz w:val="17"/>
                <w:szCs w:val="17"/>
              </w:rPr>
              <w:t>-</w:t>
            </w:r>
          </w:p>
        </w:tc>
        <w:tc>
          <w:tcPr>
            <w:tcW w:w="839" w:type="dxa"/>
            <w:vAlign w:val="center"/>
          </w:tcPr>
          <w:p w:rsidR="00023D36" w:rsidRPr="00DA2F4A" w:rsidRDefault="00023D36" w:rsidP="00FD7CC1">
            <w:pPr>
              <w:spacing w:after="0" w:line="276" w:lineRule="auto"/>
              <w:ind w:firstLine="0"/>
              <w:jc w:val="center"/>
              <w:rPr>
                <w:sz w:val="17"/>
                <w:szCs w:val="17"/>
              </w:rPr>
            </w:pPr>
            <w:r>
              <w:rPr>
                <w:sz w:val="17"/>
                <w:szCs w:val="17"/>
              </w:rPr>
              <w:t>6.</w:t>
            </w:r>
            <w:r w:rsidR="00FD7CC1">
              <w:rPr>
                <w:sz w:val="17"/>
                <w:szCs w:val="17"/>
              </w:rPr>
              <w:t>3</w:t>
            </w:r>
          </w:p>
        </w:tc>
      </w:tr>
      <w:tr w:rsidR="00D97AAF" w:rsidRPr="00DA2F4A" w:rsidTr="00FD7CC1">
        <w:trPr>
          <w:trHeight w:val="556"/>
        </w:trPr>
        <w:tc>
          <w:tcPr>
            <w:tcW w:w="1246" w:type="dxa"/>
            <w:vAlign w:val="center"/>
          </w:tcPr>
          <w:p w:rsidR="00D97AAF" w:rsidRDefault="00D97AAF">
            <w:pPr>
              <w:spacing w:after="0" w:line="276" w:lineRule="auto"/>
              <w:ind w:firstLine="0"/>
              <w:jc w:val="left"/>
              <w:rPr>
                <w:sz w:val="17"/>
                <w:szCs w:val="17"/>
                <w:vertAlign w:val="superscript"/>
              </w:rPr>
            </w:pPr>
            <w:r>
              <w:rPr>
                <w:sz w:val="17"/>
                <w:szCs w:val="17"/>
              </w:rPr>
              <w:t xml:space="preserve">Sanchez </w:t>
            </w:r>
            <w:r w:rsidR="00CA3CF8">
              <w:rPr>
                <w:sz w:val="17"/>
                <w:szCs w:val="17"/>
              </w:rPr>
              <w:t>e</w:t>
            </w:r>
            <w:r>
              <w:rPr>
                <w:sz w:val="17"/>
                <w:szCs w:val="17"/>
              </w:rPr>
              <w:t>t al. (2013)</w:t>
            </w:r>
            <w:r w:rsidR="00CA3CF8">
              <w:rPr>
                <w:sz w:val="17"/>
                <w:szCs w:val="17"/>
                <w:vertAlign w:val="superscript"/>
              </w:rPr>
              <w:t>(d</w:t>
            </w:r>
            <w:r w:rsidRPr="0012625A">
              <w:rPr>
                <w:sz w:val="17"/>
                <w:szCs w:val="17"/>
                <w:vertAlign w:val="superscript"/>
              </w:rPr>
              <w:t>)</w:t>
            </w:r>
          </w:p>
          <w:p w:rsidR="007A55A7" w:rsidRPr="007A55A7" w:rsidRDefault="007A55A7">
            <w:pPr>
              <w:spacing w:after="0" w:line="276" w:lineRule="auto"/>
              <w:ind w:firstLine="0"/>
              <w:jc w:val="left"/>
              <w:rPr>
                <w:sz w:val="17"/>
                <w:szCs w:val="17"/>
              </w:rPr>
            </w:pPr>
            <w:r>
              <w:rPr>
                <w:sz w:val="17"/>
                <w:szCs w:val="17"/>
              </w:rPr>
              <w:t>(Spain)</w:t>
            </w:r>
          </w:p>
        </w:tc>
        <w:tc>
          <w:tcPr>
            <w:tcW w:w="839" w:type="dxa"/>
            <w:vAlign w:val="center"/>
          </w:tcPr>
          <w:p w:rsidR="00D97AAF" w:rsidRPr="00DA2F4A" w:rsidRDefault="00D97AAF" w:rsidP="00DA2F4A">
            <w:pPr>
              <w:spacing w:after="0" w:line="276" w:lineRule="auto"/>
              <w:ind w:firstLine="0"/>
              <w:jc w:val="center"/>
              <w:rPr>
                <w:sz w:val="17"/>
                <w:szCs w:val="17"/>
              </w:rPr>
            </w:pPr>
            <w:r>
              <w:rPr>
                <w:sz w:val="17"/>
                <w:szCs w:val="17"/>
              </w:rPr>
              <w:t>-</w:t>
            </w:r>
          </w:p>
        </w:tc>
        <w:tc>
          <w:tcPr>
            <w:tcW w:w="1112" w:type="dxa"/>
            <w:vAlign w:val="center"/>
          </w:tcPr>
          <w:p w:rsidR="00D97AAF" w:rsidRPr="00DA2F4A" w:rsidRDefault="00D97AAF" w:rsidP="00DA2F4A">
            <w:pPr>
              <w:spacing w:after="0" w:line="276" w:lineRule="auto"/>
              <w:ind w:firstLine="0"/>
              <w:jc w:val="center"/>
              <w:rPr>
                <w:sz w:val="17"/>
                <w:szCs w:val="17"/>
              </w:rPr>
            </w:pPr>
            <w:r>
              <w:rPr>
                <w:sz w:val="17"/>
                <w:szCs w:val="17"/>
              </w:rPr>
              <w:t>-</w:t>
            </w:r>
          </w:p>
        </w:tc>
        <w:tc>
          <w:tcPr>
            <w:tcW w:w="933" w:type="dxa"/>
            <w:vAlign w:val="center"/>
          </w:tcPr>
          <w:p w:rsidR="00D97AAF" w:rsidRPr="00DA2F4A" w:rsidRDefault="00D97AAF" w:rsidP="00DA2F4A">
            <w:pPr>
              <w:spacing w:after="0" w:line="276" w:lineRule="auto"/>
              <w:ind w:firstLine="0"/>
              <w:jc w:val="center"/>
              <w:rPr>
                <w:sz w:val="17"/>
                <w:szCs w:val="17"/>
              </w:rPr>
            </w:pPr>
            <w:r>
              <w:rPr>
                <w:sz w:val="17"/>
                <w:szCs w:val="17"/>
              </w:rPr>
              <w:t>1.1</w:t>
            </w:r>
          </w:p>
        </w:tc>
        <w:tc>
          <w:tcPr>
            <w:tcW w:w="929" w:type="dxa"/>
            <w:vAlign w:val="center"/>
          </w:tcPr>
          <w:p w:rsidR="00D97AAF" w:rsidRPr="00DA2F4A" w:rsidRDefault="00D97AAF" w:rsidP="00DA2F4A">
            <w:pPr>
              <w:spacing w:after="0" w:line="276" w:lineRule="auto"/>
              <w:ind w:firstLine="0"/>
              <w:jc w:val="center"/>
              <w:rPr>
                <w:sz w:val="17"/>
                <w:szCs w:val="17"/>
              </w:rPr>
            </w:pPr>
            <w:r>
              <w:rPr>
                <w:sz w:val="17"/>
                <w:szCs w:val="17"/>
              </w:rPr>
              <w:t>84</w:t>
            </w:r>
          </w:p>
        </w:tc>
        <w:tc>
          <w:tcPr>
            <w:tcW w:w="858" w:type="dxa"/>
            <w:vAlign w:val="center"/>
          </w:tcPr>
          <w:p w:rsidR="00D97AAF" w:rsidRPr="00DA2F4A" w:rsidRDefault="00D97AAF" w:rsidP="00DA2F4A">
            <w:pPr>
              <w:spacing w:after="0" w:line="276" w:lineRule="auto"/>
              <w:ind w:firstLine="0"/>
              <w:jc w:val="center"/>
              <w:rPr>
                <w:sz w:val="17"/>
                <w:szCs w:val="17"/>
              </w:rPr>
            </w:pPr>
            <w:r>
              <w:rPr>
                <w:sz w:val="17"/>
                <w:szCs w:val="17"/>
              </w:rPr>
              <w:t>-</w:t>
            </w:r>
          </w:p>
        </w:tc>
        <w:tc>
          <w:tcPr>
            <w:tcW w:w="923" w:type="dxa"/>
            <w:vAlign w:val="center"/>
          </w:tcPr>
          <w:p w:rsidR="00D97AAF" w:rsidRPr="00DA2F4A" w:rsidRDefault="00D97AAF" w:rsidP="00DA2F4A">
            <w:pPr>
              <w:spacing w:after="0" w:line="276" w:lineRule="auto"/>
              <w:ind w:firstLine="0"/>
              <w:jc w:val="center"/>
              <w:rPr>
                <w:sz w:val="17"/>
                <w:szCs w:val="17"/>
              </w:rPr>
            </w:pPr>
            <w:r>
              <w:rPr>
                <w:sz w:val="17"/>
                <w:szCs w:val="17"/>
              </w:rPr>
              <w:t>-</w:t>
            </w:r>
          </w:p>
        </w:tc>
        <w:tc>
          <w:tcPr>
            <w:tcW w:w="798" w:type="dxa"/>
            <w:vAlign w:val="center"/>
          </w:tcPr>
          <w:p w:rsidR="00D97AAF" w:rsidRPr="00DA2F4A" w:rsidRDefault="00D97AAF" w:rsidP="00DA2F4A">
            <w:pPr>
              <w:spacing w:after="0" w:line="276" w:lineRule="auto"/>
              <w:ind w:firstLine="0"/>
              <w:jc w:val="center"/>
              <w:rPr>
                <w:sz w:val="17"/>
                <w:szCs w:val="17"/>
              </w:rPr>
            </w:pPr>
            <w:r>
              <w:rPr>
                <w:sz w:val="17"/>
                <w:szCs w:val="17"/>
              </w:rPr>
              <w:t>-</w:t>
            </w:r>
          </w:p>
        </w:tc>
        <w:tc>
          <w:tcPr>
            <w:tcW w:w="920" w:type="dxa"/>
            <w:vAlign w:val="center"/>
          </w:tcPr>
          <w:p w:rsidR="00D97AAF" w:rsidRPr="00DA2F4A" w:rsidRDefault="00D97AAF" w:rsidP="00DA2F4A">
            <w:pPr>
              <w:spacing w:after="0" w:line="276" w:lineRule="auto"/>
              <w:ind w:firstLine="0"/>
              <w:jc w:val="center"/>
              <w:rPr>
                <w:sz w:val="17"/>
                <w:szCs w:val="17"/>
              </w:rPr>
            </w:pPr>
            <w:r>
              <w:rPr>
                <w:sz w:val="17"/>
                <w:szCs w:val="17"/>
              </w:rPr>
              <w:t>-</w:t>
            </w:r>
          </w:p>
        </w:tc>
        <w:tc>
          <w:tcPr>
            <w:tcW w:w="634" w:type="dxa"/>
            <w:vAlign w:val="center"/>
          </w:tcPr>
          <w:p w:rsidR="00D97AAF" w:rsidRPr="00DA2F4A" w:rsidRDefault="00D97AAF" w:rsidP="00DA2F4A">
            <w:pPr>
              <w:spacing w:after="0" w:line="276" w:lineRule="auto"/>
              <w:ind w:firstLine="0"/>
              <w:jc w:val="center"/>
              <w:rPr>
                <w:sz w:val="17"/>
                <w:szCs w:val="17"/>
              </w:rPr>
            </w:pPr>
            <w:r>
              <w:rPr>
                <w:sz w:val="17"/>
                <w:szCs w:val="17"/>
              </w:rPr>
              <w:t>-</w:t>
            </w:r>
          </w:p>
        </w:tc>
        <w:tc>
          <w:tcPr>
            <w:tcW w:w="839" w:type="dxa"/>
            <w:vAlign w:val="center"/>
          </w:tcPr>
          <w:p w:rsidR="00D97AAF" w:rsidRPr="00DA2F4A" w:rsidRDefault="00D97AAF" w:rsidP="00023D36">
            <w:pPr>
              <w:spacing w:after="0" w:line="276" w:lineRule="auto"/>
              <w:ind w:firstLine="0"/>
              <w:jc w:val="center"/>
              <w:rPr>
                <w:sz w:val="17"/>
                <w:szCs w:val="17"/>
              </w:rPr>
            </w:pPr>
            <w:r>
              <w:rPr>
                <w:sz w:val="17"/>
                <w:szCs w:val="17"/>
              </w:rPr>
              <w:t>-</w:t>
            </w:r>
          </w:p>
        </w:tc>
      </w:tr>
      <w:tr w:rsidR="00CA3CF8" w:rsidRPr="00DA2F4A" w:rsidTr="00FD7CC1">
        <w:trPr>
          <w:trHeight w:val="450"/>
        </w:trPr>
        <w:tc>
          <w:tcPr>
            <w:tcW w:w="1246" w:type="dxa"/>
          </w:tcPr>
          <w:p w:rsidR="00CA3CF8" w:rsidRDefault="00CA3CF8" w:rsidP="00CA3CF8">
            <w:pPr>
              <w:spacing w:after="0" w:line="276" w:lineRule="auto"/>
              <w:ind w:firstLine="0"/>
              <w:rPr>
                <w:sz w:val="17"/>
                <w:szCs w:val="17"/>
              </w:rPr>
            </w:pPr>
            <w:r w:rsidRPr="00DA2F4A">
              <w:rPr>
                <w:sz w:val="17"/>
                <w:szCs w:val="17"/>
              </w:rPr>
              <w:t>Engelmoer (2012)</w:t>
            </w:r>
          </w:p>
          <w:p w:rsidR="007A55A7" w:rsidRPr="00DA2F4A" w:rsidRDefault="007A55A7" w:rsidP="00CA3CF8">
            <w:pPr>
              <w:spacing w:after="0" w:line="276" w:lineRule="auto"/>
              <w:ind w:firstLine="0"/>
              <w:rPr>
                <w:sz w:val="17"/>
                <w:szCs w:val="17"/>
              </w:rPr>
            </w:pPr>
            <w:r>
              <w:rPr>
                <w:sz w:val="17"/>
                <w:szCs w:val="17"/>
              </w:rPr>
              <w:t>(Netherlands)</w:t>
            </w:r>
          </w:p>
        </w:tc>
        <w:tc>
          <w:tcPr>
            <w:tcW w:w="839"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c>
          <w:tcPr>
            <w:tcW w:w="1112"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c>
          <w:tcPr>
            <w:tcW w:w="933"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c>
          <w:tcPr>
            <w:tcW w:w="929"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c>
          <w:tcPr>
            <w:tcW w:w="858"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c>
          <w:tcPr>
            <w:tcW w:w="923"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c>
          <w:tcPr>
            <w:tcW w:w="798"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c>
          <w:tcPr>
            <w:tcW w:w="920"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c>
          <w:tcPr>
            <w:tcW w:w="634" w:type="dxa"/>
            <w:vAlign w:val="center"/>
          </w:tcPr>
          <w:p w:rsidR="00CA3CF8" w:rsidRPr="00DA2F4A" w:rsidRDefault="00CA3CF8" w:rsidP="00CA3CF8">
            <w:pPr>
              <w:spacing w:after="0" w:line="276" w:lineRule="auto"/>
              <w:ind w:firstLine="0"/>
              <w:jc w:val="center"/>
              <w:rPr>
                <w:sz w:val="17"/>
                <w:szCs w:val="17"/>
              </w:rPr>
            </w:pPr>
            <w:r w:rsidRPr="00DA2F4A">
              <w:rPr>
                <w:sz w:val="17"/>
                <w:szCs w:val="17"/>
              </w:rPr>
              <w:t>176</w:t>
            </w:r>
          </w:p>
        </w:tc>
        <w:tc>
          <w:tcPr>
            <w:tcW w:w="839" w:type="dxa"/>
            <w:vAlign w:val="center"/>
          </w:tcPr>
          <w:p w:rsidR="00CA3CF8" w:rsidRPr="00DA2F4A" w:rsidRDefault="00CA3CF8" w:rsidP="00CA3CF8">
            <w:pPr>
              <w:spacing w:after="0" w:line="276" w:lineRule="auto"/>
              <w:ind w:firstLine="0"/>
              <w:jc w:val="center"/>
              <w:rPr>
                <w:sz w:val="17"/>
                <w:szCs w:val="17"/>
              </w:rPr>
            </w:pPr>
            <w:r w:rsidRPr="00DA2F4A">
              <w:rPr>
                <w:sz w:val="17"/>
                <w:szCs w:val="17"/>
              </w:rPr>
              <w:t>-</w:t>
            </w:r>
          </w:p>
        </w:tc>
      </w:tr>
      <w:tr w:rsidR="00206885" w:rsidRPr="00DA2F4A" w:rsidTr="00FD7CC1">
        <w:trPr>
          <w:trHeight w:val="657"/>
        </w:trPr>
        <w:tc>
          <w:tcPr>
            <w:tcW w:w="1246" w:type="dxa"/>
            <w:tcBorders>
              <w:bottom w:val="single" w:sz="4" w:space="0" w:color="auto"/>
            </w:tcBorders>
          </w:tcPr>
          <w:p w:rsidR="00206885" w:rsidRDefault="00206885" w:rsidP="00DA2F4A">
            <w:pPr>
              <w:spacing w:after="0" w:line="276" w:lineRule="auto"/>
              <w:ind w:firstLine="0"/>
              <w:jc w:val="left"/>
              <w:rPr>
                <w:sz w:val="17"/>
                <w:szCs w:val="17"/>
              </w:rPr>
            </w:pPr>
            <w:r w:rsidRPr="00DA2F4A">
              <w:rPr>
                <w:sz w:val="17"/>
                <w:szCs w:val="17"/>
              </w:rPr>
              <w:t>Shibahara et al.</w:t>
            </w:r>
            <w:r w:rsidRPr="00DA2F4A">
              <w:rPr>
                <w:sz w:val="17"/>
                <w:szCs w:val="17"/>
                <w:vertAlign w:val="superscript"/>
              </w:rPr>
              <w:t xml:space="preserve"> </w:t>
            </w:r>
            <w:r w:rsidR="00B402C3" w:rsidRPr="00DA2F4A">
              <w:rPr>
                <w:sz w:val="17"/>
                <w:szCs w:val="17"/>
              </w:rPr>
              <w:t>(20</w:t>
            </w:r>
            <w:r w:rsidRPr="00DA2F4A">
              <w:rPr>
                <w:sz w:val="17"/>
                <w:szCs w:val="17"/>
              </w:rPr>
              <w:t>13)</w:t>
            </w:r>
          </w:p>
          <w:p w:rsidR="007A55A7" w:rsidRPr="00DA2F4A" w:rsidRDefault="007A55A7" w:rsidP="00DA2F4A">
            <w:pPr>
              <w:spacing w:after="0" w:line="276" w:lineRule="auto"/>
              <w:ind w:firstLine="0"/>
              <w:jc w:val="left"/>
              <w:rPr>
                <w:sz w:val="17"/>
                <w:szCs w:val="17"/>
              </w:rPr>
            </w:pPr>
            <w:r>
              <w:rPr>
                <w:sz w:val="17"/>
                <w:szCs w:val="17"/>
              </w:rPr>
              <w:t>(Japan)</w:t>
            </w:r>
          </w:p>
        </w:tc>
        <w:tc>
          <w:tcPr>
            <w:tcW w:w="839"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1112"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933"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929"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858"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923"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798"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920"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634" w:type="dxa"/>
            <w:tcBorders>
              <w:bottom w:val="single" w:sz="4" w:space="0" w:color="auto"/>
            </w:tcBorders>
            <w:vAlign w:val="center"/>
          </w:tcPr>
          <w:p w:rsidR="00206885" w:rsidRPr="00DA2F4A" w:rsidRDefault="00206885" w:rsidP="00DA2F4A">
            <w:pPr>
              <w:spacing w:after="0" w:line="276" w:lineRule="auto"/>
              <w:ind w:firstLine="0"/>
              <w:jc w:val="center"/>
              <w:rPr>
                <w:sz w:val="17"/>
                <w:szCs w:val="17"/>
              </w:rPr>
            </w:pPr>
            <w:r w:rsidRPr="00DA2F4A">
              <w:rPr>
                <w:sz w:val="17"/>
                <w:szCs w:val="17"/>
              </w:rPr>
              <w:t>-</w:t>
            </w:r>
          </w:p>
        </w:tc>
        <w:tc>
          <w:tcPr>
            <w:tcW w:w="839" w:type="dxa"/>
            <w:tcBorders>
              <w:bottom w:val="single" w:sz="4" w:space="0" w:color="auto"/>
            </w:tcBorders>
            <w:vAlign w:val="center"/>
          </w:tcPr>
          <w:p w:rsidR="00206885" w:rsidRPr="00DA2F4A" w:rsidRDefault="00206885" w:rsidP="00023D36">
            <w:pPr>
              <w:spacing w:after="0" w:line="276" w:lineRule="auto"/>
              <w:ind w:firstLine="0"/>
              <w:jc w:val="center"/>
              <w:rPr>
                <w:sz w:val="17"/>
                <w:szCs w:val="17"/>
              </w:rPr>
            </w:pPr>
            <w:r w:rsidRPr="00DA2F4A">
              <w:rPr>
                <w:sz w:val="17"/>
                <w:szCs w:val="17"/>
              </w:rPr>
              <w:t>20</w:t>
            </w:r>
            <w:r w:rsidR="00DA2F4A" w:rsidRPr="00DA2F4A">
              <w:rPr>
                <w:sz w:val="17"/>
                <w:szCs w:val="17"/>
                <w:vertAlign w:val="superscript"/>
              </w:rPr>
              <w:t>(</w:t>
            </w:r>
            <w:r w:rsidR="00D97AAF">
              <w:rPr>
                <w:sz w:val="17"/>
                <w:szCs w:val="17"/>
                <w:vertAlign w:val="superscript"/>
              </w:rPr>
              <w:t>f</w:t>
            </w:r>
            <w:r w:rsidRPr="00DA2F4A">
              <w:rPr>
                <w:sz w:val="17"/>
                <w:szCs w:val="17"/>
                <w:vertAlign w:val="superscript"/>
              </w:rPr>
              <w:t>)</w:t>
            </w:r>
          </w:p>
        </w:tc>
      </w:tr>
    </w:tbl>
    <w:p w:rsidR="002C3190" w:rsidRPr="00240196" w:rsidRDefault="00100654" w:rsidP="00240196">
      <w:pPr>
        <w:spacing w:after="0" w:line="276" w:lineRule="auto"/>
        <w:ind w:firstLine="0"/>
        <w:rPr>
          <w:sz w:val="16"/>
          <w:szCs w:val="16"/>
        </w:rPr>
      </w:pPr>
      <w:r w:rsidRPr="00240196">
        <w:rPr>
          <w:sz w:val="16"/>
          <w:szCs w:val="16"/>
          <w:vertAlign w:val="superscript"/>
        </w:rPr>
        <w:t xml:space="preserve">(a) </w:t>
      </w:r>
      <w:r w:rsidRPr="00240196">
        <w:rPr>
          <w:sz w:val="16"/>
          <w:szCs w:val="16"/>
        </w:rPr>
        <w:t>the study provided peak and off-peak results, i.e., the authors distinguished a period of more intensive use and a low occupancy period</w:t>
      </w:r>
    </w:p>
    <w:p w:rsidR="00DA2F4A" w:rsidRPr="00240196" w:rsidRDefault="001D192D" w:rsidP="00240196">
      <w:pPr>
        <w:spacing w:after="0" w:line="276" w:lineRule="auto"/>
        <w:ind w:firstLine="0"/>
        <w:rPr>
          <w:sz w:val="16"/>
          <w:szCs w:val="16"/>
        </w:rPr>
      </w:pPr>
      <w:r w:rsidRPr="00240196">
        <w:rPr>
          <w:sz w:val="16"/>
          <w:szCs w:val="16"/>
          <w:vertAlign w:val="superscript"/>
        </w:rPr>
        <w:t xml:space="preserve">(b) </w:t>
      </w:r>
      <w:r w:rsidRPr="00240196">
        <w:rPr>
          <w:sz w:val="16"/>
          <w:szCs w:val="16"/>
        </w:rPr>
        <w:t>the range covers result for five rail systems</w:t>
      </w:r>
    </w:p>
    <w:p w:rsidR="00D97AAF" w:rsidRDefault="00D50538" w:rsidP="00240196">
      <w:pPr>
        <w:spacing w:after="0" w:line="276" w:lineRule="auto"/>
        <w:ind w:firstLine="0"/>
        <w:rPr>
          <w:sz w:val="16"/>
          <w:szCs w:val="16"/>
        </w:rPr>
      </w:pPr>
      <w:r w:rsidRPr="00240196">
        <w:rPr>
          <w:sz w:val="16"/>
          <w:szCs w:val="16"/>
          <w:vertAlign w:val="superscript"/>
        </w:rPr>
        <w:t>(</w:t>
      </w:r>
      <w:r w:rsidR="000C4CA5" w:rsidRPr="00240196">
        <w:rPr>
          <w:sz w:val="16"/>
          <w:szCs w:val="16"/>
          <w:vertAlign w:val="superscript"/>
        </w:rPr>
        <w:t>c</w:t>
      </w:r>
      <w:r w:rsidRPr="00240196">
        <w:rPr>
          <w:sz w:val="16"/>
          <w:szCs w:val="16"/>
          <w:vertAlign w:val="superscript"/>
        </w:rPr>
        <w:t xml:space="preserve">) </w:t>
      </w:r>
      <w:r w:rsidR="00CB0BEA" w:rsidRPr="00240196">
        <w:rPr>
          <w:sz w:val="16"/>
          <w:szCs w:val="16"/>
        </w:rPr>
        <w:t>values adjusted to our vehicle service life and occupancy</w:t>
      </w:r>
    </w:p>
    <w:p w:rsidR="00CA3CF8" w:rsidRDefault="00D97AAF" w:rsidP="00240196">
      <w:pPr>
        <w:spacing w:after="0" w:line="276" w:lineRule="auto"/>
        <w:ind w:firstLine="0"/>
        <w:rPr>
          <w:sz w:val="16"/>
          <w:szCs w:val="16"/>
        </w:rPr>
      </w:pPr>
      <w:r w:rsidRPr="00240196">
        <w:rPr>
          <w:sz w:val="16"/>
          <w:szCs w:val="16"/>
          <w:vertAlign w:val="superscript"/>
        </w:rPr>
        <w:t>(</w:t>
      </w:r>
      <w:r w:rsidR="00CA3CF8">
        <w:rPr>
          <w:sz w:val="16"/>
          <w:szCs w:val="16"/>
          <w:vertAlign w:val="superscript"/>
        </w:rPr>
        <w:t>d</w:t>
      </w:r>
      <w:r w:rsidRPr="00240196">
        <w:rPr>
          <w:sz w:val="16"/>
          <w:szCs w:val="16"/>
          <w:vertAlign w:val="superscript"/>
        </w:rPr>
        <w:t xml:space="preserve">) </w:t>
      </w:r>
      <w:r>
        <w:rPr>
          <w:sz w:val="16"/>
          <w:szCs w:val="16"/>
        </w:rPr>
        <w:t>values derived from results per VKT assuming occupancy of 20 people</w:t>
      </w:r>
    </w:p>
    <w:p w:rsidR="00023D36" w:rsidRPr="00240196" w:rsidRDefault="00CA3CF8" w:rsidP="00240196">
      <w:pPr>
        <w:spacing w:after="0" w:line="276" w:lineRule="auto"/>
        <w:ind w:firstLine="0"/>
        <w:rPr>
          <w:sz w:val="16"/>
          <w:szCs w:val="16"/>
        </w:rPr>
      </w:pPr>
      <w:r w:rsidRPr="00240196">
        <w:rPr>
          <w:sz w:val="16"/>
          <w:szCs w:val="16"/>
          <w:vertAlign w:val="superscript"/>
        </w:rPr>
        <w:t>(</w:t>
      </w:r>
      <w:r>
        <w:rPr>
          <w:sz w:val="16"/>
          <w:szCs w:val="16"/>
          <w:vertAlign w:val="superscript"/>
        </w:rPr>
        <w:t>e</w:t>
      </w:r>
      <w:r w:rsidRPr="00240196">
        <w:rPr>
          <w:sz w:val="16"/>
          <w:szCs w:val="16"/>
          <w:vertAlign w:val="superscript"/>
        </w:rPr>
        <w:t xml:space="preserve">) </w:t>
      </w:r>
      <w:r w:rsidRPr="00240196">
        <w:rPr>
          <w:sz w:val="16"/>
          <w:szCs w:val="16"/>
        </w:rPr>
        <w:t>values are for CO</w:t>
      </w:r>
      <w:r w:rsidRPr="00240196">
        <w:rPr>
          <w:sz w:val="16"/>
          <w:szCs w:val="16"/>
          <w:vertAlign w:val="subscript"/>
        </w:rPr>
        <w:t>2</w:t>
      </w:r>
      <w:r w:rsidRPr="00240196">
        <w:rPr>
          <w:sz w:val="16"/>
          <w:szCs w:val="16"/>
        </w:rPr>
        <w:t xml:space="preserve"> only, associated with production and use phases, and adjusted to our vehicle service lives and occupancy</w:t>
      </w:r>
    </w:p>
    <w:p w:rsidR="00D50538" w:rsidRPr="00240196" w:rsidRDefault="00023D36" w:rsidP="00240196">
      <w:pPr>
        <w:spacing w:after="0" w:line="276" w:lineRule="auto"/>
        <w:ind w:firstLine="0"/>
        <w:rPr>
          <w:sz w:val="16"/>
          <w:szCs w:val="16"/>
        </w:rPr>
      </w:pPr>
      <w:r w:rsidRPr="00240196">
        <w:rPr>
          <w:sz w:val="16"/>
          <w:szCs w:val="16"/>
          <w:vertAlign w:val="superscript"/>
        </w:rPr>
        <w:t>(</w:t>
      </w:r>
      <w:r w:rsidR="00D97AAF">
        <w:rPr>
          <w:sz w:val="16"/>
          <w:szCs w:val="16"/>
          <w:vertAlign w:val="superscript"/>
        </w:rPr>
        <w:t>f</w:t>
      </w:r>
      <w:r w:rsidRPr="00240196">
        <w:rPr>
          <w:sz w:val="16"/>
          <w:szCs w:val="16"/>
          <w:vertAlign w:val="superscript"/>
        </w:rPr>
        <w:t xml:space="preserve">) </w:t>
      </w:r>
      <w:r w:rsidR="00D50538" w:rsidRPr="00240196">
        <w:rPr>
          <w:sz w:val="16"/>
          <w:szCs w:val="16"/>
        </w:rPr>
        <w:t>operational requirements considered additional food needs of the rider</w:t>
      </w:r>
    </w:p>
    <w:p w:rsidR="00367847" w:rsidRDefault="00367847" w:rsidP="003933A5">
      <w:pPr>
        <w:ind w:firstLine="0"/>
      </w:pPr>
    </w:p>
    <w:p w:rsidR="00367847" w:rsidRDefault="00367847" w:rsidP="003933A5">
      <w:pPr>
        <w:ind w:firstLine="0"/>
      </w:pPr>
    </w:p>
    <w:p w:rsidR="00B654EE" w:rsidRDefault="00B654EE" w:rsidP="00B654EE">
      <w:pPr>
        <w:rPr>
          <w:b/>
        </w:rPr>
      </w:pPr>
      <w:r w:rsidRPr="0062064A">
        <w:rPr>
          <w:b/>
        </w:rPr>
        <w:t>References</w:t>
      </w:r>
    </w:p>
    <w:p w:rsidR="00A67EF4" w:rsidRDefault="00A67EF4" w:rsidP="00A67EF4">
      <w:pPr>
        <w:jc w:val="left"/>
      </w:pPr>
      <w:r w:rsidRPr="000B4B84">
        <w:t>Albalate</w:t>
      </w:r>
      <w:r>
        <w:t xml:space="preserve"> D</w:t>
      </w:r>
      <w:r w:rsidR="00617AC8">
        <w:t>.</w:t>
      </w:r>
      <w:r>
        <w:t>,</w:t>
      </w:r>
      <w:r w:rsidRPr="00962407">
        <w:t xml:space="preserve"> Bel</w:t>
      </w:r>
      <w:r>
        <w:t xml:space="preserve"> G (2009)</w:t>
      </w:r>
      <w:r w:rsidRPr="00962407">
        <w:t xml:space="preserve"> Factors explaining urban transport systems in large European cities: A cross-sectional approach. Working papers 2009/05, Research Insti</w:t>
      </w:r>
      <w:r>
        <w:t xml:space="preserve">tute of Applied Economics; </w:t>
      </w:r>
      <w:hyperlink r:id="rId10" w:history="1">
        <w:r w:rsidRPr="00F27A85">
          <w:rPr>
            <w:rStyle w:val="Hyperlink"/>
          </w:rPr>
          <w:t>www.ub.edu/irea/working_papers/2009/200905.pdf</w:t>
        </w:r>
      </w:hyperlink>
      <w:r>
        <w:t>.</w:t>
      </w:r>
    </w:p>
    <w:p w:rsidR="00A67EF4" w:rsidRDefault="00A67EF4" w:rsidP="00A67EF4">
      <w:r>
        <w:t xml:space="preserve">AnsaldoBreda (2011) </w:t>
      </w:r>
      <w:r w:rsidRPr="00FC58FE">
        <w:t>Environmental</w:t>
      </w:r>
      <w:r>
        <w:t xml:space="preserve"> Product Declaration</w:t>
      </w:r>
      <w:r w:rsidRPr="00FC58FE">
        <w:t xml:space="preserve"> - Metropolitana di Roma Linea C [</w:t>
      </w:r>
      <w:r w:rsidRPr="00FC58FE">
        <w:rPr>
          <w:i/>
        </w:rPr>
        <w:t>Subway of Rome Line C, in Italian</w:t>
      </w:r>
      <w:r w:rsidRPr="00FC58FE">
        <w:t>]</w:t>
      </w:r>
      <w:r>
        <w:t xml:space="preserve">, AnsaldoBreda; </w:t>
      </w:r>
      <w:hyperlink r:id="rId11" w:history="1">
        <w:r w:rsidRPr="00FC58FE">
          <w:rPr>
            <w:rStyle w:val="Hyperlink"/>
          </w:rPr>
          <w:t>www.avnir.org/documentation/bdd/epd/epd276en.pdf</w:t>
        </w:r>
      </w:hyperlink>
      <w:r>
        <w:t>.</w:t>
      </w:r>
    </w:p>
    <w:p w:rsidR="00773DC5" w:rsidRPr="00570AB0" w:rsidRDefault="00773DC5" w:rsidP="00617AC8">
      <w:pPr>
        <w:jc w:val="left"/>
      </w:pPr>
      <w:r w:rsidRPr="000B4B84">
        <w:t>Banister</w:t>
      </w:r>
      <w:r w:rsidRPr="00962407">
        <w:t xml:space="preserve"> D</w:t>
      </w:r>
      <w:r>
        <w:t xml:space="preserve"> (2008)</w:t>
      </w:r>
      <w:r w:rsidRPr="00962407">
        <w:t xml:space="preserve"> The Sustainable Mobility Paradigm. </w:t>
      </w:r>
      <w:r w:rsidRPr="00773DC5">
        <w:t>Transp Policy</w:t>
      </w:r>
      <w:r w:rsidRPr="00962407">
        <w:t xml:space="preserve"> </w:t>
      </w:r>
      <w:r>
        <w:t>15 (2), 73–80. doi:</w:t>
      </w:r>
      <w:r w:rsidRPr="00962407">
        <w:t xml:space="preserve"> 10.1016/j.tranpol.2007.10.005.</w:t>
      </w:r>
    </w:p>
    <w:p w:rsidR="00773DC5" w:rsidRPr="00FC58FE" w:rsidRDefault="00773DC5" w:rsidP="00617AC8">
      <w:pPr>
        <w:jc w:val="left"/>
      </w:pPr>
      <w:r w:rsidRPr="00DE20FC">
        <w:lastRenderedPageBreak/>
        <w:t>Bare</w:t>
      </w:r>
      <w:r>
        <w:t xml:space="preserve"> J C, Norris G A, Pennington D W, McKone</w:t>
      </w:r>
      <w:r w:rsidRPr="00570AB0">
        <w:t xml:space="preserve"> T</w:t>
      </w:r>
      <w:r>
        <w:t xml:space="preserve"> (2002)</w:t>
      </w:r>
      <w:r w:rsidRPr="00570AB0">
        <w:t xml:space="preserve"> TRACI: The Tool for the Reduction and Assessment of Chemical and</w:t>
      </w:r>
      <w:r>
        <w:t xml:space="preserve"> Other Environmental Impacts. </w:t>
      </w:r>
      <w:r w:rsidRPr="00773DC5">
        <w:t>J Ind Ecol</w:t>
      </w:r>
      <w:r>
        <w:t xml:space="preserve"> 6(3), 49–78. doi: 10.1162/108819802766269539.</w:t>
      </w:r>
    </w:p>
    <w:p w:rsidR="00A67EF4" w:rsidRDefault="00A67EF4" w:rsidP="00617AC8">
      <w:pPr>
        <w:jc w:val="left"/>
      </w:pPr>
      <w:r w:rsidRPr="00DE20FC">
        <w:t>Bartolozzi</w:t>
      </w:r>
      <w:r>
        <w:t xml:space="preserve"> I,</w:t>
      </w:r>
      <w:r w:rsidRPr="00DE20FC">
        <w:t xml:space="preserve"> Rizzi</w:t>
      </w:r>
      <w:r>
        <w:t xml:space="preserve"> F, Frey M (2013)</w:t>
      </w:r>
      <w:r w:rsidRPr="00DE20FC">
        <w:t xml:space="preserve"> </w:t>
      </w:r>
      <w:r w:rsidRPr="00570AB0">
        <w:t xml:space="preserve">Comparison between hydrogen and electric vehicles by life cycle assessment: A case study in Tuscany, Italy. </w:t>
      </w:r>
      <w:r w:rsidRPr="00A67EF4">
        <w:t>Appl Energy</w:t>
      </w:r>
      <w:r>
        <w:t xml:space="preserve"> 101, 103–111. doi: </w:t>
      </w:r>
      <w:r w:rsidRPr="00DE20FC">
        <w:t>10.1016/j.apenergy.2012.03.021</w:t>
      </w:r>
      <w:r>
        <w:t>.</w:t>
      </w:r>
    </w:p>
    <w:p w:rsidR="007A55A7" w:rsidRDefault="007A55A7" w:rsidP="007A55A7">
      <w:pPr>
        <w:spacing w:line="480" w:lineRule="auto"/>
        <w:jc w:val="left"/>
      </w:pPr>
      <w:r>
        <w:t xml:space="preserve">Bauer, C., Hofer, J., Althaus, H.-J., del Duce, A., &amp; Simons, A. (2015) The Environmental Performance of Current and Future Passenger Vehicles: Life Cycle Assessment Based on a Novel Scenario Analysis Framework. </w:t>
      </w:r>
      <w:r>
        <w:rPr>
          <w:i/>
        </w:rPr>
        <w:t>Applied Energy, 157,</w:t>
      </w:r>
      <w:r>
        <w:t xml:space="preserve"> 871–83. doi:10.1016/j.apenergy.2015.01.019.</w:t>
      </w:r>
    </w:p>
    <w:p w:rsidR="00A67EF4" w:rsidRDefault="00A67EF4" w:rsidP="00617AC8">
      <w:pPr>
        <w:jc w:val="left"/>
      </w:pPr>
      <w:r>
        <w:t xml:space="preserve">Bombardier Transportation (2011) </w:t>
      </w:r>
      <w:r w:rsidRPr="00FC58FE">
        <w:t>Environmental</w:t>
      </w:r>
      <w:r>
        <w:t xml:space="preserve"> Product Declaration - Innovia Art 200, Bombardier Transportation.; </w:t>
      </w:r>
      <w:hyperlink r:id="rId12" w:history="1">
        <w:r w:rsidRPr="00FC58FE">
          <w:rPr>
            <w:rStyle w:val="Hyperlink"/>
          </w:rPr>
          <w:t>www.bombardier.com/content/dam/Websites/bombardiercom/supporting-documents/Sustainability/Reports/BT/Bombardier-Transportation-EPD-INNOVIA-ART-200-en.pdf</w:t>
        </w:r>
      </w:hyperlink>
      <w:r>
        <w:t>.</w:t>
      </w:r>
    </w:p>
    <w:p w:rsidR="007A55A7" w:rsidRDefault="007A55A7" w:rsidP="007A55A7">
      <w:pPr>
        <w:spacing w:line="480" w:lineRule="auto"/>
        <w:jc w:val="left"/>
      </w:pPr>
      <w:bookmarkStart w:id="5" w:name="OLE_LINK15"/>
      <w:bookmarkStart w:id="6" w:name="OLE_LINK18"/>
      <w:r>
        <w:t xml:space="preserve">Cherry, C., Weinert, J., &amp; Xinmiao, Y. (2009) Comparative Environmental Impacts of Electric Bikes in China. </w:t>
      </w:r>
      <w:r>
        <w:rPr>
          <w:i/>
        </w:rPr>
        <w:t>Transportation Research Part D: Transport and Environment, 14</w:t>
      </w:r>
      <w:r>
        <w:t xml:space="preserve"> (5), 281–90. doi:</w:t>
      </w:r>
      <w:bookmarkStart w:id="7" w:name="OLE_LINK109"/>
      <w:bookmarkStart w:id="8" w:name="OLE_LINK108"/>
      <w:bookmarkStart w:id="9" w:name="OLE_LINK107"/>
      <w:r>
        <w:t>10.1016/j.trd.2008.11.003</w:t>
      </w:r>
      <w:bookmarkEnd w:id="7"/>
      <w:bookmarkEnd w:id="8"/>
      <w:bookmarkEnd w:id="9"/>
      <w:r>
        <w:t>.</w:t>
      </w:r>
      <w:bookmarkEnd w:id="5"/>
      <w:bookmarkEnd w:id="6"/>
    </w:p>
    <w:p w:rsidR="00570AB0" w:rsidRDefault="0062064A" w:rsidP="00617AC8">
      <w:pPr>
        <w:jc w:val="left"/>
      </w:pPr>
      <w:r>
        <w:t>Chester</w:t>
      </w:r>
      <w:r w:rsidR="000B4B84" w:rsidRPr="000B4B84">
        <w:t xml:space="preserve"> M</w:t>
      </w:r>
      <w:r w:rsidR="00A67EF4">
        <w:t xml:space="preserve"> (2008)</w:t>
      </w:r>
      <w:r w:rsidR="000B4B84" w:rsidRPr="000B4B84">
        <w:t xml:space="preserve"> Life-cycle environmental inventory of passenger transportation in the United States. PhD Dissertation, Institute of Transportation Studies, University of Berkel</w:t>
      </w:r>
      <w:r w:rsidR="00A67EF4">
        <w:t>ey, California</w:t>
      </w:r>
      <w:r w:rsidR="000B4B84" w:rsidRPr="000B4B84">
        <w:t>.</w:t>
      </w:r>
    </w:p>
    <w:p w:rsidR="00A67EF4" w:rsidRDefault="00A67EF4" w:rsidP="00617AC8">
      <w:pPr>
        <w:jc w:val="left"/>
      </w:pPr>
      <w:r w:rsidRPr="00FC58FE">
        <w:t>Chester</w:t>
      </w:r>
      <w:r>
        <w:t xml:space="preserve"> M, Horvath A (2012)</w:t>
      </w:r>
      <w:r w:rsidRPr="00570AB0">
        <w:t xml:space="preserve"> High-speed rail with emerging automobiles and aircraft can reduce environmental impacts in California’s futu</w:t>
      </w:r>
      <w:r>
        <w:t>re</w:t>
      </w:r>
      <w:r w:rsidRPr="00A67EF4">
        <w:t>. Environ Res Lett</w:t>
      </w:r>
      <w:r>
        <w:t xml:space="preserve"> </w:t>
      </w:r>
      <w:r w:rsidRPr="00837834">
        <w:rPr>
          <w:i/>
        </w:rPr>
        <w:t>7</w:t>
      </w:r>
      <w:r>
        <w:t xml:space="preserve"> (3), 034012. doi: </w:t>
      </w:r>
      <w:r w:rsidRPr="00FC58FE">
        <w:t>10.1088/1748-9326/7/3/034012.</w:t>
      </w:r>
    </w:p>
    <w:p w:rsidR="00773DC5" w:rsidRDefault="00773DC5" w:rsidP="00617AC8">
      <w:pPr>
        <w:jc w:val="left"/>
      </w:pPr>
      <w:r w:rsidRPr="00FC58FE">
        <w:t>Chester</w:t>
      </w:r>
      <w:r>
        <w:t xml:space="preserve"> M, Horvath A (2010)</w:t>
      </w:r>
      <w:r w:rsidRPr="00570AB0">
        <w:t xml:space="preserve"> Life-cycle assessment of high-speed rail: the c</w:t>
      </w:r>
      <w:r>
        <w:t xml:space="preserve">ase of California. </w:t>
      </w:r>
      <w:r w:rsidRPr="00A67EF4">
        <w:t>Environ Res Lett</w:t>
      </w:r>
      <w:r>
        <w:t xml:space="preserve"> </w:t>
      </w:r>
      <w:r w:rsidRPr="00837834">
        <w:rPr>
          <w:i/>
        </w:rPr>
        <w:t>5</w:t>
      </w:r>
      <w:r>
        <w:t xml:space="preserve"> (1), 014003. doi: </w:t>
      </w:r>
      <w:r w:rsidRPr="00FC58FE">
        <w:t>10.1088/1748-9326/5/1/014003.</w:t>
      </w:r>
    </w:p>
    <w:p w:rsidR="00A67EF4" w:rsidRDefault="00A67EF4" w:rsidP="00617AC8">
      <w:pPr>
        <w:jc w:val="left"/>
      </w:pPr>
      <w:r w:rsidRPr="00FC58FE">
        <w:t>Chester</w:t>
      </w:r>
      <w:r>
        <w:t xml:space="preserve"> M, Horvath A (2009)</w:t>
      </w:r>
      <w:r w:rsidRPr="00570AB0">
        <w:t xml:space="preserve"> Environmental assessment of passenger transportation should include infrastr</w:t>
      </w:r>
      <w:r>
        <w:t xml:space="preserve">ucture and supply chains. </w:t>
      </w:r>
      <w:r w:rsidRPr="00A67EF4">
        <w:t>Environ Res Lett</w:t>
      </w:r>
      <w:r>
        <w:t xml:space="preserve"> </w:t>
      </w:r>
      <w:r w:rsidRPr="00A67EF4">
        <w:t>4</w:t>
      </w:r>
      <w:r>
        <w:t xml:space="preserve"> (2), 024008. doi: </w:t>
      </w:r>
      <w:r w:rsidRPr="00FC58FE">
        <w:t>10.1088/1748-9326/4/2/024008</w:t>
      </w:r>
      <w:r>
        <w:t>.</w:t>
      </w:r>
    </w:p>
    <w:p w:rsidR="00773DC5" w:rsidRDefault="00773DC5" w:rsidP="00A67EF4">
      <w:pPr>
        <w:jc w:val="left"/>
      </w:pPr>
      <w:r>
        <w:t>Chester M, Horvath A, Madanat S (2010)</w:t>
      </w:r>
      <w:r w:rsidRPr="00570AB0">
        <w:t xml:space="preserve"> Comparison of life-cycle energy and emissions footprints of passenger transportation in metropolitan regions. </w:t>
      </w:r>
      <w:r w:rsidRPr="00773DC5">
        <w:t>Atmos Env 44</w:t>
      </w:r>
      <w:r>
        <w:t xml:space="preserve"> (8), 1071–1079. doi: </w:t>
      </w:r>
      <w:r w:rsidRPr="00570AB0">
        <w:t>10.1016/j.atmosenv.2009.12.012</w:t>
      </w:r>
      <w:r>
        <w:t>.</w:t>
      </w:r>
    </w:p>
    <w:p w:rsidR="00773DC5" w:rsidRPr="00570AB0" w:rsidRDefault="00773DC5" w:rsidP="00773DC5">
      <w:pPr>
        <w:jc w:val="left"/>
      </w:pPr>
      <w:r w:rsidRPr="000B4B84">
        <w:t>Chester</w:t>
      </w:r>
      <w:r>
        <w:t xml:space="preserve"> M,</w:t>
      </w:r>
      <w:r w:rsidRPr="00962407">
        <w:t xml:space="preserve"> Pincetl</w:t>
      </w:r>
      <w:r>
        <w:t xml:space="preserve"> S,</w:t>
      </w:r>
      <w:r w:rsidRPr="00962407">
        <w:t xml:space="preserve"> Elizabeth</w:t>
      </w:r>
      <w:r>
        <w:t xml:space="preserve"> Z,</w:t>
      </w:r>
      <w:r w:rsidRPr="00962407">
        <w:t xml:space="preserve"> Eisenstein</w:t>
      </w:r>
      <w:r>
        <w:t xml:space="preserve"> W, Matute J (2013)</w:t>
      </w:r>
      <w:r w:rsidRPr="00962407">
        <w:t xml:space="preserve"> Infrastructure and automobile shifts: Positioning transit to reduce life-cycle environmental impacts for urban sustainability goals. </w:t>
      </w:r>
      <w:r w:rsidRPr="00773DC5">
        <w:t>Environ Res Lett 8</w:t>
      </w:r>
      <w:r>
        <w:t xml:space="preserve"> (1), 015041 (10pp). doi:</w:t>
      </w:r>
      <w:r w:rsidRPr="00962407">
        <w:t xml:space="preserve"> </w:t>
      </w:r>
      <w:r w:rsidRPr="00962407">
        <w:rPr>
          <w:rFonts w:eastAsia="Times New Roman" w:cs="Arial"/>
          <w:sz w:val="19"/>
          <w:szCs w:val="19"/>
          <w:lang w:eastAsia="pt-PT"/>
        </w:rPr>
        <w:t>10.1088/1748-9326/8/1/015041.</w:t>
      </w:r>
    </w:p>
    <w:p w:rsidR="00A67EF4" w:rsidRDefault="00A67EF4" w:rsidP="00A67EF4">
      <w:pPr>
        <w:jc w:val="left"/>
      </w:pPr>
      <w:r w:rsidRPr="000B4B84">
        <w:t>Del Pero F</w:t>
      </w:r>
      <w:r>
        <w:t>,</w:t>
      </w:r>
      <w:r w:rsidRPr="000B4B84">
        <w:t xml:space="preserve"> Delogu</w:t>
      </w:r>
      <w:r>
        <w:t xml:space="preserve"> M,</w:t>
      </w:r>
      <w:r w:rsidRPr="00962407">
        <w:t xml:space="preserve"> Pierini</w:t>
      </w:r>
      <w:r>
        <w:t xml:space="preserve"> M, Bonaffini D (2015)</w:t>
      </w:r>
      <w:r w:rsidRPr="00962407">
        <w:t xml:space="preserve"> Life cycle assessment of a heavy metro train. </w:t>
      </w:r>
      <w:r w:rsidRPr="00A67EF4">
        <w:t>J Clean Prod</w:t>
      </w:r>
      <w:r w:rsidRPr="00962407">
        <w:t xml:space="preserve"> </w:t>
      </w:r>
      <w:r w:rsidRPr="00A67EF4">
        <w:t>87</w:t>
      </w:r>
      <w:r>
        <w:t>, 787–799. doi:</w:t>
      </w:r>
      <w:r w:rsidRPr="00962407">
        <w:t xml:space="preserve"> 10.1016/j.jclepro.2014.10.023.</w:t>
      </w:r>
    </w:p>
    <w:p w:rsidR="00773DC5" w:rsidRDefault="00773DC5" w:rsidP="00773DC5">
      <w:pPr>
        <w:jc w:val="left"/>
      </w:pPr>
      <w:r w:rsidRPr="000B4B84">
        <w:t>Dong</w:t>
      </w:r>
      <w:r>
        <w:t xml:space="preserve"> H, Ma L, Broach J (2016)</w:t>
      </w:r>
      <w:r w:rsidRPr="00962407">
        <w:t xml:space="preserve"> Promoting sustainable travel modes for commute tours: A comparison of the effects of home and work locations and employer-provided incentives. </w:t>
      </w:r>
      <w:r w:rsidRPr="00773DC5">
        <w:t>Int J Sustain Transp</w:t>
      </w:r>
      <w:r w:rsidRPr="00962407">
        <w:t xml:space="preserve"> </w:t>
      </w:r>
      <w:r>
        <w:t>10 (6), 485-494. doi:</w:t>
      </w:r>
      <w:r w:rsidRPr="00962407">
        <w:t xml:space="preserve"> 10.1080/15568318.2014.1002027.</w:t>
      </w:r>
    </w:p>
    <w:p w:rsidR="00651202" w:rsidRDefault="00651202" w:rsidP="00651202">
      <w:pPr>
        <w:jc w:val="left"/>
      </w:pPr>
      <w:r w:rsidRPr="00C1427F">
        <w:lastRenderedPageBreak/>
        <w:t xml:space="preserve">Engelmoer W (2012) The E-Bike : Opportunities for Commuter Traffic. </w:t>
      </w:r>
      <w:r w:rsidRPr="00962407">
        <w:t>MSc Dissertation, University of Groninge</w:t>
      </w:r>
      <w:r>
        <w:t>n, Groningen, Netherlands.</w:t>
      </w:r>
    </w:p>
    <w:p w:rsidR="007A55A7" w:rsidRDefault="007A55A7" w:rsidP="007A55A7">
      <w:pPr>
        <w:spacing w:line="480" w:lineRule="auto"/>
        <w:jc w:val="left"/>
      </w:pPr>
      <w:r>
        <w:t xml:space="preserve">Ercan, T. &amp; Tatari, O. (2015) A hybrid life cycle assessment of public transportation buses with alternative fuel options. </w:t>
      </w:r>
      <w:r>
        <w:rPr>
          <w:i/>
        </w:rPr>
        <w:t>International Journal of Life Cycle Assessment, 20,</w:t>
      </w:r>
      <w:r>
        <w:t xml:space="preserve"> 1213 – 1231. doi: 10.1007/s11367-015-0927-2.</w:t>
      </w:r>
    </w:p>
    <w:p w:rsidR="007A55A7" w:rsidRDefault="007A55A7" w:rsidP="007A55A7">
      <w:pPr>
        <w:spacing w:line="480" w:lineRule="auto"/>
        <w:jc w:val="left"/>
      </w:pPr>
      <w:r>
        <w:t xml:space="preserve">François, C. Gondran, N., Nicolas, J.-P. &amp; Parsons, D. (2017) Environmental assessment of urban mobility: Combining life cycle assessment with land-use and transport interaction modeling – Application to Lyon (France). </w:t>
      </w:r>
      <w:r>
        <w:rPr>
          <w:i/>
        </w:rPr>
        <w:t>Ecological Indicators 72</w:t>
      </w:r>
      <w:r>
        <w:t xml:space="preserve">, 597 – 604. doi: </w:t>
      </w:r>
      <w:r w:rsidR="00AA3769" w:rsidRPr="00FA037E">
        <w:t>10.1016/j.ecolind.2016.07.014</w:t>
      </w:r>
      <w:r>
        <w:t>.</w:t>
      </w:r>
    </w:p>
    <w:p w:rsidR="00A67EF4" w:rsidRDefault="00A67EF4" w:rsidP="00A67EF4">
      <w:pPr>
        <w:jc w:val="left"/>
      </w:pPr>
      <w:r w:rsidRPr="00DE20FC">
        <w:t>Gorham</w:t>
      </w:r>
      <w:r>
        <w:t xml:space="preserve"> R (2002) Air pollution from ground transportation an assessment of causes, strategies and t</w:t>
      </w:r>
      <w:r w:rsidRPr="00570AB0">
        <w:t>actics</w:t>
      </w:r>
      <w:r>
        <w:t>, and proposed a</w:t>
      </w:r>
      <w:r w:rsidRPr="00570AB0">
        <w:t>ct</w:t>
      </w:r>
      <w:r>
        <w:t>ions for the international c</w:t>
      </w:r>
      <w:r w:rsidRPr="00570AB0">
        <w:t xml:space="preserve">ommunity. </w:t>
      </w:r>
      <w:r>
        <w:t xml:space="preserve">United Nations; </w:t>
      </w:r>
      <w:hyperlink r:id="rId13" w:history="1">
        <w:r w:rsidRPr="00DE20FC">
          <w:rPr>
            <w:rStyle w:val="Hyperlink"/>
          </w:rPr>
          <w:t>www.un.org/esa/gite/csd/gorham.pdf</w:t>
        </w:r>
      </w:hyperlink>
      <w:r>
        <w:t>.</w:t>
      </w:r>
    </w:p>
    <w:p w:rsidR="00773DC5" w:rsidRPr="00C1427F" w:rsidRDefault="00A67EF4" w:rsidP="00773DC5">
      <w:pPr>
        <w:jc w:val="left"/>
        <w:rPr>
          <w:lang w:val="pt-PT"/>
        </w:rPr>
      </w:pPr>
      <w:r w:rsidRPr="000B4B84">
        <w:t>Hawkins</w:t>
      </w:r>
      <w:r w:rsidRPr="00962407">
        <w:t xml:space="preserve"> T R</w:t>
      </w:r>
      <w:r>
        <w:t>, Gausen</w:t>
      </w:r>
      <w:r w:rsidRPr="00962407">
        <w:t xml:space="preserve"> O</w:t>
      </w:r>
      <w:r>
        <w:t xml:space="preserve"> M,</w:t>
      </w:r>
      <w:r w:rsidRPr="00962407">
        <w:t xml:space="preserve"> Strømman A</w:t>
      </w:r>
      <w:r>
        <w:t xml:space="preserve"> </w:t>
      </w:r>
      <w:r w:rsidRPr="00962407">
        <w:t>H</w:t>
      </w:r>
      <w:r>
        <w:t xml:space="preserve"> (2012)</w:t>
      </w:r>
      <w:r w:rsidRPr="00962407">
        <w:t xml:space="preserve"> Environmental impacts of hybrid and electric vehicles-A review. </w:t>
      </w:r>
      <w:r w:rsidRPr="00C1427F">
        <w:rPr>
          <w:lang w:val="pt-PT"/>
        </w:rPr>
        <w:t>Int. J Life Cycle Ass 17 (8), 997–1014. doi: 10.​1007/​s11367-012-0440-9.</w:t>
      </w:r>
    </w:p>
    <w:p w:rsidR="00651202" w:rsidRDefault="00651202" w:rsidP="00773DC5">
      <w:pPr>
        <w:jc w:val="left"/>
      </w:pPr>
      <w:r>
        <w:rPr>
          <w:lang w:val="pt-PT"/>
        </w:rPr>
        <w:t xml:space="preserve">INE (2013) </w:t>
      </w:r>
      <w:r w:rsidRPr="00962407">
        <w:rPr>
          <w:lang w:val="pt-PT"/>
        </w:rPr>
        <w:t>Censos – Resultados definitivos, Portugal – 2011 [</w:t>
      </w:r>
      <w:r w:rsidRPr="00962407">
        <w:rPr>
          <w:i/>
          <w:lang w:val="pt-PT"/>
        </w:rPr>
        <w:t>Census – Definitive results, Portugal - 2011, in Portuguese</w:t>
      </w:r>
      <w:r w:rsidRPr="00962407">
        <w:rPr>
          <w:lang w:val="pt-PT"/>
        </w:rPr>
        <w:t xml:space="preserve">]. </w:t>
      </w:r>
      <w:r w:rsidRPr="00C1427F">
        <w:t>Statistics Portugal, Instituto Nacional de Estatística: Lisbon.</w:t>
      </w:r>
    </w:p>
    <w:p w:rsidR="00651202" w:rsidRPr="00570AB0" w:rsidRDefault="00651202" w:rsidP="00651202">
      <w:pPr>
        <w:jc w:val="left"/>
      </w:pPr>
      <w:r>
        <w:t>Maat</w:t>
      </w:r>
      <w:r w:rsidRPr="00DE20FC">
        <w:t xml:space="preserve"> K</w:t>
      </w:r>
      <w:r>
        <w:t>, Timmermans H J P (2009)</w:t>
      </w:r>
      <w:r w:rsidRPr="00DE20FC">
        <w:t xml:space="preserve"> Influence of the residential and work environment on car use in dual-earner households. </w:t>
      </w:r>
      <w:r w:rsidRPr="00651202">
        <w:t>Transp Res Part A: Policy and Practice 43</w:t>
      </w:r>
      <w:r>
        <w:t xml:space="preserve"> (7), 654–664. doi:</w:t>
      </w:r>
      <w:r w:rsidRPr="00DE20FC">
        <w:t xml:space="preserve"> 10.1016/j.tra.2009.06.003.</w:t>
      </w:r>
    </w:p>
    <w:p w:rsidR="00A67EF4" w:rsidRDefault="00A67EF4" w:rsidP="00A67EF4">
      <w:pPr>
        <w:jc w:val="left"/>
      </w:pPr>
      <w:r w:rsidRPr="00962407">
        <w:t xml:space="preserve">Nielsen O-K </w:t>
      </w:r>
      <w:r>
        <w:t>(e</w:t>
      </w:r>
      <w:r w:rsidRPr="00962407">
        <w:t>d.</w:t>
      </w:r>
      <w:r>
        <w:t>) (2013)</w:t>
      </w:r>
      <w:r w:rsidRPr="00962407">
        <w:t xml:space="preserve"> EMEP/EEA Emission Inventory Guidebook 2013, Technical Report No. 12/2013; European Environment Agency; Publications Office of the</w:t>
      </w:r>
      <w:r>
        <w:t xml:space="preserve"> European Union: Luxembourg</w:t>
      </w:r>
      <w:r w:rsidRPr="00962407">
        <w:t xml:space="preserve">; </w:t>
      </w:r>
      <w:hyperlink r:id="rId14" w:history="1">
        <w:r w:rsidRPr="00962407">
          <w:rPr>
            <w:rStyle w:val="Hyperlink"/>
          </w:rPr>
          <w:t>www.eea.europa.eu//publications/emep-eea-guidebook-2013</w:t>
        </w:r>
      </w:hyperlink>
      <w:r w:rsidRPr="00962407">
        <w:t>.</w:t>
      </w:r>
    </w:p>
    <w:p w:rsidR="00773DC5" w:rsidRDefault="00773DC5" w:rsidP="00773DC5">
      <w:pPr>
        <w:jc w:val="left"/>
      </w:pPr>
      <w:r w:rsidRPr="00FC58FE">
        <w:t>Porter</w:t>
      </w:r>
      <w:r>
        <w:t xml:space="preserve"> C D, Brown A, DeFlorio J, McKenzie, W T, Vimmerstedt L (2013)</w:t>
      </w:r>
      <w:r w:rsidRPr="00570AB0">
        <w:t xml:space="preserve"> </w:t>
      </w:r>
      <w:r>
        <w:t>Effects of travel reduction and efficient driving on transportation: Energy use and g</w:t>
      </w:r>
      <w:r w:rsidRPr="00570AB0">
        <w:t>ree</w:t>
      </w:r>
      <w:r>
        <w:t>nhouse gas e</w:t>
      </w:r>
      <w:r w:rsidRPr="00570AB0">
        <w:t>missions. Prepared by the National Renewable Energy Laboratory (Golden, CO) and Cambridge Systematics, Inc. (Cambridge, MA), for the U.S. Department of Energy, Washington, DC</w:t>
      </w:r>
      <w:r>
        <w:t>;</w:t>
      </w:r>
      <w:r w:rsidRPr="00570AB0">
        <w:t xml:space="preserve"> </w:t>
      </w:r>
      <w:hyperlink r:id="rId15" w:history="1">
        <w:r w:rsidRPr="00227C3B">
          <w:rPr>
            <w:rStyle w:val="Hyperlink"/>
          </w:rPr>
          <w:t>http://doi.org/DOE/GO-102013-3704</w:t>
        </w:r>
      </w:hyperlink>
      <w:r>
        <w:t>.</w:t>
      </w:r>
    </w:p>
    <w:p w:rsidR="0012625A" w:rsidRPr="00FD1F20" w:rsidRDefault="00B70EB7" w:rsidP="006D60ED">
      <w:pPr>
        <w:jc w:val="left"/>
      </w:pPr>
      <w:r w:rsidRPr="006D60ED">
        <w:rPr>
          <w:lang w:val="pt-PT"/>
        </w:rPr>
        <w:t>Sá</w:t>
      </w:r>
      <w:r w:rsidR="0012625A" w:rsidRPr="006D60ED">
        <w:rPr>
          <w:lang w:val="pt-PT"/>
        </w:rPr>
        <w:t>nchez</w:t>
      </w:r>
      <w:r w:rsidRPr="006D60ED">
        <w:rPr>
          <w:lang w:val="pt-PT"/>
        </w:rPr>
        <w:t xml:space="preserve"> J, Martínez J, Martín J et al. </w:t>
      </w:r>
      <w:r w:rsidRPr="00FD1F20">
        <w:t>(2013) Impact of Spanish electricity mix, over the period 2008-2030, on the life cycle energy consumption and GHG emissions of electric, hybrid diesel-electric, fuel cell hybrid and diesel bus of the Madrid transportation system</w:t>
      </w:r>
      <w:r w:rsidR="006D60ED" w:rsidRPr="00FD1F20">
        <w:t>. Energy Conversion and Management 74: 332-343. doi: 10.1016/j.enconman.2013.05.023</w:t>
      </w:r>
    </w:p>
    <w:p w:rsidR="00651202" w:rsidRDefault="00651202" w:rsidP="00773DC5">
      <w:pPr>
        <w:jc w:val="left"/>
      </w:pPr>
      <w:r w:rsidRPr="00FD1F20">
        <w:t xml:space="preserve">Shibahara N, Kato H, Ito K et al. </w:t>
      </w:r>
      <w:r>
        <w:t xml:space="preserve">(2013) </w:t>
      </w:r>
      <w:r w:rsidRPr="00962407">
        <w:t>Evaluation method of life cycle carbon dioxide emissions for various urban passenger transport modes. 13</w:t>
      </w:r>
      <w:r w:rsidRPr="00962407">
        <w:rPr>
          <w:vertAlign w:val="superscript"/>
        </w:rPr>
        <w:t>th</w:t>
      </w:r>
      <w:r w:rsidRPr="00962407">
        <w:t xml:space="preserve"> World Conference on Transport Research – Selected proceedings, July 15-18 2013. Rio de Janeiro, Brazil; ISBN: 978-85-285-0232-9.</w:t>
      </w:r>
    </w:p>
    <w:p w:rsidR="00980242" w:rsidRPr="00570AB0" w:rsidRDefault="00AA3769" w:rsidP="00FA037E">
      <w:pPr>
        <w:spacing w:line="480" w:lineRule="auto"/>
        <w:jc w:val="left"/>
      </w:pPr>
      <w:bookmarkStart w:id="10" w:name="OLE_LINK4"/>
      <w:bookmarkStart w:id="11" w:name="OLE_LINK5"/>
      <w:r>
        <w:t>Stephan, A. &amp;</w:t>
      </w:r>
      <w:r w:rsidR="00980242" w:rsidRPr="00015FE4">
        <w:t xml:space="preserve"> Crawford, R. (2016) </w:t>
      </w:r>
      <w:bookmarkEnd w:id="10"/>
      <w:bookmarkEnd w:id="11"/>
      <w:r w:rsidR="00980242" w:rsidRPr="00015FE4">
        <w:t>Total water requirements of passenger transport modes</w:t>
      </w:r>
      <w:r w:rsidR="00980242">
        <w:t>.</w:t>
      </w:r>
      <w:r w:rsidR="00980242" w:rsidRPr="00015FE4">
        <w:rPr>
          <w:i/>
        </w:rPr>
        <w:t xml:space="preserve"> Transportation Research Part D 49</w:t>
      </w:r>
      <w:r w:rsidR="00980242">
        <w:t>,</w:t>
      </w:r>
      <w:r w:rsidR="00980242" w:rsidRPr="00015FE4">
        <w:t xml:space="preserve"> 94 – 109.</w:t>
      </w:r>
    </w:p>
    <w:p w:rsidR="00A67EF4" w:rsidRDefault="00A67EF4" w:rsidP="00A67EF4">
      <w:pPr>
        <w:jc w:val="left"/>
      </w:pPr>
      <w:r w:rsidRPr="00160E7E">
        <w:lastRenderedPageBreak/>
        <w:t>Stodolsky</w:t>
      </w:r>
      <w:r>
        <w:t xml:space="preserve"> F, Gaines L, Cuenca R, Eberhardt J (1998)</w:t>
      </w:r>
      <w:r w:rsidRPr="00570AB0">
        <w:t xml:space="preserve"> Lifecycle Analysis for Freight</w:t>
      </w:r>
      <w:r>
        <w:t xml:space="preserve"> Transport, </w:t>
      </w:r>
      <w:r w:rsidRPr="00A67EF4">
        <w:t>SAE</w:t>
      </w:r>
      <w:r>
        <w:t xml:space="preserve">. doi: </w:t>
      </w:r>
      <w:r w:rsidRPr="00570AB0">
        <w:t>10.4271/982206</w:t>
      </w:r>
      <w:r>
        <w:t>.</w:t>
      </w:r>
    </w:p>
    <w:p w:rsidR="00651202" w:rsidRPr="00C1427F" w:rsidRDefault="00651202" w:rsidP="00651202">
      <w:pPr>
        <w:jc w:val="left"/>
      </w:pPr>
      <w:r>
        <w:t>Strathman J G, Dueker K J, Davis J</w:t>
      </w:r>
      <w:r w:rsidRPr="00570AB0">
        <w:t xml:space="preserve"> S</w:t>
      </w:r>
      <w:r>
        <w:t xml:space="preserve"> (1994)</w:t>
      </w:r>
      <w:r w:rsidRPr="00570AB0">
        <w:t xml:space="preserve"> Effects of household structure and selected travel characteristics on trip chaining</w:t>
      </w:r>
      <w:r w:rsidRPr="00651202">
        <w:t xml:space="preserve">. </w:t>
      </w:r>
      <w:r w:rsidRPr="00C1427F">
        <w:t>Transportation 21(1), 23–45. doi: 10.1007/BF01119633.</w:t>
      </w:r>
    </w:p>
    <w:p w:rsidR="00B654EE" w:rsidRPr="00FC58FE" w:rsidRDefault="000B4B84" w:rsidP="00651202">
      <w:pPr>
        <w:jc w:val="left"/>
      </w:pPr>
      <w:r w:rsidRPr="000B4B84">
        <w:t>Woodcock J</w:t>
      </w:r>
      <w:r w:rsidR="0062064A">
        <w:t>,</w:t>
      </w:r>
      <w:r w:rsidRPr="000B4B84">
        <w:t xml:space="preserve"> Banister</w:t>
      </w:r>
      <w:r w:rsidR="0062064A">
        <w:t xml:space="preserve"> D, Edwards</w:t>
      </w:r>
      <w:r w:rsidRPr="000B4B84">
        <w:t xml:space="preserve"> P</w:t>
      </w:r>
      <w:r w:rsidR="0062064A">
        <w:t>,</w:t>
      </w:r>
      <w:r w:rsidRPr="000B4B84">
        <w:t xml:space="preserve"> Prentice A</w:t>
      </w:r>
      <w:r w:rsidR="0062064A">
        <w:t xml:space="preserve"> M,</w:t>
      </w:r>
      <w:r w:rsidR="00A67EF4">
        <w:t xml:space="preserve"> Roberts I (2007)</w:t>
      </w:r>
      <w:r w:rsidRPr="000B4B84">
        <w:t xml:space="preserve"> Energy and transport. </w:t>
      </w:r>
      <w:r w:rsidRPr="00A67EF4">
        <w:t>Lancet</w:t>
      </w:r>
      <w:r w:rsidRPr="000B4B84">
        <w:t xml:space="preserve"> </w:t>
      </w:r>
      <w:r w:rsidRPr="000B4B84">
        <w:rPr>
          <w:i/>
        </w:rPr>
        <w:t>370</w:t>
      </w:r>
      <w:r w:rsidR="00A67EF4">
        <w:t xml:space="preserve"> (9592), 1078–1088. doi: </w:t>
      </w:r>
      <w:r w:rsidR="00651202">
        <w:t xml:space="preserve">10.1016/S0140-6736(07)61254-9. </w:t>
      </w:r>
    </w:p>
    <w:sectPr w:rsidR="00B654EE" w:rsidRPr="00FC58FE" w:rsidSect="00582A3F">
      <w:footerReference w:type="default" r:id="rId16"/>
      <w:pgSz w:w="11900" w:h="16840"/>
      <w:pgMar w:top="1440" w:right="1008" w:bottom="1152" w:left="1080" w:header="706" w:footer="706"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599" w:rsidRDefault="00541599">
      <w:pPr>
        <w:spacing w:after="0" w:line="240" w:lineRule="auto"/>
      </w:pPr>
      <w:r>
        <w:separator/>
      </w:r>
    </w:p>
  </w:endnote>
  <w:endnote w:type="continuationSeparator" w:id="0">
    <w:p w:rsidR="00541599" w:rsidRDefault="0054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 Symbols">
    <w:altName w:val="Times New Roman"/>
    <w:charset w:val="00"/>
    <w:family w:val="auto"/>
    <w:pitch w:val="variable"/>
    <w:sig w:usb0="00000000" w:usb1="08007BEB" w:usb2="01840034"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356441"/>
      <w:docPartObj>
        <w:docPartGallery w:val="Page Numbers (Bottom of Page)"/>
        <w:docPartUnique/>
      </w:docPartObj>
    </w:sdtPr>
    <w:sdtEndPr>
      <w:rPr>
        <w:noProof/>
      </w:rPr>
    </w:sdtEndPr>
    <w:sdtContent>
      <w:p w:rsidR="00E27A7B" w:rsidRDefault="00E27A7B">
        <w:pPr>
          <w:pStyle w:val="Footer"/>
          <w:jc w:val="right"/>
        </w:pPr>
        <w:r>
          <w:t>S</w:t>
        </w:r>
        <w:r>
          <w:fldChar w:fldCharType="begin"/>
        </w:r>
        <w:r>
          <w:instrText xml:space="preserve"> PAGE   \* MERGEFORMAT </w:instrText>
        </w:r>
        <w:r>
          <w:fldChar w:fldCharType="separate"/>
        </w:r>
        <w:r w:rsidR="00C675D2">
          <w:rPr>
            <w:noProof/>
          </w:rPr>
          <w:t>6</w:t>
        </w:r>
        <w:r>
          <w:rPr>
            <w:noProof/>
          </w:rPr>
          <w:fldChar w:fldCharType="end"/>
        </w:r>
      </w:p>
    </w:sdtContent>
  </w:sdt>
  <w:p w:rsidR="00E27A7B" w:rsidRDefault="00E27A7B" w:rsidP="00EF3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599" w:rsidRDefault="00541599">
      <w:pPr>
        <w:spacing w:after="0" w:line="240" w:lineRule="auto"/>
      </w:pPr>
      <w:r>
        <w:separator/>
      </w:r>
    </w:p>
  </w:footnote>
  <w:footnote w:type="continuationSeparator" w:id="0">
    <w:p w:rsidR="00541599" w:rsidRDefault="00541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C523A"/>
    <w:multiLevelType w:val="multilevel"/>
    <w:tmpl w:val="D9226A28"/>
    <w:lvl w:ilvl="0">
      <w:start w:val="1"/>
      <w:numFmt w:val="decimal"/>
      <w:pStyle w:val="Heading1"/>
      <w:lvlText w:val="%1."/>
      <w:lvlJc w:val="left"/>
      <w:pPr>
        <w:ind w:left="630" w:hanging="360"/>
      </w:pPr>
      <w:rPr>
        <w:rFonts w:hint="default"/>
      </w:rPr>
    </w:lvl>
    <w:lvl w:ilvl="1">
      <w:start w:val="3"/>
      <w:numFmt w:val="decimal"/>
      <w:isLgl/>
      <w:lvlText w:val="%1.%2"/>
      <w:lvlJc w:val="left"/>
      <w:pPr>
        <w:ind w:left="638" w:hanging="368"/>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14"/>
    <w:rsid w:val="00007BCA"/>
    <w:rsid w:val="00023D36"/>
    <w:rsid w:val="000305AC"/>
    <w:rsid w:val="0004065F"/>
    <w:rsid w:val="000613CE"/>
    <w:rsid w:val="000B4B84"/>
    <w:rsid w:val="000C4CA5"/>
    <w:rsid w:val="00100654"/>
    <w:rsid w:val="00124AF7"/>
    <w:rsid w:val="0012625A"/>
    <w:rsid w:val="001265EB"/>
    <w:rsid w:val="001371F3"/>
    <w:rsid w:val="00140AE2"/>
    <w:rsid w:val="00160E7E"/>
    <w:rsid w:val="00165F69"/>
    <w:rsid w:val="001D192D"/>
    <w:rsid w:val="001F29B1"/>
    <w:rsid w:val="001F3C57"/>
    <w:rsid w:val="001F5D6B"/>
    <w:rsid w:val="00206885"/>
    <w:rsid w:val="00240196"/>
    <w:rsid w:val="002559A1"/>
    <w:rsid w:val="00263FFB"/>
    <w:rsid w:val="00280B6B"/>
    <w:rsid w:val="00290088"/>
    <w:rsid w:val="002C3190"/>
    <w:rsid w:val="002C751C"/>
    <w:rsid w:val="00300F63"/>
    <w:rsid w:val="00313F36"/>
    <w:rsid w:val="00326E7D"/>
    <w:rsid w:val="00331E0D"/>
    <w:rsid w:val="00343436"/>
    <w:rsid w:val="003606FC"/>
    <w:rsid w:val="003670FA"/>
    <w:rsid w:val="00367847"/>
    <w:rsid w:val="00374E6F"/>
    <w:rsid w:val="00386DBB"/>
    <w:rsid w:val="003933A5"/>
    <w:rsid w:val="003B66C7"/>
    <w:rsid w:val="003B66DC"/>
    <w:rsid w:val="0040453F"/>
    <w:rsid w:val="00411417"/>
    <w:rsid w:val="00463722"/>
    <w:rsid w:val="00473424"/>
    <w:rsid w:val="0047363A"/>
    <w:rsid w:val="00490231"/>
    <w:rsid w:val="004E475F"/>
    <w:rsid w:val="005010C6"/>
    <w:rsid w:val="005229E7"/>
    <w:rsid w:val="00541599"/>
    <w:rsid w:val="0055255F"/>
    <w:rsid w:val="00570AB0"/>
    <w:rsid w:val="00582A3F"/>
    <w:rsid w:val="00591320"/>
    <w:rsid w:val="005B22DE"/>
    <w:rsid w:val="0061098B"/>
    <w:rsid w:val="00617AC8"/>
    <w:rsid w:val="0062064A"/>
    <w:rsid w:val="00634DF0"/>
    <w:rsid w:val="00650FD7"/>
    <w:rsid w:val="00651202"/>
    <w:rsid w:val="0065326C"/>
    <w:rsid w:val="006572D2"/>
    <w:rsid w:val="006B149F"/>
    <w:rsid w:val="006D38E0"/>
    <w:rsid w:val="006D60ED"/>
    <w:rsid w:val="006F0D97"/>
    <w:rsid w:val="006F67A4"/>
    <w:rsid w:val="007065C0"/>
    <w:rsid w:val="00773DC5"/>
    <w:rsid w:val="007A44CF"/>
    <w:rsid w:val="007A55A7"/>
    <w:rsid w:val="007C2FFB"/>
    <w:rsid w:val="007D1295"/>
    <w:rsid w:val="007D508D"/>
    <w:rsid w:val="007D5F4A"/>
    <w:rsid w:val="007D70D4"/>
    <w:rsid w:val="00832359"/>
    <w:rsid w:val="00837834"/>
    <w:rsid w:val="00844666"/>
    <w:rsid w:val="00854A60"/>
    <w:rsid w:val="00892314"/>
    <w:rsid w:val="008D0C96"/>
    <w:rsid w:val="008D1707"/>
    <w:rsid w:val="00941B6E"/>
    <w:rsid w:val="009442FC"/>
    <w:rsid w:val="00944B31"/>
    <w:rsid w:val="00951583"/>
    <w:rsid w:val="00953846"/>
    <w:rsid w:val="009538BC"/>
    <w:rsid w:val="00972F63"/>
    <w:rsid w:val="009766A5"/>
    <w:rsid w:val="00980242"/>
    <w:rsid w:val="00981A49"/>
    <w:rsid w:val="00981B68"/>
    <w:rsid w:val="009966A9"/>
    <w:rsid w:val="00A111ED"/>
    <w:rsid w:val="00A330D4"/>
    <w:rsid w:val="00A36FA0"/>
    <w:rsid w:val="00A5196E"/>
    <w:rsid w:val="00A56079"/>
    <w:rsid w:val="00A67EF4"/>
    <w:rsid w:val="00A70EBA"/>
    <w:rsid w:val="00A93C08"/>
    <w:rsid w:val="00AA3769"/>
    <w:rsid w:val="00AB447F"/>
    <w:rsid w:val="00AD2B3F"/>
    <w:rsid w:val="00AE3F91"/>
    <w:rsid w:val="00AF58DD"/>
    <w:rsid w:val="00B12505"/>
    <w:rsid w:val="00B159FC"/>
    <w:rsid w:val="00B23BCA"/>
    <w:rsid w:val="00B402C3"/>
    <w:rsid w:val="00B654EE"/>
    <w:rsid w:val="00B66E32"/>
    <w:rsid w:val="00B70EB7"/>
    <w:rsid w:val="00BA5F86"/>
    <w:rsid w:val="00BB418A"/>
    <w:rsid w:val="00BB449F"/>
    <w:rsid w:val="00BD1DBF"/>
    <w:rsid w:val="00BE3DDD"/>
    <w:rsid w:val="00C1427F"/>
    <w:rsid w:val="00C27E6F"/>
    <w:rsid w:val="00C37159"/>
    <w:rsid w:val="00C47A79"/>
    <w:rsid w:val="00C6163D"/>
    <w:rsid w:val="00C675D2"/>
    <w:rsid w:val="00C71682"/>
    <w:rsid w:val="00C82406"/>
    <w:rsid w:val="00CA3CF8"/>
    <w:rsid w:val="00CB0BEA"/>
    <w:rsid w:val="00CC6B0B"/>
    <w:rsid w:val="00D01BBB"/>
    <w:rsid w:val="00D01E2F"/>
    <w:rsid w:val="00D335B5"/>
    <w:rsid w:val="00D50538"/>
    <w:rsid w:val="00D53FCB"/>
    <w:rsid w:val="00D948EA"/>
    <w:rsid w:val="00D97AAF"/>
    <w:rsid w:val="00DA2F4A"/>
    <w:rsid w:val="00DE20FC"/>
    <w:rsid w:val="00DF3A8C"/>
    <w:rsid w:val="00E13B20"/>
    <w:rsid w:val="00E27A7B"/>
    <w:rsid w:val="00E45E10"/>
    <w:rsid w:val="00EA658A"/>
    <w:rsid w:val="00EC7C49"/>
    <w:rsid w:val="00EF3583"/>
    <w:rsid w:val="00EF4726"/>
    <w:rsid w:val="00F12BD6"/>
    <w:rsid w:val="00F406AD"/>
    <w:rsid w:val="00F53AA3"/>
    <w:rsid w:val="00F60ECA"/>
    <w:rsid w:val="00F71391"/>
    <w:rsid w:val="00F74DEE"/>
    <w:rsid w:val="00FA037E"/>
    <w:rsid w:val="00FB726B"/>
    <w:rsid w:val="00FC58FE"/>
    <w:rsid w:val="00FD1F20"/>
    <w:rsid w:val="00FD7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DEB38-7C14-41FB-9F5F-F047A5E6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14"/>
    <w:pPr>
      <w:tabs>
        <w:tab w:val="left" w:pos="0"/>
      </w:tabs>
      <w:spacing w:after="120" w:line="360" w:lineRule="auto"/>
      <w:ind w:firstLine="288"/>
      <w:jc w:val="both"/>
    </w:pPr>
    <w:rPr>
      <w:rFonts w:ascii="Arial" w:eastAsiaTheme="minorEastAsia" w:hAnsi="Arial" w:cs="Apple Symbols"/>
      <w:sz w:val="20"/>
      <w:szCs w:val="20"/>
    </w:rPr>
  </w:style>
  <w:style w:type="paragraph" w:styleId="Heading1">
    <w:name w:val="heading 1"/>
    <w:basedOn w:val="ListParagraph"/>
    <w:next w:val="Normal"/>
    <w:link w:val="Heading1Char"/>
    <w:uiPriority w:val="9"/>
    <w:qFormat/>
    <w:rsid w:val="00892314"/>
    <w:pPr>
      <w:numPr>
        <w:numId w:val="1"/>
      </w:numPr>
      <w:tabs>
        <w:tab w:val="left" w:pos="360"/>
      </w:tabs>
      <w:spacing w:before="360"/>
      <w:contextualSpacing w:val="0"/>
      <w:outlineLvl w:val="0"/>
    </w:pPr>
    <w:rPr>
      <w:b/>
    </w:rPr>
  </w:style>
  <w:style w:type="paragraph" w:styleId="Heading2">
    <w:name w:val="heading 2"/>
    <w:basedOn w:val="Normal"/>
    <w:next w:val="Normal"/>
    <w:link w:val="Heading2Char"/>
    <w:uiPriority w:val="9"/>
    <w:unhideWhenUsed/>
    <w:qFormat/>
    <w:rsid w:val="00892314"/>
    <w:pPr>
      <w:tabs>
        <w:tab w:val="clear" w:pos="0"/>
        <w:tab w:val="left" w:pos="360"/>
      </w:tabs>
      <w:ind w:firstLine="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314"/>
    <w:rPr>
      <w:rFonts w:ascii="Arial" w:eastAsiaTheme="minorEastAsia" w:hAnsi="Arial" w:cs="Apple Symbols"/>
      <w:b/>
      <w:sz w:val="20"/>
      <w:szCs w:val="20"/>
    </w:rPr>
  </w:style>
  <w:style w:type="character" w:customStyle="1" w:styleId="Heading2Char">
    <w:name w:val="Heading 2 Char"/>
    <w:basedOn w:val="DefaultParagraphFont"/>
    <w:link w:val="Heading2"/>
    <w:uiPriority w:val="9"/>
    <w:rsid w:val="00892314"/>
    <w:rPr>
      <w:rFonts w:ascii="Arial" w:eastAsiaTheme="minorEastAsia" w:hAnsi="Arial" w:cs="Apple Symbols"/>
      <w:b/>
      <w:sz w:val="20"/>
      <w:szCs w:val="20"/>
    </w:rPr>
  </w:style>
  <w:style w:type="character" w:styleId="Hyperlink">
    <w:name w:val="Hyperlink"/>
    <w:uiPriority w:val="99"/>
    <w:unhideWhenUsed/>
    <w:rsid w:val="00892314"/>
    <w:rPr>
      <w:color w:val="0000FF"/>
      <w:u w:val="single"/>
    </w:rPr>
  </w:style>
  <w:style w:type="paragraph" w:styleId="Footer">
    <w:name w:val="footer"/>
    <w:basedOn w:val="Normal"/>
    <w:link w:val="FooterChar"/>
    <w:uiPriority w:val="99"/>
    <w:unhideWhenUsed/>
    <w:rsid w:val="00892314"/>
    <w:pPr>
      <w:tabs>
        <w:tab w:val="center" w:pos="4680"/>
        <w:tab w:val="right" w:pos="9360"/>
      </w:tabs>
    </w:pPr>
  </w:style>
  <w:style w:type="character" w:customStyle="1" w:styleId="FooterChar">
    <w:name w:val="Footer Char"/>
    <w:basedOn w:val="DefaultParagraphFont"/>
    <w:link w:val="Footer"/>
    <w:uiPriority w:val="99"/>
    <w:rsid w:val="00892314"/>
    <w:rPr>
      <w:rFonts w:ascii="Arial" w:eastAsiaTheme="minorEastAsia" w:hAnsi="Arial" w:cs="Apple Symbols"/>
      <w:sz w:val="20"/>
      <w:szCs w:val="20"/>
    </w:rPr>
  </w:style>
  <w:style w:type="paragraph" w:styleId="ListParagraph">
    <w:name w:val="List Paragraph"/>
    <w:basedOn w:val="Normal"/>
    <w:uiPriority w:val="34"/>
    <w:qFormat/>
    <w:rsid w:val="00892314"/>
    <w:pPr>
      <w:ind w:left="720"/>
      <w:contextualSpacing/>
    </w:pPr>
  </w:style>
  <w:style w:type="paragraph" w:styleId="BalloonText">
    <w:name w:val="Balloon Text"/>
    <w:basedOn w:val="Normal"/>
    <w:link w:val="BalloonTextChar"/>
    <w:uiPriority w:val="99"/>
    <w:semiHidden/>
    <w:unhideWhenUsed/>
    <w:rsid w:val="0063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DF0"/>
    <w:rPr>
      <w:rFonts w:ascii="Tahoma" w:eastAsiaTheme="minorEastAsia" w:hAnsi="Tahoma" w:cs="Tahoma"/>
      <w:sz w:val="16"/>
      <w:szCs w:val="16"/>
    </w:rPr>
  </w:style>
  <w:style w:type="paragraph" w:styleId="Header">
    <w:name w:val="header"/>
    <w:basedOn w:val="Normal"/>
    <w:link w:val="HeaderChar"/>
    <w:uiPriority w:val="99"/>
    <w:unhideWhenUsed/>
    <w:rsid w:val="009442FC"/>
    <w:pPr>
      <w:tabs>
        <w:tab w:val="clear" w:pos="0"/>
        <w:tab w:val="center" w:pos="4680"/>
        <w:tab w:val="right" w:pos="9360"/>
      </w:tabs>
      <w:spacing w:after="0" w:line="240" w:lineRule="auto"/>
    </w:pPr>
  </w:style>
  <w:style w:type="character" w:customStyle="1" w:styleId="HeaderChar">
    <w:name w:val="Header Char"/>
    <w:basedOn w:val="DefaultParagraphFont"/>
    <w:link w:val="Header"/>
    <w:uiPriority w:val="99"/>
    <w:rsid w:val="009442FC"/>
    <w:rPr>
      <w:rFonts w:ascii="Arial" w:eastAsiaTheme="minorEastAsia" w:hAnsi="Arial" w:cs="Apple Symbols"/>
      <w:sz w:val="20"/>
      <w:szCs w:val="20"/>
    </w:rPr>
  </w:style>
  <w:style w:type="table" w:styleId="TableGrid">
    <w:name w:val="Table Grid"/>
    <w:basedOn w:val="TableNormal"/>
    <w:uiPriority w:val="39"/>
    <w:rsid w:val="00100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70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7793">
      <w:bodyDiv w:val="1"/>
      <w:marLeft w:val="0"/>
      <w:marRight w:val="0"/>
      <w:marTop w:val="0"/>
      <w:marBottom w:val="0"/>
      <w:divBdr>
        <w:top w:val="none" w:sz="0" w:space="0" w:color="auto"/>
        <w:left w:val="none" w:sz="0" w:space="0" w:color="auto"/>
        <w:bottom w:val="none" w:sz="0" w:space="0" w:color="auto"/>
        <w:right w:val="none" w:sz="0" w:space="0" w:color="auto"/>
      </w:divBdr>
    </w:div>
    <w:div w:id="656155753">
      <w:bodyDiv w:val="1"/>
      <w:marLeft w:val="0"/>
      <w:marRight w:val="0"/>
      <w:marTop w:val="0"/>
      <w:marBottom w:val="0"/>
      <w:divBdr>
        <w:top w:val="none" w:sz="0" w:space="0" w:color="auto"/>
        <w:left w:val="none" w:sz="0" w:space="0" w:color="auto"/>
        <w:bottom w:val="none" w:sz="0" w:space="0" w:color="auto"/>
        <w:right w:val="none" w:sz="0" w:space="0" w:color="auto"/>
      </w:divBdr>
    </w:div>
    <w:div w:id="878512152">
      <w:bodyDiv w:val="1"/>
      <w:marLeft w:val="0"/>
      <w:marRight w:val="0"/>
      <w:marTop w:val="0"/>
      <w:marBottom w:val="0"/>
      <w:divBdr>
        <w:top w:val="none" w:sz="0" w:space="0" w:color="auto"/>
        <w:left w:val="none" w:sz="0" w:space="0" w:color="auto"/>
        <w:bottom w:val="none" w:sz="0" w:space="0" w:color="auto"/>
        <w:right w:val="none" w:sz="0" w:space="0" w:color="auto"/>
      </w:divBdr>
    </w:div>
    <w:div w:id="966860554">
      <w:bodyDiv w:val="1"/>
      <w:marLeft w:val="0"/>
      <w:marRight w:val="0"/>
      <w:marTop w:val="0"/>
      <w:marBottom w:val="0"/>
      <w:divBdr>
        <w:top w:val="none" w:sz="0" w:space="0" w:color="auto"/>
        <w:left w:val="none" w:sz="0" w:space="0" w:color="auto"/>
        <w:bottom w:val="none" w:sz="0" w:space="0" w:color="auto"/>
        <w:right w:val="none" w:sz="0" w:space="0" w:color="auto"/>
      </w:divBdr>
    </w:div>
    <w:div w:id="1067412999">
      <w:bodyDiv w:val="1"/>
      <w:marLeft w:val="0"/>
      <w:marRight w:val="0"/>
      <w:marTop w:val="0"/>
      <w:marBottom w:val="0"/>
      <w:divBdr>
        <w:top w:val="none" w:sz="0" w:space="0" w:color="auto"/>
        <w:left w:val="none" w:sz="0" w:space="0" w:color="auto"/>
        <w:bottom w:val="none" w:sz="0" w:space="0" w:color="auto"/>
        <w:right w:val="none" w:sz="0" w:space="0" w:color="auto"/>
      </w:divBdr>
    </w:div>
    <w:div w:id="1322394670">
      <w:bodyDiv w:val="1"/>
      <w:marLeft w:val="0"/>
      <w:marRight w:val="0"/>
      <w:marTop w:val="0"/>
      <w:marBottom w:val="0"/>
      <w:divBdr>
        <w:top w:val="none" w:sz="0" w:space="0" w:color="auto"/>
        <w:left w:val="none" w:sz="0" w:space="0" w:color="auto"/>
        <w:bottom w:val="none" w:sz="0" w:space="0" w:color="auto"/>
        <w:right w:val="none" w:sz="0" w:space="0" w:color="auto"/>
      </w:divBdr>
    </w:div>
    <w:div w:id="1324090758">
      <w:bodyDiv w:val="1"/>
      <w:marLeft w:val="0"/>
      <w:marRight w:val="0"/>
      <w:marTop w:val="0"/>
      <w:marBottom w:val="0"/>
      <w:divBdr>
        <w:top w:val="none" w:sz="0" w:space="0" w:color="auto"/>
        <w:left w:val="none" w:sz="0" w:space="0" w:color="auto"/>
        <w:bottom w:val="none" w:sz="0" w:space="0" w:color="auto"/>
        <w:right w:val="none" w:sz="0" w:space="0" w:color="auto"/>
      </w:divBdr>
    </w:div>
    <w:div w:id="1337345390">
      <w:bodyDiv w:val="1"/>
      <w:marLeft w:val="0"/>
      <w:marRight w:val="0"/>
      <w:marTop w:val="0"/>
      <w:marBottom w:val="0"/>
      <w:divBdr>
        <w:top w:val="none" w:sz="0" w:space="0" w:color="auto"/>
        <w:left w:val="none" w:sz="0" w:space="0" w:color="auto"/>
        <w:bottom w:val="none" w:sz="0" w:space="0" w:color="auto"/>
        <w:right w:val="none" w:sz="0" w:space="0" w:color="auto"/>
      </w:divBdr>
    </w:div>
    <w:div w:id="1497964326">
      <w:bodyDiv w:val="1"/>
      <w:marLeft w:val="0"/>
      <w:marRight w:val="0"/>
      <w:marTop w:val="0"/>
      <w:marBottom w:val="0"/>
      <w:divBdr>
        <w:top w:val="none" w:sz="0" w:space="0" w:color="auto"/>
        <w:left w:val="none" w:sz="0" w:space="0" w:color="auto"/>
        <w:bottom w:val="none" w:sz="0" w:space="0" w:color="auto"/>
        <w:right w:val="none" w:sz="0" w:space="0" w:color="auto"/>
      </w:divBdr>
    </w:div>
    <w:div w:id="1521046712">
      <w:bodyDiv w:val="1"/>
      <w:marLeft w:val="0"/>
      <w:marRight w:val="0"/>
      <w:marTop w:val="0"/>
      <w:marBottom w:val="0"/>
      <w:divBdr>
        <w:top w:val="none" w:sz="0" w:space="0" w:color="auto"/>
        <w:left w:val="none" w:sz="0" w:space="0" w:color="auto"/>
        <w:bottom w:val="none" w:sz="0" w:space="0" w:color="auto"/>
        <w:right w:val="none" w:sz="0" w:space="0" w:color="auto"/>
      </w:divBdr>
    </w:div>
    <w:div w:id="1535002550">
      <w:bodyDiv w:val="1"/>
      <w:marLeft w:val="0"/>
      <w:marRight w:val="0"/>
      <w:marTop w:val="0"/>
      <w:marBottom w:val="0"/>
      <w:divBdr>
        <w:top w:val="none" w:sz="0" w:space="0" w:color="auto"/>
        <w:left w:val="none" w:sz="0" w:space="0" w:color="auto"/>
        <w:bottom w:val="none" w:sz="0" w:space="0" w:color="auto"/>
        <w:right w:val="none" w:sz="0" w:space="0" w:color="auto"/>
      </w:divBdr>
    </w:div>
    <w:div w:id="1590893757">
      <w:bodyDiv w:val="1"/>
      <w:marLeft w:val="0"/>
      <w:marRight w:val="0"/>
      <w:marTop w:val="0"/>
      <w:marBottom w:val="0"/>
      <w:divBdr>
        <w:top w:val="none" w:sz="0" w:space="0" w:color="auto"/>
        <w:left w:val="none" w:sz="0" w:space="0" w:color="auto"/>
        <w:bottom w:val="none" w:sz="0" w:space="0" w:color="auto"/>
        <w:right w:val="none" w:sz="0" w:space="0" w:color="auto"/>
      </w:divBdr>
    </w:div>
    <w:div w:id="1603101775">
      <w:bodyDiv w:val="1"/>
      <w:marLeft w:val="0"/>
      <w:marRight w:val="0"/>
      <w:marTop w:val="0"/>
      <w:marBottom w:val="0"/>
      <w:divBdr>
        <w:top w:val="none" w:sz="0" w:space="0" w:color="auto"/>
        <w:left w:val="none" w:sz="0" w:space="0" w:color="auto"/>
        <w:bottom w:val="none" w:sz="0" w:space="0" w:color="auto"/>
        <w:right w:val="none" w:sz="0" w:space="0" w:color="auto"/>
      </w:divBdr>
    </w:div>
    <w:div w:id="1609386492">
      <w:bodyDiv w:val="1"/>
      <w:marLeft w:val="0"/>
      <w:marRight w:val="0"/>
      <w:marTop w:val="0"/>
      <w:marBottom w:val="0"/>
      <w:divBdr>
        <w:top w:val="none" w:sz="0" w:space="0" w:color="auto"/>
        <w:left w:val="none" w:sz="0" w:space="0" w:color="auto"/>
        <w:bottom w:val="none" w:sz="0" w:space="0" w:color="auto"/>
        <w:right w:val="none" w:sz="0" w:space="0" w:color="auto"/>
      </w:divBdr>
    </w:div>
    <w:div w:id="1624190767">
      <w:bodyDiv w:val="1"/>
      <w:marLeft w:val="0"/>
      <w:marRight w:val="0"/>
      <w:marTop w:val="0"/>
      <w:marBottom w:val="0"/>
      <w:divBdr>
        <w:top w:val="none" w:sz="0" w:space="0" w:color="auto"/>
        <w:left w:val="none" w:sz="0" w:space="0" w:color="auto"/>
        <w:bottom w:val="none" w:sz="0" w:space="0" w:color="auto"/>
        <w:right w:val="none" w:sz="0" w:space="0" w:color="auto"/>
      </w:divBdr>
    </w:div>
    <w:div w:id="1631281020">
      <w:bodyDiv w:val="1"/>
      <w:marLeft w:val="0"/>
      <w:marRight w:val="0"/>
      <w:marTop w:val="0"/>
      <w:marBottom w:val="0"/>
      <w:divBdr>
        <w:top w:val="none" w:sz="0" w:space="0" w:color="auto"/>
        <w:left w:val="none" w:sz="0" w:space="0" w:color="auto"/>
        <w:bottom w:val="none" w:sz="0" w:space="0" w:color="auto"/>
        <w:right w:val="none" w:sz="0" w:space="0" w:color="auto"/>
      </w:divBdr>
    </w:div>
    <w:div w:id="16631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UM_Dell_XPS\Dropbox\Joana%20Bastos\19%20LCA%20of%20commuting\12%20Submission%20Atmospheric%20Env\www.un.org\esa\gite\csd\gorha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M_Dell_XPS\Dropbox\Joana%20Bastos\19%20LCA%20of%20commuting\12%20Submission%20Atmospheric%20Env\www.bombardier.com\content\dam\Websites\bombardiercom\supporting-documents\Sustainability\Reports\BT\Bombardier-Transportation-EPD-INNOVIA-ART-200-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M_Dell_XPS\Dropbox\Joana%20Bastos\19%20LCA%20of%20commuting\12%20Submission%20Atmospheric%20Env\www.avnir.org\documentation\bdd\epd\epd276en.pdf" TargetMode="External"/><Relationship Id="rId5" Type="http://schemas.openxmlformats.org/officeDocument/2006/relationships/webSettings" Target="webSettings.xml"/><Relationship Id="rId15" Type="http://schemas.openxmlformats.org/officeDocument/2006/relationships/hyperlink" Target="http://doi.org/DOE/GO-102013-3704" TargetMode="External"/><Relationship Id="rId10" Type="http://schemas.openxmlformats.org/officeDocument/2006/relationships/hyperlink" Target="http://www.ub.edu/irea/working_papers/2009/200905.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file:///C:\Users\jmfbastos\Dropbox\Joana%20Bastos\19%20LCA%20of%20commuting\10%20Submission%20EST\www.eea.europa.eu\publications\emep-eea-guidebook-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B2167-EF4E-44ED-9D8C-8130A18E6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4189</Words>
  <Characters>23879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dc:creator>
  <cp:lastModifiedBy>Madhumala NM</cp:lastModifiedBy>
  <cp:revision>3</cp:revision>
  <cp:lastPrinted>2018-01-10T10:07:00Z</cp:lastPrinted>
  <dcterms:created xsi:type="dcterms:W3CDTF">2018-08-23T03:39:00Z</dcterms:created>
  <dcterms:modified xsi:type="dcterms:W3CDTF">2018-08-23T03:39:00Z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0abef458-07f8-3a68-a489-66fb41288c66</vt:lpwstr>
  </property>
</Properties>
</file>