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D7" w:rsidRPr="0003467B" w:rsidRDefault="00C806D7" w:rsidP="00C806D7">
      <w:pPr>
        <w:spacing w:line="480" w:lineRule="auto"/>
        <w:rPr>
          <w:rFonts w:ascii="Arial" w:hAnsi="Arial" w:cs="Arial"/>
          <w:b/>
          <w:sz w:val="24"/>
          <w:szCs w:val="20"/>
        </w:rPr>
      </w:pPr>
      <w:bookmarkStart w:id="0" w:name="_GoBack"/>
      <w:bookmarkEnd w:id="0"/>
      <w:r w:rsidRPr="0003467B">
        <w:rPr>
          <w:rFonts w:ascii="Arial" w:hAnsi="Arial" w:cs="Arial"/>
          <w:b/>
          <w:sz w:val="24"/>
          <w:szCs w:val="20"/>
        </w:rPr>
        <w:t>APPENDIX: ADDITIONAL TABLE</w:t>
      </w:r>
    </w:p>
    <w:p w:rsidR="00C806D7" w:rsidRPr="00CE7B59" w:rsidRDefault="00C806D7" w:rsidP="00C806D7">
      <w:pPr>
        <w:spacing w:after="0" w:line="480" w:lineRule="auto"/>
        <w:rPr>
          <w:rFonts w:ascii="Arial" w:hAnsi="Arial" w:cs="Arial"/>
          <w:b/>
          <w:sz w:val="24"/>
          <w:szCs w:val="24"/>
        </w:rPr>
      </w:pPr>
      <w:r w:rsidRPr="00CE7B59">
        <w:rPr>
          <w:rFonts w:ascii="Arial" w:hAnsi="Arial" w:cs="Arial"/>
          <w:b/>
          <w:sz w:val="24"/>
          <w:szCs w:val="24"/>
        </w:rPr>
        <w:t xml:space="preserve">Table </w:t>
      </w:r>
      <w:r>
        <w:rPr>
          <w:rFonts w:ascii="Arial" w:hAnsi="Arial" w:cs="Arial"/>
          <w:b/>
          <w:sz w:val="24"/>
          <w:szCs w:val="24"/>
        </w:rPr>
        <w:t>A.</w:t>
      </w:r>
      <w:r w:rsidRPr="00CE7B59">
        <w:rPr>
          <w:rFonts w:ascii="Arial" w:hAnsi="Arial" w:cs="Arial"/>
          <w:b/>
          <w:sz w:val="24"/>
          <w:szCs w:val="24"/>
        </w:rPr>
        <w:t>1: Treatment sequences</w:t>
      </w:r>
    </w:p>
    <w:tbl>
      <w:tblPr>
        <w:tblStyle w:val="TableGrid"/>
        <w:tblW w:w="9180" w:type="dxa"/>
        <w:tblLayout w:type="fixed"/>
        <w:tblLook w:val="04A0" w:firstRow="1" w:lastRow="0" w:firstColumn="1" w:lastColumn="0" w:noHBand="0" w:noVBand="1"/>
      </w:tblPr>
      <w:tblGrid>
        <w:gridCol w:w="1384"/>
        <w:gridCol w:w="1949"/>
        <w:gridCol w:w="1949"/>
        <w:gridCol w:w="1949"/>
        <w:gridCol w:w="1949"/>
      </w:tblGrid>
      <w:tr w:rsidR="00C806D7" w:rsidTr="004B4512">
        <w:tc>
          <w:tcPr>
            <w:tcW w:w="9180" w:type="dxa"/>
            <w:gridSpan w:val="5"/>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b/>
                <w:sz w:val="20"/>
                <w:szCs w:val="20"/>
              </w:rPr>
            </w:pPr>
            <w:r>
              <w:rPr>
                <w:rFonts w:ascii="Arial" w:hAnsi="Arial" w:cs="Arial"/>
                <w:b/>
                <w:sz w:val="20"/>
                <w:szCs w:val="20"/>
              </w:rPr>
              <w:t>MTX-IR subpopulation</w:t>
            </w:r>
          </w:p>
        </w:tc>
      </w:tr>
      <w:tr w:rsidR="00C806D7" w:rsidTr="004B4512">
        <w:tc>
          <w:tcPr>
            <w:tcW w:w="1384" w:type="dxa"/>
            <w:tcBorders>
              <w:top w:val="single" w:sz="4" w:space="0" w:color="auto"/>
              <w:left w:val="single" w:sz="4" w:space="0" w:color="auto"/>
              <w:bottom w:val="single" w:sz="4" w:space="0" w:color="auto"/>
              <w:right w:val="single" w:sz="4" w:space="0" w:color="auto"/>
            </w:tcBorders>
          </w:tcPr>
          <w:p w:rsidR="00C806D7" w:rsidRDefault="00C806D7" w:rsidP="004B4512">
            <w:pPr>
              <w:spacing w:line="480" w:lineRule="auto"/>
              <w:rPr>
                <w:rFonts w:ascii="Arial" w:hAnsi="Arial" w:cs="Arial"/>
                <w:sz w:val="20"/>
                <w:szCs w:val="20"/>
              </w:rPr>
            </w:pPr>
          </w:p>
        </w:tc>
        <w:tc>
          <w:tcPr>
            <w:tcW w:w="3898" w:type="dxa"/>
            <w:gridSpan w:val="2"/>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before="200" w:line="480" w:lineRule="auto"/>
              <w:outlineLvl w:val="2"/>
              <w:rPr>
                <w:rFonts w:ascii="Arial" w:hAnsi="Arial" w:cs="Arial"/>
                <w:b/>
                <w:sz w:val="20"/>
                <w:szCs w:val="20"/>
              </w:rPr>
            </w:pPr>
            <w:r>
              <w:rPr>
                <w:rFonts w:ascii="Arial" w:hAnsi="Arial" w:cs="Arial"/>
                <w:b/>
                <w:sz w:val="20"/>
                <w:szCs w:val="20"/>
              </w:rPr>
              <w:t>Scenario I</w:t>
            </w:r>
          </w:p>
        </w:tc>
        <w:tc>
          <w:tcPr>
            <w:tcW w:w="3898" w:type="dxa"/>
            <w:gridSpan w:val="2"/>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before="200" w:line="480" w:lineRule="auto"/>
              <w:outlineLvl w:val="2"/>
              <w:rPr>
                <w:rFonts w:ascii="Arial" w:hAnsi="Arial" w:cs="Arial"/>
                <w:b/>
                <w:sz w:val="20"/>
                <w:szCs w:val="20"/>
              </w:rPr>
            </w:pPr>
            <w:r>
              <w:rPr>
                <w:rFonts w:ascii="Arial" w:hAnsi="Arial" w:cs="Arial"/>
                <w:b/>
                <w:sz w:val="20"/>
                <w:szCs w:val="20"/>
              </w:rPr>
              <w:t>Scenario II</w:t>
            </w:r>
          </w:p>
        </w:tc>
      </w:tr>
      <w:tr w:rsidR="00C806D7" w:rsidTr="004B4512">
        <w:tc>
          <w:tcPr>
            <w:tcW w:w="1384" w:type="dxa"/>
            <w:tcBorders>
              <w:top w:val="single" w:sz="4" w:space="0" w:color="auto"/>
              <w:left w:val="single" w:sz="4" w:space="0" w:color="auto"/>
              <w:bottom w:val="single" w:sz="4" w:space="0" w:color="auto"/>
              <w:right w:val="single" w:sz="4" w:space="0" w:color="auto"/>
            </w:tcBorders>
          </w:tcPr>
          <w:p w:rsidR="00C806D7" w:rsidRDefault="00C806D7" w:rsidP="004B4512">
            <w:pPr>
              <w:spacing w:line="480" w:lineRule="auto"/>
              <w:rPr>
                <w:rFonts w:ascii="Arial" w:hAnsi="Arial" w:cs="Arial"/>
                <w:sz w:val="20"/>
                <w:szCs w:val="20"/>
              </w:rPr>
            </w:pP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Treatment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Comparator</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Treatment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Comparator</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Methotrexate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Methotrexate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Methotrexate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Methotrexate</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Tofacitinib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Etanercept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Tofacitinib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Adalimumab</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Adalimumab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Adalimumab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Etanercept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Etanercept</w:t>
            </w:r>
          </w:p>
        </w:tc>
      </w:tr>
      <w:tr w:rsidR="00C806D7" w:rsidTr="004B4512">
        <w:trPr>
          <w:trHeight w:val="359"/>
        </w:trPr>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Abatacept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Abatacept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Abatacept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Abatacept</w:t>
            </w:r>
          </w:p>
        </w:tc>
      </w:tr>
      <w:tr w:rsidR="00C806D7" w:rsidTr="004B4512">
        <w:trPr>
          <w:trHeight w:val="359"/>
        </w:trPr>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5</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Tocilizumab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Tocilizumab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Tocilizumab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Tocilizumab</w:t>
            </w:r>
          </w:p>
        </w:tc>
      </w:tr>
      <w:tr w:rsidR="00C806D7" w:rsidTr="004B4512">
        <w:trPr>
          <w:trHeight w:val="359"/>
        </w:trPr>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6</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Rituximab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Rituximab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Rituximab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Rituximab</w:t>
            </w:r>
          </w:p>
        </w:tc>
      </w:tr>
      <w:tr w:rsidR="00C806D7" w:rsidTr="004B4512">
        <w:trPr>
          <w:trHeight w:val="359"/>
        </w:trPr>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7</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Salvage therapy</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Salvage therapy</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Salvage therapy</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Salvage therapy</w:t>
            </w:r>
          </w:p>
        </w:tc>
      </w:tr>
      <w:tr w:rsidR="00C806D7" w:rsidTr="004B4512">
        <w:tc>
          <w:tcPr>
            <w:tcW w:w="9180" w:type="dxa"/>
            <w:gridSpan w:val="5"/>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b/>
                <w:sz w:val="20"/>
                <w:szCs w:val="20"/>
              </w:rPr>
            </w:pPr>
            <w:proofErr w:type="spellStart"/>
            <w:r>
              <w:rPr>
                <w:rFonts w:ascii="Arial" w:hAnsi="Arial" w:cs="Arial"/>
                <w:b/>
                <w:sz w:val="20"/>
                <w:szCs w:val="20"/>
              </w:rPr>
              <w:t>TNFi</w:t>
            </w:r>
            <w:proofErr w:type="spellEnd"/>
            <w:r>
              <w:rPr>
                <w:rFonts w:ascii="Arial" w:hAnsi="Arial" w:cs="Arial"/>
                <w:b/>
                <w:sz w:val="20"/>
                <w:szCs w:val="20"/>
              </w:rPr>
              <w:t>-IR subpopulation</w:t>
            </w:r>
          </w:p>
        </w:tc>
      </w:tr>
      <w:tr w:rsidR="00C806D7" w:rsidTr="004B4512">
        <w:tc>
          <w:tcPr>
            <w:tcW w:w="1384" w:type="dxa"/>
            <w:tcBorders>
              <w:top w:val="single" w:sz="4" w:space="0" w:color="auto"/>
              <w:left w:val="single" w:sz="4" w:space="0" w:color="auto"/>
              <w:bottom w:val="single" w:sz="4" w:space="0" w:color="auto"/>
              <w:right w:val="single" w:sz="4" w:space="0" w:color="auto"/>
            </w:tcBorders>
          </w:tcPr>
          <w:p w:rsidR="00C806D7" w:rsidRDefault="00C806D7" w:rsidP="004B4512">
            <w:pPr>
              <w:spacing w:line="480" w:lineRule="auto"/>
              <w:rPr>
                <w:rFonts w:ascii="Arial" w:hAnsi="Arial" w:cs="Arial"/>
                <w:sz w:val="20"/>
                <w:szCs w:val="20"/>
              </w:rPr>
            </w:pPr>
          </w:p>
        </w:tc>
        <w:tc>
          <w:tcPr>
            <w:tcW w:w="3898" w:type="dxa"/>
            <w:gridSpan w:val="2"/>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before="200" w:line="480" w:lineRule="auto"/>
              <w:outlineLvl w:val="2"/>
              <w:rPr>
                <w:rFonts w:ascii="Arial" w:hAnsi="Arial" w:cs="Arial"/>
                <w:b/>
                <w:sz w:val="20"/>
                <w:szCs w:val="20"/>
              </w:rPr>
            </w:pPr>
            <w:r>
              <w:rPr>
                <w:rFonts w:ascii="Arial" w:hAnsi="Arial" w:cs="Arial"/>
                <w:b/>
                <w:sz w:val="20"/>
                <w:szCs w:val="20"/>
              </w:rPr>
              <w:t>Scenario III</w:t>
            </w:r>
          </w:p>
        </w:tc>
        <w:tc>
          <w:tcPr>
            <w:tcW w:w="3898" w:type="dxa"/>
            <w:gridSpan w:val="2"/>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before="200" w:line="480" w:lineRule="auto"/>
              <w:outlineLvl w:val="2"/>
              <w:rPr>
                <w:rFonts w:ascii="Arial" w:hAnsi="Arial" w:cs="Arial"/>
                <w:b/>
                <w:sz w:val="20"/>
                <w:szCs w:val="20"/>
              </w:rPr>
            </w:pPr>
            <w:r>
              <w:rPr>
                <w:rFonts w:ascii="Arial" w:hAnsi="Arial" w:cs="Arial"/>
                <w:b/>
                <w:sz w:val="20"/>
                <w:szCs w:val="20"/>
              </w:rPr>
              <w:t>Scenario IV</w:t>
            </w:r>
          </w:p>
        </w:tc>
      </w:tr>
      <w:tr w:rsidR="00C806D7" w:rsidTr="004B4512">
        <w:tc>
          <w:tcPr>
            <w:tcW w:w="1384" w:type="dxa"/>
            <w:tcBorders>
              <w:top w:val="single" w:sz="4" w:space="0" w:color="auto"/>
              <w:left w:val="single" w:sz="4" w:space="0" w:color="auto"/>
              <w:bottom w:val="single" w:sz="4" w:space="0" w:color="auto"/>
              <w:right w:val="single" w:sz="4" w:space="0" w:color="auto"/>
            </w:tcBorders>
          </w:tcPr>
          <w:p w:rsidR="00C806D7" w:rsidRDefault="00C806D7" w:rsidP="004B4512">
            <w:pPr>
              <w:spacing w:line="480" w:lineRule="auto"/>
              <w:rPr>
                <w:rFonts w:ascii="Arial" w:hAnsi="Arial" w:cs="Arial"/>
                <w:sz w:val="20"/>
                <w:szCs w:val="20"/>
              </w:rPr>
            </w:pP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Treatment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Comparator</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Treatment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b/>
                <w:sz w:val="20"/>
                <w:szCs w:val="20"/>
              </w:rPr>
              <w:t>Comparator</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Methotrexate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Methotrexate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Methotrexate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Methotrexate</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2</w:t>
            </w:r>
            <w:r>
              <w:rPr>
                <w:rFonts w:ascii="Arial" w:hAnsi="Arial" w:cs="Arial"/>
                <w:sz w:val="20"/>
                <w:szCs w:val="20"/>
                <w:vertAlign w:val="superscript"/>
              </w:rPr>
              <w:t>nd</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Etanercept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Etanercept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Etanercept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Etanercept</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3</w:t>
            </w:r>
            <w:r>
              <w:rPr>
                <w:rFonts w:ascii="Arial" w:hAnsi="Arial" w:cs="Arial"/>
                <w:sz w:val="20"/>
                <w:szCs w:val="20"/>
                <w:vertAlign w:val="superscript"/>
              </w:rPr>
              <w:t>rd</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Tofacitinib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Adalimumab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Tofacitinib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Abatacept</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spacing w:line="480" w:lineRule="auto"/>
              <w:rPr>
                <w:rFonts w:ascii="Arial" w:hAnsi="Arial" w:cs="Arial"/>
                <w:sz w:val="20"/>
                <w:szCs w:val="20"/>
              </w:rPr>
            </w:pPr>
            <w:r>
              <w:rPr>
                <w:rFonts w:ascii="Arial" w:hAnsi="Arial" w:cs="Arial"/>
                <w:sz w:val="20"/>
                <w:szCs w:val="20"/>
              </w:rPr>
              <w:t>4</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Abatacept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Abatacept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Tocilizumab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Tocilizumab</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lastRenderedPageBreak/>
              <w:t>5</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Tocilizumab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Tocilizumab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Rituximab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Rituximab</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6</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Rituximab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Rituximab</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Salvage therapy</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Salvage therapy</w:t>
            </w:r>
          </w:p>
        </w:tc>
      </w:tr>
      <w:tr w:rsidR="00C806D7" w:rsidTr="004B4512">
        <w:tc>
          <w:tcPr>
            <w:tcW w:w="1384" w:type="dxa"/>
            <w:tcBorders>
              <w:top w:val="single" w:sz="4" w:space="0" w:color="auto"/>
              <w:left w:val="single" w:sz="4" w:space="0" w:color="auto"/>
              <w:bottom w:val="single" w:sz="4" w:space="0" w:color="auto"/>
              <w:right w:val="single" w:sz="4" w:space="0" w:color="auto"/>
            </w:tcBorders>
            <w:hideMark/>
          </w:tcPr>
          <w:p w:rsidR="00C806D7" w:rsidRDefault="00C806D7" w:rsidP="004B4512">
            <w:pPr>
              <w:keepNext/>
              <w:keepLines/>
              <w:spacing w:line="480" w:lineRule="auto"/>
              <w:outlineLvl w:val="2"/>
              <w:rPr>
                <w:rFonts w:ascii="Arial" w:hAnsi="Arial" w:cs="Arial"/>
                <w:sz w:val="20"/>
                <w:szCs w:val="20"/>
              </w:rPr>
            </w:pPr>
            <w:r>
              <w:rPr>
                <w:rFonts w:ascii="Arial" w:hAnsi="Arial" w:cs="Arial"/>
                <w:sz w:val="20"/>
                <w:szCs w:val="20"/>
              </w:rPr>
              <w:t>7</w:t>
            </w:r>
            <w:r>
              <w:rPr>
                <w:rFonts w:ascii="Arial" w:hAnsi="Arial" w:cs="Arial"/>
                <w:sz w:val="20"/>
                <w:szCs w:val="20"/>
                <w:vertAlign w:val="superscript"/>
              </w:rPr>
              <w:t>th</w:t>
            </w:r>
            <w:r>
              <w:rPr>
                <w:rFonts w:ascii="Arial" w:hAnsi="Arial" w:cs="Arial"/>
                <w:sz w:val="20"/>
                <w:szCs w:val="20"/>
              </w:rPr>
              <w:t xml:space="preserve"> Line</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Salvage therapy</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Salvage therapy</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w:t>
            </w:r>
          </w:p>
        </w:tc>
        <w:tc>
          <w:tcPr>
            <w:tcW w:w="1949" w:type="dxa"/>
            <w:tcBorders>
              <w:top w:val="single" w:sz="4" w:space="0" w:color="auto"/>
              <w:left w:val="single" w:sz="4" w:space="0" w:color="auto"/>
              <w:bottom w:val="single" w:sz="4" w:space="0" w:color="auto"/>
              <w:right w:val="single" w:sz="4" w:space="0" w:color="auto"/>
            </w:tcBorders>
            <w:hideMark/>
          </w:tcPr>
          <w:p w:rsidR="00C806D7" w:rsidRDefault="00C806D7" w:rsidP="004B4512">
            <w:pPr>
              <w:keepLines/>
              <w:spacing w:line="480" w:lineRule="auto"/>
              <w:rPr>
                <w:rFonts w:ascii="Arial" w:hAnsi="Arial" w:cs="Arial"/>
                <w:sz w:val="20"/>
                <w:szCs w:val="20"/>
              </w:rPr>
            </w:pPr>
            <w:r>
              <w:rPr>
                <w:rFonts w:ascii="Arial" w:hAnsi="Arial" w:cs="Arial"/>
                <w:sz w:val="20"/>
                <w:szCs w:val="20"/>
              </w:rPr>
              <w:t>-</w:t>
            </w:r>
          </w:p>
        </w:tc>
      </w:tr>
    </w:tbl>
    <w:p w:rsidR="00C806D7" w:rsidRPr="00CE7B59" w:rsidRDefault="00C806D7" w:rsidP="00C806D7">
      <w:pPr>
        <w:spacing w:after="0" w:line="480" w:lineRule="auto"/>
        <w:rPr>
          <w:rFonts w:ascii="Arial" w:hAnsi="Arial" w:cs="Arial"/>
          <w:b/>
          <w:sz w:val="24"/>
          <w:szCs w:val="24"/>
        </w:rPr>
      </w:pPr>
    </w:p>
    <w:p w:rsidR="00C806D7" w:rsidRPr="00CE7B59" w:rsidRDefault="00C806D7" w:rsidP="00C806D7">
      <w:pPr>
        <w:spacing w:after="0" w:line="360" w:lineRule="auto"/>
        <w:rPr>
          <w:rFonts w:ascii="Arial" w:hAnsi="Arial" w:cs="Arial"/>
          <w:sz w:val="24"/>
          <w:szCs w:val="24"/>
        </w:rPr>
      </w:pPr>
      <w:r w:rsidRPr="00CE7B59">
        <w:rPr>
          <w:rFonts w:ascii="Arial" w:hAnsi="Arial" w:cs="Arial"/>
          <w:b/>
          <w:sz w:val="24"/>
          <w:szCs w:val="24"/>
        </w:rPr>
        <w:t xml:space="preserve">Table caption: </w:t>
      </w:r>
      <w:r w:rsidRPr="00CE7B59">
        <w:rPr>
          <w:rFonts w:ascii="Arial" w:hAnsi="Arial" w:cs="Arial"/>
          <w:sz w:val="24"/>
          <w:szCs w:val="24"/>
        </w:rPr>
        <w:t xml:space="preserve">Table </w:t>
      </w:r>
      <w:r>
        <w:rPr>
          <w:rFonts w:ascii="Arial" w:hAnsi="Arial" w:cs="Arial"/>
          <w:sz w:val="24"/>
          <w:szCs w:val="24"/>
        </w:rPr>
        <w:t>A.</w:t>
      </w:r>
      <w:r w:rsidRPr="00CE7B59">
        <w:rPr>
          <w:rFonts w:ascii="Arial" w:hAnsi="Arial" w:cs="Arial"/>
          <w:sz w:val="24"/>
          <w:szCs w:val="24"/>
        </w:rPr>
        <w:t>1 presents the treatment sequences modelled in the analysis. In each scenario, the treatment sequence is compared with the comparator sequence. Sequences were modelled from the point of convergence. All treatments are administered in combination with methotrexate.</w:t>
      </w:r>
    </w:p>
    <w:p w:rsidR="00C806D7" w:rsidRPr="00031A43" w:rsidRDefault="00C806D7" w:rsidP="00C806D7">
      <w:pPr>
        <w:spacing w:line="360" w:lineRule="auto"/>
        <w:rPr>
          <w:rFonts w:ascii="Arial" w:hAnsi="Arial" w:cs="Arial"/>
          <w:sz w:val="20"/>
          <w:szCs w:val="20"/>
        </w:rPr>
      </w:pPr>
      <w:r w:rsidRPr="00CE7B59">
        <w:rPr>
          <w:rFonts w:ascii="Arial" w:hAnsi="Arial" w:cs="Arial"/>
          <w:sz w:val="24"/>
          <w:szCs w:val="24"/>
        </w:rPr>
        <w:t xml:space="preserve">Abbreviations. MTX-IR: methotrexate inadequate responder. </w:t>
      </w:r>
      <w:proofErr w:type="spellStart"/>
      <w:r w:rsidRPr="00CE7B59">
        <w:rPr>
          <w:rFonts w:ascii="Arial" w:hAnsi="Arial" w:cs="Arial"/>
          <w:sz w:val="24"/>
          <w:szCs w:val="24"/>
        </w:rPr>
        <w:t>TNFi</w:t>
      </w:r>
      <w:proofErr w:type="spellEnd"/>
      <w:r w:rsidRPr="00CE7B59">
        <w:rPr>
          <w:rFonts w:ascii="Arial" w:hAnsi="Arial" w:cs="Arial"/>
          <w:sz w:val="24"/>
          <w:szCs w:val="24"/>
        </w:rPr>
        <w:t xml:space="preserve">-IR: inadequate responder to </w:t>
      </w:r>
      <w:proofErr w:type="spellStart"/>
      <w:r w:rsidRPr="00CE7B59">
        <w:rPr>
          <w:rFonts w:ascii="Arial" w:hAnsi="Arial" w:cs="Arial"/>
          <w:sz w:val="24"/>
          <w:szCs w:val="24"/>
        </w:rPr>
        <w:t>tumor</w:t>
      </w:r>
      <w:proofErr w:type="spellEnd"/>
      <w:r w:rsidRPr="00CE7B59">
        <w:rPr>
          <w:rFonts w:ascii="Arial" w:hAnsi="Arial" w:cs="Arial"/>
          <w:sz w:val="24"/>
          <w:szCs w:val="24"/>
        </w:rPr>
        <w:t xml:space="preserve"> necrosis factor inhibitor.</w:t>
      </w:r>
    </w:p>
    <w:p w:rsidR="003C4DFF" w:rsidRDefault="003C4DFF"/>
    <w:sectPr w:rsidR="003C4DFF" w:rsidSect="002F646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D7"/>
    <w:rsid w:val="003C4DFF"/>
    <w:rsid w:val="00C806D7"/>
    <w:rsid w:val="00E5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3642-8CF7-4E65-86D0-43BFE2B5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FA0963FA69A646AA916D2E41284FC100000AEEF1B48EE72640AC3B7AF22AC26421" ma:contentTypeVersion="0" ma:contentTypeDescription="Create a new document." ma:contentTypeScope="" ma:versionID="b555e2ad6fa1c7d03f85317271bc64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FAE60D-6F33-46F0-8677-19BB7C2C1FC4}">
  <ds:schemaRefs>
    <ds:schemaRef ds:uri="http://schemas.microsoft.com/sharepoint/v3/contenttype/forms"/>
  </ds:schemaRefs>
</ds:datastoreItem>
</file>

<file path=customXml/itemProps2.xml><?xml version="1.0" encoding="utf-8"?>
<ds:datastoreItem xmlns:ds="http://schemas.openxmlformats.org/officeDocument/2006/customXml" ds:itemID="{5DF048E3-BDA0-46EF-83D8-21B9E6703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07C9C-EDD4-4702-B44A-AFEA9B258D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MCM</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MacLachlan, Alice (GLA-CMC)</dc:creator>
  <cp:keywords/>
  <dc:description/>
  <cp:lastModifiedBy>Midgley, Clare</cp:lastModifiedBy>
  <cp:revision>2</cp:revision>
  <dcterms:created xsi:type="dcterms:W3CDTF">2018-10-09T07:04:00Z</dcterms:created>
  <dcterms:modified xsi:type="dcterms:W3CDTF">2018-10-09T07:04:00Z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0x010100FA0963FA69A646AA916D2E41284FC100000AEEF1B48EE72640AC3B7AF22AC26421</vt:lpwstr>
  </property>
</Properties>
</file>