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3B" w:rsidRPr="00B77D3B" w:rsidRDefault="00B77D3B" w:rsidP="00B77D3B">
      <w:pPr>
        <w:spacing w:line="480" w:lineRule="auto"/>
        <w:jc w:val="center"/>
        <w:rPr>
          <w:rFonts w:eastAsia="宋体" w:cs="Times New Roman"/>
          <w:b/>
          <w:sz w:val="24"/>
          <w:szCs w:val="24"/>
        </w:rPr>
      </w:pPr>
      <w:r w:rsidRPr="00B77D3B">
        <w:rPr>
          <w:rFonts w:eastAsia="宋体" w:cs="Times New Roman"/>
          <w:b/>
          <w:sz w:val="24"/>
          <w:szCs w:val="24"/>
        </w:rPr>
        <w:t xml:space="preserve">Supplementary Data (Journal: </w:t>
      </w:r>
      <w:bookmarkStart w:id="0" w:name="OLE_LINK4"/>
      <w:r w:rsidR="0084261C" w:rsidRPr="0084261C">
        <w:rPr>
          <w:rFonts w:eastAsia="宋体" w:cs="Times New Roman"/>
          <w:b/>
          <w:sz w:val="24"/>
          <w:szCs w:val="24"/>
        </w:rPr>
        <w:t xml:space="preserve">Environmental </w:t>
      </w:r>
      <w:bookmarkEnd w:id="0"/>
      <w:r w:rsidR="00696B03">
        <w:rPr>
          <w:rFonts w:eastAsia="宋体" w:cs="Times New Roman"/>
          <w:b/>
          <w:sz w:val="24"/>
          <w:szCs w:val="24"/>
        </w:rPr>
        <w:t>Technology</w:t>
      </w:r>
      <w:r w:rsidRPr="00B77D3B">
        <w:rPr>
          <w:rFonts w:eastAsia="宋体" w:cs="Times New Roman"/>
          <w:b/>
          <w:sz w:val="24"/>
          <w:szCs w:val="24"/>
        </w:rPr>
        <w:t>)</w:t>
      </w:r>
    </w:p>
    <w:p w:rsidR="00AF7C47" w:rsidRPr="00B77D3B" w:rsidRDefault="00AF7C47" w:rsidP="00B77D3B">
      <w:pPr>
        <w:spacing w:line="480" w:lineRule="auto"/>
        <w:rPr>
          <w:sz w:val="24"/>
          <w:szCs w:val="24"/>
        </w:rPr>
      </w:pPr>
    </w:p>
    <w:p w:rsidR="00B77D3B" w:rsidRDefault="00B77D3B" w:rsidP="00B77D3B">
      <w:pPr>
        <w:spacing w:line="480" w:lineRule="auto"/>
        <w:rPr>
          <w:sz w:val="24"/>
          <w:szCs w:val="24"/>
        </w:rPr>
      </w:pPr>
    </w:p>
    <w:p w:rsidR="00B77D3B" w:rsidRDefault="00B77D3B" w:rsidP="00B77D3B">
      <w:pPr>
        <w:spacing w:line="480" w:lineRule="auto"/>
        <w:rPr>
          <w:sz w:val="24"/>
          <w:szCs w:val="24"/>
        </w:rPr>
      </w:pPr>
    </w:p>
    <w:p w:rsidR="0084261C" w:rsidRPr="005702C4" w:rsidRDefault="0084261C" w:rsidP="0084261C">
      <w:pPr>
        <w:pStyle w:val="affiliation"/>
        <w:spacing w:before="0" w:line="480" w:lineRule="auto"/>
        <w:rPr>
          <w:rFonts w:eastAsiaTheme="minorEastAsia"/>
          <w:b/>
          <w:i w:val="0"/>
          <w:sz w:val="24"/>
        </w:rPr>
      </w:pPr>
      <w:bookmarkStart w:id="1" w:name="OLE_LINK26"/>
      <w:bookmarkStart w:id="2" w:name="OLE_LINK35"/>
      <w:bookmarkStart w:id="3" w:name="OLE_LINK47"/>
      <w:bookmarkStart w:id="4" w:name="OLE_LINK57"/>
      <w:bookmarkStart w:id="5" w:name="OLE_LINK1"/>
      <w:bookmarkStart w:id="6" w:name="OLE_LINK2"/>
      <w:r>
        <w:rPr>
          <w:rFonts w:eastAsiaTheme="minorEastAsia"/>
          <w:b/>
          <w:i w:val="0"/>
          <w:sz w:val="24"/>
        </w:rPr>
        <w:t>Response of an aerobic denitrifier to T</w:t>
      </w:r>
      <w:r w:rsidRPr="005702C4">
        <w:rPr>
          <w:rFonts w:eastAsiaTheme="minorEastAsia"/>
          <w:b/>
          <w:i w:val="0"/>
          <w:sz w:val="24"/>
        </w:rPr>
        <w:t>itanium dioxide nanoparticles</w:t>
      </w:r>
      <w:bookmarkEnd w:id="1"/>
      <w:r w:rsidRPr="005702C4">
        <w:rPr>
          <w:rFonts w:eastAsiaTheme="minorEastAsia"/>
          <w:b/>
          <w:i w:val="0"/>
          <w:sz w:val="24"/>
        </w:rPr>
        <w:t xml:space="preserve"> </w:t>
      </w:r>
      <w:bookmarkEnd w:id="2"/>
      <w:r>
        <w:rPr>
          <w:rFonts w:eastAsiaTheme="minorEastAsia"/>
          <w:b/>
          <w:i w:val="0"/>
          <w:sz w:val="24"/>
        </w:rPr>
        <w:t>exposure</w:t>
      </w:r>
    </w:p>
    <w:bookmarkEnd w:id="3"/>
    <w:bookmarkEnd w:id="4"/>
    <w:bookmarkEnd w:id="5"/>
    <w:bookmarkEnd w:id="6"/>
    <w:p w:rsidR="0084261C" w:rsidRPr="00176212" w:rsidRDefault="0084261C" w:rsidP="0084261C">
      <w:pPr>
        <w:pStyle w:val="affiliation"/>
        <w:spacing w:before="0" w:line="480" w:lineRule="auto"/>
        <w:rPr>
          <w:i w:val="0"/>
          <w:sz w:val="24"/>
        </w:rPr>
      </w:pPr>
    </w:p>
    <w:p w:rsidR="0084261C" w:rsidRPr="001D3BEC" w:rsidRDefault="0084261C" w:rsidP="0084261C">
      <w:pPr>
        <w:pStyle w:val="fax"/>
        <w:spacing w:line="480" w:lineRule="auto"/>
      </w:pPr>
    </w:p>
    <w:p w:rsidR="00696B03" w:rsidRPr="002D6854" w:rsidRDefault="00696B03" w:rsidP="00696B03">
      <w:pPr>
        <w:pStyle w:val="affiliation"/>
        <w:spacing w:before="0" w:line="480" w:lineRule="auto"/>
        <w:rPr>
          <w:i w:val="0"/>
          <w:sz w:val="24"/>
        </w:rPr>
      </w:pPr>
      <w:r w:rsidRPr="002D6854">
        <w:rPr>
          <w:i w:val="0"/>
          <w:sz w:val="24"/>
        </w:rPr>
        <w:t>Shufeng Liu</w:t>
      </w:r>
      <w:r>
        <w:rPr>
          <w:i w:val="0"/>
          <w:sz w:val="24"/>
          <w:vertAlign w:val="superscript"/>
        </w:rPr>
        <w:t>a</w:t>
      </w:r>
      <w:r w:rsidRPr="002D6854">
        <w:rPr>
          <w:i w:val="0"/>
          <w:sz w:val="24"/>
        </w:rPr>
        <w:t xml:space="preserve">, </w:t>
      </w:r>
      <w:bookmarkStart w:id="7" w:name="OLE_LINK36"/>
      <w:bookmarkStart w:id="8" w:name="OLE_LINK43"/>
      <w:r w:rsidRPr="002D6854">
        <w:rPr>
          <w:i w:val="0"/>
          <w:sz w:val="24"/>
        </w:rPr>
        <w:t>Ming Wang</w:t>
      </w:r>
      <w:r>
        <w:rPr>
          <w:i w:val="0"/>
          <w:sz w:val="24"/>
          <w:vertAlign w:val="superscript"/>
        </w:rPr>
        <w:t>b</w:t>
      </w:r>
      <w:r w:rsidRPr="002D6854">
        <w:rPr>
          <w:i w:val="0"/>
          <w:sz w:val="24"/>
        </w:rPr>
        <w:t>, Tingting</w:t>
      </w:r>
      <w:bookmarkEnd w:id="7"/>
      <w:bookmarkEnd w:id="8"/>
      <w:r w:rsidRPr="002D6854">
        <w:rPr>
          <w:i w:val="0"/>
          <w:sz w:val="24"/>
        </w:rPr>
        <w:t xml:space="preserve"> Li</w:t>
      </w:r>
      <w:r>
        <w:rPr>
          <w:i w:val="0"/>
          <w:sz w:val="24"/>
          <w:vertAlign w:val="superscript"/>
        </w:rPr>
        <w:t>a</w:t>
      </w:r>
      <w:r w:rsidRPr="002D6854">
        <w:rPr>
          <w:i w:val="0"/>
          <w:sz w:val="24"/>
        </w:rPr>
        <w:t>, Qian Chen</w:t>
      </w:r>
      <w:r w:rsidRPr="002D6854">
        <w:rPr>
          <w:rStyle w:val="a6"/>
          <w:i w:val="0"/>
          <w:sz w:val="24"/>
        </w:rPr>
        <w:footnoteReference w:customMarkFollows="1" w:id="1"/>
        <w:sym w:font="Symbol" w:char="F02A"/>
      </w:r>
      <w:r w:rsidRPr="002D6854">
        <w:rPr>
          <w:i w:val="0"/>
          <w:sz w:val="24"/>
          <w:vertAlign w:val="superscript"/>
        </w:rPr>
        <w:t xml:space="preserve">, </w:t>
      </w:r>
      <w:r>
        <w:rPr>
          <w:i w:val="0"/>
          <w:sz w:val="24"/>
          <w:vertAlign w:val="superscript"/>
        </w:rPr>
        <w:t>a</w:t>
      </w:r>
      <w:r w:rsidRPr="002D6854">
        <w:rPr>
          <w:sz w:val="24"/>
        </w:rPr>
        <w:t xml:space="preserve"> </w:t>
      </w:r>
    </w:p>
    <w:p w:rsidR="00696B03" w:rsidRPr="002D6854" w:rsidRDefault="00696B03" w:rsidP="00696B03">
      <w:pPr>
        <w:spacing w:line="480" w:lineRule="auto"/>
        <w:rPr>
          <w:sz w:val="24"/>
          <w:szCs w:val="24"/>
        </w:rPr>
      </w:pPr>
    </w:p>
    <w:p w:rsidR="00696B03" w:rsidRDefault="00696B03" w:rsidP="00696B03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a</w:t>
      </w:r>
      <w:r w:rsidRPr="002D6854">
        <w:rPr>
          <w:sz w:val="24"/>
          <w:szCs w:val="24"/>
        </w:rPr>
        <w:t xml:space="preserve">Department of Environmental Engineering, Peking University; </w:t>
      </w:r>
      <w:bookmarkStart w:id="9" w:name="OLE_LINK71"/>
      <w:r w:rsidRPr="002D6854">
        <w:rPr>
          <w:sz w:val="24"/>
          <w:szCs w:val="24"/>
        </w:rPr>
        <w:t>Key Laboratory of Water and Sediment Sciences</w:t>
      </w:r>
      <w:bookmarkEnd w:id="9"/>
      <w:r w:rsidRPr="002D6854">
        <w:rPr>
          <w:sz w:val="24"/>
          <w:szCs w:val="24"/>
        </w:rPr>
        <w:t xml:space="preserve">, Ministry of Education, Beijing, </w:t>
      </w:r>
      <w:r>
        <w:rPr>
          <w:sz w:val="24"/>
          <w:szCs w:val="24"/>
        </w:rPr>
        <w:t xml:space="preserve">People’s Republic of </w:t>
      </w:r>
      <w:r w:rsidRPr="002D6854">
        <w:rPr>
          <w:sz w:val="24"/>
          <w:szCs w:val="24"/>
        </w:rPr>
        <w:t>China</w:t>
      </w:r>
      <w:r>
        <w:rPr>
          <w:sz w:val="24"/>
          <w:szCs w:val="24"/>
        </w:rPr>
        <w:t xml:space="preserve">; </w:t>
      </w:r>
    </w:p>
    <w:p w:rsidR="00696B03" w:rsidRPr="002D6854" w:rsidRDefault="00696B03" w:rsidP="00696B03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b</w:t>
      </w:r>
      <w:r w:rsidRPr="002D6854">
        <w:rPr>
          <w:sz w:val="24"/>
          <w:szCs w:val="24"/>
        </w:rPr>
        <w:t xml:space="preserve">Yellow River Institute of Hydraulic Research, Zhengzhou, </w:t>
      </w:r>
      <w:r>
        <w:rPr>
          <w:sz w:val="24"/>
          <w:szCs w:val="24"/>
        </w:rPr>
        <w:t xml:space="preserve">People’s Republic of </w:t>
      </w:r>
      <w:r w:rsidRPr="002D6854">
        <w:rPr>
          <w:sz w:val="24"/>
          <w:szCs w:val="24"/>
        </w:rPr>
        <w:t>China</w:t>
      </w:r>
    </w:p>
    <w:p w:rsidR="007345B1" w:rsidRPr="00696B03" w:rsidRDefault="007345B1" w:rsidP="005866CD">
      <w:pPr>
        <w:spacing w:line="480" w:lineRule="auto"/>
        <w:jc w:val="center"/>
        <w:rPr>
          <w:rFonts w:eastAsia="宋体" w:cs="Times New Roman"/>
          <w:sz w:val="24"/>
          <w:szCs w:val="24"/>
        </w:rPr>
      </w:pPr>
    </w:p>
    <w:p w:rsidR="005866CD" w:rsidRPr="005866CD" w:rsidRDefault="005866CD" w:rsidP="005866CD">
      <w:pPr>
        <w:widowControl/>
        <w:spacing w:line="480" w:lineRule="auto"/>
        <w:jc w:val="left"/>
        <w:rPr>
          <w:rFonts w:eastAsia="宋体" w:cs="Times New Roman"/>
          <w:sz w:val="24"/>
          <w:szCs w:val="24"/>
        </w:rPr>
        <w:sectPr w:rsidR="005866CD" w:rsidRPr="005866CD" w:rsidSect="009939D2">
          <w:footerReference w:type="default" r:id="rId7"/>
          <w:pgSz w:w="11906" w:h="16838" w:code="9"/>
          <w:pgMar w:top="1440" w:right="1701" w:bottom="1440" w:left="1701" w:header="851" w:footer="992" w:gutter="0"/>
          <w:lnNumType w:countBy="1" w:restart="continuous"/>
          <w:cols w:space="425"/>
          <w:docGrid w:type="lines" w:linePitch="312"/>
        </w:sectPr>
      </w:pPr>
    </w:p>
    <w:p w:rsidR="00B77D3B" w:rsidRPr="006E3020" w:rsidRDefault="006E3020" w:rsidP="00B77D3B">
      <w:pPr>
        <w:spacing w:line="480" w:lineRule="auto"/>
        <w:rPr>
          <w:b/>
          <w:sz w:val="24"/>
          <w:szCs w:val="24"/>
        </w:rPr>
      </w:pPr>
      <w:r w:rsidRPr="006E3020">
        <w:rPr>
          <w:rFonts w:hint="eastAsia"/>
          <w:b/>
          <w:sz w:val="24"/>
          <w:szCs w:val="24"/>
        </w:rPr>
        <w:lastRenderedPageBreak/>
        <w:t>Materials and Methods</w:t>
      </w:r>
    </w:p>
    <w:p w:rsidR="0025692F" w:rsidRPr="00FF3C35" w:rsidRDefault="0025692F" w:rsidP="00430A68">
      <w:pPr>
        <w:spacing w:line="480" w:lineRule="auto"/>
        <w:jc w:val="left"/>
        <w:rPr>
          <w:b/>
          <w:sz w:val="24"/>
          <w:szCs w:val="24"/>
        </w:rPr>
      </w:pPr>
      <w:r w:rsidRPr="00FF3C35">
        <w:rPr>
          <w:b/>
          <w:sz w:val="24"/>
        </w:rPr>
        <w:t>Characterization of TiO</w:t>
      </w:r>
      <w:r w:rsidRPr="00FF3C35">
        <w:rPr>
          <w:b/>
          <w:sz w:val="24"/>
          <w:vertAlign w:val="subscript"/>
        </w:rPr>
        <w:t>2</w:t>
      </w:r>
      <w:r w:rsidRPr="00FF3C35">
        <w:rPr>
          <w:b/>
          <w:sz w:val="24"/>
        </w:rPr>
        <w:t xml:space="preserve"> nanoparticles</w:t>
      </w:r>
      <w:r w:rsidR="00372536" w:rsidRPr="00FF3C35">
        <w:rPr>
          <w:b/>
          <w:sz w:val="24"/>
        </w:rPr>
        <w:t xml:space="preserve"> (NPs)</w:t>
      </w:r>
    </w:p>
    <w:p w:rsidR="0025692F" w:rsidRDefault="00230001" w:rsidP="00FF3E60">
      <w:pPr>
        <w:spacing w:line="480" w:lineRule="auto"/>
        <w:rPr>
          <w:b/>
          <w:sz w:val="24"/>
          <w:szCs w:val="24"/>
        </w:rPr>
      </w:pPr>
      <w:r w:rsidRPr="00FF3C35">
        <w:rPr>
          <w:rFonts w:eastAsia="宋体" w:cs="Times New Roman"/>
          <w:sz w:val="24"/>
          <w:szCs w:val="24"/>
        </w:rPr>
        <w:t>TiO</w:t>
      </w:r>
      <w:r w:rsidRPr="00FF3C35">
        <w:rPr>
          <w:rFonts w:eastAsia="宋体" w:cs="Times New Roman"/>
          <w:sz w:val="24"/>
          <w:szCs w:val="24"/>
          <w:vertAlign w:val="subscript"/>
        </w:rPr>
        <w:t>2</w:t>
      </w:r>
      <w:r w:rsidRPr="00FF3C35">
        <w:rPr>
          <w:rFonts w:eastAsia="宋体" w:cs="Times New Roman" w:hint="eastAsia"/>
          <w:sz w:val="24"/>
          <w:szCs w:val="24"/>
        </w:rPr>
        <w:t xml:space="preserve"> NPs </w:t>
      </w:r>
      <w:r w:rsidRPr="00FF3C35">
        <w:rPr>
          <w:rFonts w:eastAsia="宋体" w:cs="Times New Roman"/>
          <w:sz w:val="24"/>
          <w:szCs w:val="24"/>
        </w:rPr>
        <w:t>(99.8</w:t>
      </w:r>
      <w:r w:rsidRPr="00FF3C35">
        <w:rPr>
          <w:rFonts w:eastAsia="宋体" w:cs="Times New Roman" w:hint="eastAsia"/>
          <w:sz w:val="24"/>
          <w:szCs w:val="24"/>
        </w:rPr>
        <w:t>%</w:t>
      </w:r>
      <w:r w:rsidRPr="00FF3C35">
        <w:rPr>
          <w:rFonts w:eastAsia="宋体" w:cs="Times New Roman"/>
          <w:sz w:val="24"/>
          <w:szCs w:val="24"/>
        </w:rPr>
        <w:t xml:space="preserve"> anatase) were purchased f</w:t>
      </w:r>
      <w:r w:rsidR="00507200" w:rsidRPr="00FF3C35">
        <w:rPr>
          <w:rFonts w:eastAsia="宋体" w:cs="Times New Roman"/>
          <w:sz w:val="24"/>
          <w:szCs w:val="24"/>
        </w:rPr>
        <w:t>rom</w:t>
      </w:r>
      <w:r w:rsidRPr="00FF3C35">
        <w:rPr>
          <w:rFonts w:eastAsia="宋体" w:cs="Times New Roman"/>
          <w:sz w:val="24"/>
          <w:szCs w:val="24"/>
        </w:rPr>
        <w:t xml:space="preserve"> Aladdin Biochemical Technology (Shanghai, China). </w:t>
      </w:r>
      <w:r w:rsidR="00197D36" w:rsidRPr="00FF3C35">
        <w:rPr>
          <w:rFonts w:eastAsia="宋体" w:cs="Times New Roman"/>
          <w:sz w:val="24"/>
          <w:szCs w:val="24"/>
        </w:rPr>
        <w:t>Its TEM picture was exhib</w:t>
      </w:r>
      <w:r w:rsidR="00507200" w:rsidRPr="00FF3C35">
        <w:rPr>
          <w:rFonts w:eastAsia="宋体" w:cs="Times New Roman"/>
          <w:sz w:val="24"/>
          <w:szCs w:val="24"/>
        </w:rPr>
        <w:t>i</w:t>
      </w:r>
      <w:r w:rsidR="00197D36" w:rsidRPr="00FF3C35">
        <w:rPr>
          <w:rFonts w:eastAsia="宋体" w:cs="Times New Roman"/>
          <w:sz w:val="24"/>
          <w:szCs w:val="24"/>
        </w:rPr>
        <w:t>ted</w:t>
      </w:r>
      <w:r w:rsidR="0062031C" w:rsidRPr="00FF3C35">
        <w:rPr>
          <w:rFonts w:eastAsia="宋体" w:cs="Times New Roman"/>
          <w:sz w:val="24"/>
          <w:szCs w:val="24"/>
        </w:rPr>
        <w:t xml:space="preserve"> in Fig. S1. </w:t>
      </w:r>
      <w:r w:rsidR="00FF3E60" w:rsidRPr="00FF3C35">
        <w:rPr>
          <w:rFonts w:eastAsia="宋体" w:cs="Times New Roman"/>
          <w:sz w:val="24"/>
          <w:szCs w:val="24"/>
        </w:rPr>
        <w:t>It was shown that t</w:t>
      </w:r>
      <w:r w:rsidR="0062031C" w:rsidRPr="00FF3C35">
        <w:rPr>
          <w:rFonts w:eastAsia="宋体" w:cs="Times New Roman"/>
          <w:sz w:val="24"/>
          <w:szCs w:val="24"/>
        </w:rPr>
        <w:t>he particle</w:t>
      </w:r>
      <w:r w:rsidRPr="00FF3C35">
        <w:rPr>
          <w:rFonts w:eastAsia="宋体" w:cs="Times New Roman"/>
          <w:sz w:val="24"/>
          <w:szCs w:val="24"/>
        </w:rPr>
        <w:t xml:space="preserve"> size was ranged from </w:t>
      </w:r>
      <w:r w:rsidR="0062031C" w:rsidRPr="00FF3C35">
        <w:rPr>
          <w:rFonts w:eastAsia="宋体" w:cs="Times New Roman"/>
          <w:sz w:val="24"/>
          <w:szCs w:val="24"/>
        </w:rPr>
        <w:t>20</w:t>
      </w:r>
      <w:r w:rsidRPr="00FF3C35">
        <w:rPr>
          <w:rFonts w:eastAsia="宋体" w:cs="Times New Roman"/>
          <w:sz w:val="24"/>
          <w:szCs w:val="24"/>
        </w:rPr>
        <w:t xml:space="preserve"> to </w:t>
      </w:r>
      <w:r w:rsidR="0062031C" w:rsidRPr="00FF3C35">
        <w:rPr>
          <w:rFonts w:eastAsia="宋体" w:cs="Times New Roman"/>
          <w:sz w:val="24"/>
          <w:szCs w:val="24"/>
        </w:rPr>
        <w:t>4</w:t>
      </w:r>
      <w:r w:rsidRPr="00FF3C35">
        <w:rPr>
          <w:rFonts w:eastAsia="宋体" w:cs="Times New Roman"/>
          <w:sz w:val="24"/>
          <w:szCs w:val="24"/>
        </w:rPr>
        <w:t>0 nm</w:t>
      </w:r>
      <w:r w:rsidR="0062031C" w:rsidRPr="00FF3C35">
        <w:rPr>
          <w:rFonts w:eastAsia="宋体" w:cs="Times New Roman"/>
          <w:sz w:val="24"/>
          <w:szCs w:val="24"/>
        </w:rPr>
        <w:t>.</w:t>
      </w:r>
    </w:p>
    <w:p w:rsidR="00230001" w:rsidRDefault="00230001" w:rsidP="0062031C">
      <w:pPr>
        <w:spacing w:line="48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84158" cy="215902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158" cy="21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01" w:rsidRDefault="00230001" w:rsidP="0062031C">
      <w:pPr>
        <w:spacing w:line="480" w:lineRule="auto"/>
        <w:jc w:val="center"/>
        <w:rPr>
          <w:b/>
          <w:sz w:val="24"/>
          <w:szCs w:val="24"/>
        </w:rPr>
      </w:pPr>
      <w:r w:rsidRPr="00FF3C35">
        <w:rPr>
          <w:rFonts w:hint="eastAsia"/>
          <w:b/>
          <w:sz w:val="24"/>
          <w:szCs w:val="24"/>
        </w:rPr>
        <w:t xml:space="preserve">Fig. S1 </w:t>
      </w:r>
      <w:r w:rsidR="0062031C" w:rsidRPr="00FF3C35">
        <w:rPr>
          <w:sz w:val="24"/>
          <w:szCs w:val="24"/>
        </w:rPr>
        <w:t xml:space="preserve">TEM picture for </w:t>
      </w:r>
      <w:r w:rsidR="0062031C" w:rsidRPr="00FF3C35">
        <w:rPr>
          <w:rFonts w:eastAsia="宋体" w:cs="Times New Roman"/>
          <w:sz w:val="24"/>
          <w:szCs w:val="24"/>
        </w:rPr>
        <w:t>TiO</w:t>
      </w:r>
      <w:r w:rsidR="0062031C" w:rsidRPr="00FF3C35">
        <w:rPr>
          <w:rFonts w:eastAsia="宋体" w:cs="Times New Roman"/>
          <w:sz w:val="24"/>
          <w:szCs w:val="24"/>
          <w:vertAlign w:val="subscript"/>
        </w:rPr>
        <w:t>2</w:t>
      </w:r>
      <w:r w:rsidR="0062031C" w:rsidRPr="00FF3C35">
        <w:rPr>
          <w:rFonts w:eastAsia="宋体" w:cs="Times New Roman" w:hint="eastAsia"/>
          <w:sz w:val="24"/>
          <w:szCs w:val="24"/>
        </w:rPr>
        <w:t xml:space="preserve"> NPs</w:t>
      </w:r>
    </w:p>
    <w:p w:rsidR="00731D65" w:rsidRPr="00731D65" w:rsidRDefault="00CF0598" w:rsidP="00430A68">
      <w:pPr>
        <w:spacing w:line="480" w:lineRule="auto"/>
        <w:jc w:val="left"/>
        <w:rPr>
          <w:b/>
          <w:sz w:val="24"/>
          <w:szCs w:val="24"/>
        </w:rPr>
      </w:pPr>
      <w:r w:rsidRPr="00116E46">
        <w:rPr>
          <w:b/>
          <w:sz w:val="24"/>
          <w:szCs w:val="24"/>
        </w:rPr>
        <w:t>Measurements</w:t>
      </w:r>
      <w:r w:rsidR="00731D65" w:rsidRPr="00116E46">
        <w:rPr>
          <w:rFonts w:hint="eastAsia"/>
          <w:b/>
          <w:sz w:val="24"/>
          <w:szCs w:val="24"/>
        </w:rPr>
        <w:t xml:space="preserve"> of </w:t>
      </w:r>
      <w:r w:rsidR="00731D65" w:rsidRPr="00116E46">
        <w:rPr>
          <w:b/>
          <w:sz w:val="24"/>
          <w:szCs w:val="24"/>
        </w:rPr>
        <w:t xml:space="preserve">bacterial </w:t>
      </w:r>
      <w:r w:rsidR="00731D65" w:rsidRPr="00116E46">
        <w:rPr>
          <w:rFonts w:hint="eastAsia"/>
          <w:b/>
          <w:sz w:val="24"/>
          <w:szCs w:val="24"/>
        </w:rPr>
        <w:t>cell g</w:t>
      </w:r>
      <w:r w:rsidR="00731D65" w:rsidRPr="00116E46">
        <w:rPr>
          <w:b/>
          <w:sz w:val="24"/>
          <w:szCs w:val="24"/>
        </w:rPr>
        <w:t>rowth</w:t>
      </w:r>
      <w:r w:rsidR="00731D65" w:rsidRPr="00731D65">
        <w:rPr>
          <w:b/>
          <w:sz w:val="24"/>
          <w:szCs w:val="24"/>
        </w:rPr>
        <w:t xml:space="preserve"> </w:t>
      </w:r>
    </w:p>
    <w:p w:rsidR="00430A68" w:rsidRPr="00430A68" w:rsidRDefault="00881EE6" w:rsidP="00E34789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Considering the </w:t>
      </w:r>
      <w:r>
        <w:rPr>
          <w:sz w:val="24"/>
          <w:szCs w:val="24"/>
        </w:rPr>
        <w:t xml:space="preserve">formed </w:t>
      </w:r>
      <w:r>
        <w:rPr>
          <w:rFonts w:hint="eastAsia"/>
          <w:sz w:val="24"/>
          <w:szCs w:val="24"/>
        </w:rPr>
        <w:t>aggregation</w:t>
      </w:r>
      <w:r w:rsidR="00DA7CE0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between bacteria and TiO</w:t>
      </w:r>
      <w:r w:rsidRPr="00881EE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NPs, it seemed that OD</w:t>
      </w:r>
      <w:r w:rsidRPr="00881EE6">
        <w:rPr>
          <w:sz w:val="24"/>
          <w:szCs w:val="24"/>
          <w:vertAlign w:val="subscript"/>
        </w:rPr>
        <w:t>600</w:t>
      </w:r>
      <w:r>
        <w:rPr>
          <w:sz w:val="24"/>
          <w:szCs w:val="24"/>
        </w:rPr>
        <w:t xml:space="preserve"> was not quite fitted for the characterization of biomass. </w:t>
      </w:r>
      <w:r w:rsidR="000E50F9">
        <w:rPr>
          <w:sz w:val="24"/>
          <w:szCs w:val="24"/>
        </w:rPr>
        <w:t xml:space="preserve">The consumption of ammonia nitrogen was used to depict the bacterial cell growth indirectly, as the ammonia nitrogen in the DM was primarily utilized for bacterial assimilation. First of all, </w:t>
      </w:r>
      <w:r w:rsidR="0035170C">
        <w:rPr>
          <w:sz w:val="24"/>
          <w:szCs w:val="24"/>
        </w:rPr>
        <w:t xml:space="preserve">the previous </w:t>
      </w:r>
      <w:r w:rsidR="000E50F9">
        <w:rPr>
          <w:sz w:val="24"/>
          <w:szCs w:val="24"/>
        </w:rPr>
        <w:t>enriched bacterial cultures</w:t>
      </w:r>
      <w:r w:rsidR="0035170C">
        <w:rPr>
          <w:sz w:val="24"/>
          <w:szCs w:val="24"/>
        </w:rPr>
        <w:t xml:space="preserve"> were inoculated into 150 mL DM in 250 mL conical flasks and cultivated at 30</w:t>
      </w:r>
      <w:r w:rsidR="0035170C" w:rsidRPr="0035170C">
        <w:rPr>
          <w:rFonts w:cs="Times New Roman"/>
          <w:sz w:val="24"/>
          <w:szCs w:val="24"/>
        </w:rPr>
        <w:t xml:space="preserve"> </w:t>
      </w:r>
      <w:r w:rsidR="00B7266B" w:rsidRPr="00B7266B">
        <w:rPr>
          <w:rFonts w:eastAsia="宋体" w:cs="Times New Roman"/>
          <w:sz w:val="24"/>
          <w:szCs w:val="24"/>
        </w:rPr>
        <w:t>ºC</w:t>
      </w:r>
      <w:r w:rsidR="0035170C">
        <w:rPr>
          <w:rFonts w:eastAsia="宋体" w:cs="Times New Roman"/>
          <w:sz w:val="24"/>
          <w:szCs w:val="24"/>
        </w:rPr>
        <w:t xml:space="preserve"> with a constant shaking speed of 150 rpm under aerobic conditions. Samples were taken at </w:t>
      </w:r>
      <w:r w:rsidR="000024FF">
        <w:rPr>
          <w:rFonts w:eastAsia="宋体" w:cs="Times New Roman"/>
          <w:sz w:val="24"/>
          <w:szCs w:val="24"/>
        </w:rPr>
        <w:t>4</w:t>
      </w:r>
      <w:r w:rsidR="0035170C">
        <w:rPr>
          <w:rFonts w:eastAsia="宋体" w:cs="Times New Roman"/>
          <w:sz w:val="24"/>
          <w:szCs w:val="24"/>
        </w:rPr>
        <w:t xml:space="preserve"> h intervals, and then they were centrifuged </w:t>
      </w:r>
      <w:r w:rsidR="000024FF">
        <w:rPr>
          <w:rFonts w:eastAsia="宋体" w:cs="Times New Roman"/>
          <w:sz w:val="24"/>
          <w:szCs w:val="24"/>
        </w:rPr>
        <w:t xml:space="preserve">to detect the bacterial dry weight. </w:t>
      </w:r>
      <w:r w:rsidR="00430A68" w:rsidRPr="00430A68">
        <w:rPr>
          <w:sz w:val="24"/>
          <w:szCs w:val="24"/>
        </w:rPr>
        <w:t xml:space="preserve">As a result, a standard curve (bacterial dry weight versus ammonia concentration) was obtained, which could be used to </w:t>
      </w:r>
      <w:r w:rsidR="00153B88">
        <w:rPr>
          <w:sz w:val="24"/>
          <w:szCs w:val="24"/>
        </w:rPr>
        <w:t>estimate</w:t>
      </w:r>
      <w:r w:rsidR="00430A68" w:rsidRPr="00430A68">
        <w:rPr>
          <w:sz w:val="24"/>
          <w:szCs w:val="24"/>
        </w:rPr>
        <w:t xml:space="preserve"> the cell growth </w:t>
      </w:r>
      <w:r w:rsidR="00430A68" w:rsidRPr="00430A68">
        <w:rPr>
          <w:sz w:val="24"/>
          <w:szCs w:val="24"/>
        </w:rPr>
        <w:lastRenderedPageBreak/>
        <w:t xml:space="preserve">in this study. </w:t>
      </w:r>
    </w:p>
    <w:p w:rsidR="00AF4FB6" w:rsidRPr="00AF4FB6" w:rsidRDefault="00AF4FB6" w:rsidP="00AF4FB6">
      <w:pPr>
        <w:spacing w:line="480" w:lineRule="auto"/>
        <w:jc w:val="left"/>
        <w:rPr>
          <w:b/>
          <w:sz w:val="24"/>
          <w:szCs w:val="24"/>
        </w:rPr>
      </w:pPr>
      <w:r w:rsidRPr="00AF4FB6">
        <w:rPr>
          <w:b/>
          <w:sz w:val="24"/>
          <w:szCs w:val="24"/>
        </w:rPr>
        <w:t>Measurements of N</w:t>
      </w:r>
      <w:r w:rsidRPr="00AF4FB6">
        <w:rPr>
          <w:b/>
          <w:sz w:val="24"/>
          <w:szCs w:val="24"/>
          <w:vertAlign w:val="subscript"/>
        </w:rPr>
        <w:t>2</w:t>
      </w:r>
      <w:r w:rsidRPr="00AF4FB6">
        <w:rPr>
          <w:b/>
          <w:sz w:val="24"/>
          <w:szCs w:val="24"/>
        </w:rPr>
        <w:t>O and O</w:t>
      </w:r>
      <w:r w:rsidRPr="00AF4FB6">
        <w:rPr>
          <w:b/>
          <w:sz w:val="24"/>
          <w:szCs w:val="24"/>
          <w:vertAlign w:val="subscript"/>
        </w:rPr>
        <w:t>2</w:t>
      </w:r>
      <w:r w:rsidRPr="00AF4FB6">
        <w:rPr>
          <w:b/>
          <w:sz w:val="24"/>
          <w:szCs w:val="24"/>
        </w:rPr>
        <w:t xml:space="preserve"> concentration</w:t>
      </w:r>
    </w:p>
    <w:p w:rsidR="00EE0D63" w:rsidRPr="00FF3C35" w:rsidRDefault="00AF4FB6" w:rsidP="00EE0D63">
      <w:pPr>
        <w:spacing w:line="480" w:lineRule="auto"/>
        <w:ind w:firstLine="480"/>
        <w:rPr>
          <w:sz w:val="24"/>
          <w:szCs w:val="24"/>
        </w:rPr>
      </w:pPr>
      <w:bookmarkStart w:id="10" w:name="OLE_LINK53"/>
      <w:r>
        <w:rPr>
          <w:sz w:val="24"/>
          <w:szCs w:val="24"/>
        </w:rPr>
        <w:t xml:space="preserve">Both </w:t>
      </w:r>
      <w:r w:rsidRPr="00AF4FB6">
        <w:rPr>
          <w:rFonts w:hint="eastAsia"/>
          <w:sz w:val="24"/>
          <w:szCs w:val="24"/>
        </w:rPr>
        <w:t>N</w:t>
      </w:r>
      <w:r w:rsidRPr="00AF4FB6">
        <w:rPr>
          <w:rFonts w:hint="eastAsia"/>
          <w:sz w:val="24"/>
          <w:szCs w:val="24"/>
          <w:vertAlign w:val="subscript"/>
        </w:rPr>
        <w:t>2</w:t>
      </w:r>
      <w:r w:rsidRPr="00AF4FB6">
        <w:rPr>
          <w:rFonts w:hint="eastAsia"/>
          <w:sz w:val="24"/>
          <w:szCs w:val="24"/>
        </w:rPr>
        <w:t>O</w:t>
      </w:r>
      <w:bookmarkEnd w:id="10"/>
      <w:r w:rsidRPr="00AF4FB6">
        <w:rPr>
          <w:rFonts w:hint="eastAsia"/>
          <w:sz w:val="24"/>
          <w:szCs w:val="24"/>
        </w:rPr>
        <w:t xml:space="preserve"> and O</w:t>
      </w:r>
      <w:r w:rsidRPr="00AF4FB6">
        <w:rPr>
          <w:rFonts w:hint="eastAsia"/>
          <w:sz w:val="24"/>
          <w:szCs w:val="24"/>
          <w:vertAlign w:val="subscript"/>
        </w:rPr>
        <w:t>2</w:t>
      </w:r>
      <w:r w:rsidRPr="00AF4FB6">
        <w:rPr>
          <w:rFonts w:hint="eastAsia"/>
          <w:sz w:val="24"/>
          <w:szCs w:val="24"/>
        </w:rPr>
        <w:t xml:space="preserve"> were </w:t>
      </w:r>
      <w:r>
        <w:rPr>
          <w:sz w:val="24"/>
          <w:szCs w:val="24"/>
        </w:rPr>
        <w:t>measured</w:t>
      </w:r>
      <w:r w:rsidRPr="00AF4FB6">
        <w:rPr>
          <w:rFonts w:hint="eastAsia"/>
          <w:sz w:val="24"/>
          <w:szCs w:val="24"/>
        </w:rPr>
        <w:t xml:space="preserve"> by gas chromatography (GC-6890N, Agilent, USA) with an </w:t>
      </w:r>
      <w:r w:rsidR="00521519">
        <w:rPr>
          <w:rFonts w:hint="eastAsia"/>
          <w:sz w:val="24"/>
          <w:szCs w:val="24"/>
        </w:rPr>
        <w:t xml:space="preserve">electron capture detector </w:t>
      </w:r>
      <w:r w:rsidRPr="00AF4FB6">
        <w:rPr>
          <w:rFonts w:hint="eastAsia"/>
          <w:sz w:val="24"/>
          <w:szCs w:val="24"/>
        </w:rPr>
        <w:t xml:space="preserve">and a 5A molecular sieve column (30 m </w:t>
      </w:r>
      <w:r w:rsidRPr="00AF4FB6">
        <w:rPr>
          <w:sz w:val="24"/>
          <w:szCs w:val="24"/>
        </w:rPr>
        <w:t>×</w:t>
      </w:r>
      <w:r w:rsidRPr="00AF4FB6">
        <w:rPr>
          <w:rFonts w:hint="eastAsia"/>
          <w:sz w:val="24"/>
          <w:szCs w:val="24"/>
        </w:rPr>
        <w:t xml:space="preserve"> 0.32 mm </w:t>
      </w:r>
      <w:r w:rsidRPr="00AF4FB6">
        <w:rPr>
          <w:sz w:val="24"/>
          <w:szCs w:val="24"/>
        </w:rPr>
        <w:t>×</w:t>
      </w:r>
      <w:r w:rsidRPr="00AF4FB6">
        <w:rPr>
          <w:rFonts w:hint="eastAsia"/>
          <w:sz w:val="24"/>
          <w:szCs w:val="24"/>
        </w:rPr>
        <w:t xml:space="preserve"> 20 </w:t>
      </w:r>
      <w:bookmarkStart w:id="11" w:name="OLE_LINK9"/>
      <w:bookmarkStart w:id="12" w:name="OLE_LINK10"/>
      <w:r w:rsidRPr="00AF4FB6">
        <w:rPr>
          <w:sz w:val="24"/>
          <w:szCs w:val="24"/>
        </w:rPr>
        <w:t>μ</w:t>
      </w:r>
      <w:r w:rsidRPr="00AF4FB6">
        <w:rPr>
          <w:rFonts w:hint="eastAsia"/>
          <w:sz w:val="24"/>
          <w:szCs w:val="24"/>
        </w:rPr>
        <w:t>m</w:t>
      </w:r>
      <w:bookmarkEnd w:id="11"/>
      <w:bookmarkEnd w:id="12"/>
      <w:r w:rsidRPr="00AF4FB6">
        <w:rPr>
          <w:rFonts w:hint="eastAsia"/>
          <w:sz w:val="24"/>
          <w:szCs w:val="24"/>
        </w:rPr>
        <w:t xml:space="preserve">). </w:t>
      </w:r>
      <w:r w:rsidR="00521519">
        <w:rPr>
          <w:sz w:val="24"/>
          <w:szCs w:val="24"/>
        </w:rPr>
        <w:t>N</w:t>
      </w:r>
      <w:r w:rsidR="00521519" w:rsidRPr="00521519">
        <w:rPr>
          <w:sz w:val="24"/>
          <w:szCs w:val="24"/>
          <w:vertAlign w:val="subscript"/>
        </w:rPr>
        <w:t>2</w:t>
      </w:r>
      <w:r w:rsidR="00521519">
        <w:rPr>
          <w:sz w:val="24"/>
          <w:szCs w:val="24"/>
        </w:rPr>
        <w:t xml:space="preserve"> was used as t</w:t>
      </w:r>
      <w:r w:rsidRPr="00AF4FB6">
        <w:rPr>
          <w:rFonts w:hint="eastAsia"/>
          <w:sz w:val="24"/>
          <w:szCs w:val="24"/>
        </w:rPr>
        <w:t>he carrier gas with a flow rate of 3 mL min</w:t>
      </w:r>
      <w:r w:rsidRPr="00AF4FB6">
        <w:rPr>
          <w:rFonts w:hint="eastAsia"/>
          <w:sz w:val="24"/>
          <w:szCs w:val="24"/>
          <w:vertAlign w:val="superscript"/>
        </w:rPr>
        <w:t>-1</w:t>
      </w:r>
      <w:r w:rsidRPr="00AF4FB6">
        <w:rPr>
          <w:rFonts w:hint="eastAsia"/>
          <w:sz w:val="24"/>
          <w:szCs w:val="24"/>
        </w:rPr>
        <w:t xml:space="preserve">, and the </w:t>
      </w:r>
      <w:r w:rsidR="00521519">
        <w:rPr>
          <w:sz w:val="24"/>
          <w:szCs w:val="24"/>
        </w:rPr>
        <w:t xml:space="preserve">temperatures </w:t>
      </w:r>
      <w:r w:rsidR="00521519" w:rsidRPr="00FF3C35">
        <w:rPr>
          <w:sz w:val="24"/>
          <w:szCs w:val="24"/>
        </w:rPr>
        <w:t xml:space="preserve">of </w:t>
      </w:r>
      <w:r w:rsidRPr="00FF3C35">
        <w:rPr>
          <w:rFonts w:hint="eastAsia"/>
          <w:sz w:val="24"/>
          <w:szCs w:val="24"/>
        </w:rPr>
        <w:t xml:space="preserve">injector, oven and detector were 110, 200 and 300 </w:t>
      </w:r>
      <w:r w:rsidRPr="00FF3C35">
        <w:rPr>
          <w:sz w:val="24"/>
          <w:szCs w:val="24"/>
        </w:rPr>
        <w:t>ºC</w:t>
      </w:r>
      <w:r w:rsidRPr="00FF3C35">
        <w:rPr>
          <w:rFonts w:hint="eastAsia"/>
          <w:sz w:val="24"/>
          <w:szCs w:val="24"/>
        </w:rPr>
        <w:t>, respectively. Total N</w:t>
      </w:r>
      <w:r w:rsidRPr="00FF3C35">
        <w:rPr>
          <w:rFonts w:hint="eastAsia"/>
          <w:sz w:val="24"/>
          <w:szCs w:val="24"/>
          <w:vertAlign w:val="subscript"/>
        </w:rPr>
        <w:t>2</w:t>
      </w:r>
      <w:r w:rsidRPr="00FF3C35">
        <w:rPr>
          <w:rFonts w:hint="eastAsia"/>
          <w:sz w:val="24"/>
          <w:szCs w:val="24"/>
        </w:rPr>
        <w:t>O concentration includ</w:t>
      </w:r>
      <w:r w:rsidR="00E53248" w:rsidRPr="00FF3C35">
        <w:rPr>
          <w:sz w:val="24"/>
          <w:szCs w:val="24"/>
        </w:rPr>
        <w:t>ing</w:t>
      </w:r>
      <w:r w:rsidRPr="00FF3C35">
        <w:rPr>
          <w:rFonts w:hint="eastAsia"/>
          <w:sz w:val="24"/>
          <w:szCs w:val="24"/>
        </w:rPr>
        <w:t xml:space="preserve"> gaseous and dissolved N</w:t>
      </w:r>
      <w:r w:rsidRPr="00FF3C35">
        <w:rPr>
          <w:rFonts w:hint="eastAsia"/>
          <w:sz w:val="24"/>
          <w:szCs w:val="24"/>
          <w:vertAlign w:val="subscript"/>
        </w:rPr>
        <w:t>2</w:t>
      </w:r>
      <w:r w:rsidRPr="00FF3C35">
        <w:rPr>
          <w:rFonts w:hint="eastAsia"/>
          <w:sz w:val="24"/>
          <w:szCs w:val="24"/>
        </w:rPr>
        <w:t>O</w:t>
      </w:r>
      <w:r w:rsidR="00EE0D63" w:rsidRPr="00FF3C35">
        <w:rPr>
          <w:sz w:val="24"/>
          <w:szCs w:val="24"/>
        </w:rPr>
        <w:t xml:space="preserve">, please refer to Ma </w:t>
      </w:r>
      <w:r w:rsidR="00EE0D63" w:rsidRPr="00FF3C35">
        <w:rPr>
          <w:i/>
          <w:sz w:val="24"/>
          <w:szCs w:val="24"/>
        </w:rPr>
        <w:t>et al</w:t>
      </w:r>
      <w:r w:rsidR="00EE0D63" w:rsidRPr="00FF3C35">
        <w:rPr>
          <w:sz w:val="24"/>
          <w:szCs w:val="24"/>
        </w:rPr>
        <w:t xml:space="preserve">. (2016) for more details. </w:t>
      </w:r>
      <w:r w:rsidRPr="00FF3C35">
        <w:rPr>
          <w:sz w:val="24"/>
          <w:szCs w:val="24"/>
        </w:rPr>
        <w:fldChar w:fldCharType="begin"/>
      </w:r>
      <w:r w:rsidRPr="00FF3C35">
        <w:rPr>
          <w:sz w:val="24"/>
          <w:szCs w:val="24"/>
        </w:rPr>
        <w:instrText xml:space="preserve"> ADDIN NE.Ref.{045F5182-2571-4DF2-A9C3-A453313A650E}</w:instrText>
      </w:r>
      <w:r w:rsidRPr="00FF3C35">
        <w:rPr>
          <w:sz w:val="24"/>
          <w:szCs w:val="24"/>
        </w:rPr>
        <w:fldChar w:fldCharType="end"/>
      </w:r>
      <w:r w:rsidR="00EE0D63" w:rsidRPr="00FF3C35">
        <w:rPr>
          <w:sz w:val="24"/>
          <w:szCs w:val="24"/>
        </w:rPr>
        <w:t>Specifically, t</w:t>
      </w:r>
      <w:r w:rsidRPr="00FF3C35">
        <w:rPr>
          <w:sz w:val="24"/>
          <w:szCs w:val="24"/>
        </w:rPr>
        <w:t>he concentrations of N</w:t>
      </w:r>
      <w:r w:rsidRPr="00FF3C35">
        <w:rPr>
          <w:sz w:val="24"/>
          <w:szCs w:val="24"/>
          <w:vertAlign w:val="subscript"/>
        </w:rPr>
        <w:t>2</w:t>
      </w:r>
      <w:r w:rsidRPr="00FF3C35">
        <w:rPr>
          <w:sz w:val="24"/>
          <w:szCs w:val="24"/>
        </w:rPr>
        <w:t xml:space="preserve">O in </w:t>
      </w:r>
      <w:r w:rsidRPr="00FF3C35">
        <w:rPr>
          <w:rFonts w:hint="eastAsia"/>
          <w:sz w:val="24"/>
          <w:szCs w:val="24"/>
        </w:rPr>
        <w:t xml:space="preserve">headspace </w:t>
      </w:r>
      <w:r w:rsidRPr="00FF3C35">
        <w:rPr>
          <w:sz w:val="24"/>
          <w:szCs w:val="24"/>
        </w:rPr>
        <w:t>were normalized to the liquid volume</w:t>
      </w:r>
      <w:r w:rsidRPr="00FF3C35">
        <w:rPr>
          <w:rFonts w:hint="eastAsia"/>
          <w:sz w:val="24"/>
          <w:szCs w:val="24"/>
        </w:rPr>
        <w:t xml:space="preserve"> in </w:t>
      </w:r>
      <w:r w:rsidRPr="00FF3C35">
        <w:rPr>
          <w:sz w:val="24"/>
          <w:szCs w:val="24"/>
        </w:rPr>
        <w:t>serum bottle</w:t>
      </w:r>
      <w:r w:rsidRPr="00FF3C35">
        <w:rPr>
          <w:rFonts w:hint="eastAsia"/>
          <w:sz w:val="24"/>
          <w:szCs w:val="24"/>
        </w:rPr>
        <w:t>s for comparable units.</w:t>
      </w:r>
      <w:r w:rsidR="00C20E07" w:rsidRPr="00FF3C35">
        <w:rPr>
          <w:sz w:val="24"/>
          <w:szCs w:val="24"/>
        </w:rPr>
        <w:t xml:space="preserve"> </w:t>
      </w:r>
      <w:r w:rsidR="00EE0D63" w:rsidRPr="00FF3C35">
        <w:rPr>
          <w:sz w:val="24"/>
          <w:szCs w:val="24"/>
        </w:rPr>
        <w:t>The dissolved N</w:t>
      </w:r>
      <w:r w:rsidR="00EE0D63" w:rsidRPr="00FF3C35">
        <w:rPr>
          <w:sz w:val="24"/>
          <w:szCs w:val="24"/>
          <w:vertAlign w:val="subscript"/>
        </w:rPr>
        <w:t>2</w:t>
      </w:r>
      <w:r w:rsidR="00EE0D63" w:rsidRPr="00FF3C35">
        <w:rPr>
          <w:sz w:val="24"/>
          <w:szCs w:val="24"/>
        </w:rPr>
        <w:t>O concentration was calculated from the balanced N</w:t>
      </w:r>
      <w:r w:rsidR="00EE0D63" w:rsidRPr="00FF3C35">
        <w:rPr>
          <w:sz w:val="24"/>
          <w:szCs w:val="24"/>
          <w:vertAlign w:val="subscript"/>
        </w:rPr>
        <w:t>2</w:t>
      </w:r>
      <w:r w:rsidR="00EE0D63" w:rsidRPr="00FF3C35">
        <w:rPr>
          <w:sz w:val="24"/>
          <w:szCs w:val="24"/>
        </w:rPr>
        <w:t>O partial pressure in the headspace using temperature-dependent solubility coefficient for N</w:t>
      </w:r>
      <w:r w:rsidR="00EE0D63" w:rsidRPr="00FF3C35">
        <w:rPr>
          <w:sz w:val="24"/>
          <w:szCs w:val="24"/>
          <w:vertAlign w:val="subscript"/>
        </w:rPr>
        <w:t>2</w:t>
      </w:r>
      <w:r w:rsidR="00EE0D63" w:rsidRPr="00FF3C35">
        <w:rPr>
          <w:sz w:val="24"/>
          <w:szCs w:val="24"/>
        </w:rPr>
        <w:t>O (Weiss and Price, 1980), as following equation:</w:t>
      </w:r>
    </w:p>
    <w:p w:rsidR="00EE0D63" w:rsidRPr="00FF3C35" w:rsidRDefault="00EE0D63" w:rsidP="00EE0D63">
      <w:pPr>
        <w:spacing w:line="480" w:lineRule="auto"/>
        <w:ind w:firstLine="480"/>
        <w:rPr>
          <w:sz w:val="24"/>
          <w:szCs w:val="24"/>
        </w:rPr>
      </w:pPr>
      <w:r w:rsidRPr="00FF3C35">
        <w:rPr>
          <w:rFonts w:hint="eastAsia"/>
          <w:sz w:val="24"/>
          <w:szCs w:val="24"/>
        </w:rPr>
        <w:t>                   </w:t>
      </w:r>
      <w:r w:rsidRPr="00FF3C35">
        <w:rPr>
          <w:sz w:val="24"/>
          <w:szCs w:val="24"/>
        </w:rPr>
        <w:t xml:space="preserve"> </w:t>
      </w:r>
      <w:r w:rsidRPr="00FF3C35">
        <w:rPr>
          <w:i/>
          <w:sz w:val="24"/>
          <w:szCs w:val="24"/>
        </w:rPr>
        <w:t>C</w:t>
      </w:r>
      <w:r w:rsidRPr="00FF3C35">
        <w:rPr>
          <w:sz w:val="24"/>
          <w:szCs w:val="24"/>
        </w:rPr>
        <w:t xml:space="preserve"> = P</w:t>
      </w:r>
      <w:r w:rsidRPr="00FF3C35">
        <w:rPr>
          <w:sz w:val="24"/>
          <w:szCs w:val="24"/>
          <w:vertAlign w:val="subscript"/>
        </w:rPr>
        <w:t>i</w:t>
      </w:r>
      <w:r w:rsidRPr="00FF3C35">
        <w:rPr>
          <w:sz w:val="24"/>
          <w:szCs w:val="24"/>
        </w:rPr>
        <w:t xml:space="preserve"> × K</w:t>
      </w:r>
      <w:r w:rsidRPr="00FF3C35">
        <w:rPr>
          <w:sz w:val="24"/>
          <w:szCs w:val="24"/>
          <w:vertAlign w:val="subscript"/>
        </w:rPr>
        <w:t>0</w:t>
      </w:r>
      <w:r w:rsidRPr="00FF3C35">
        <w:rPr>
          <w:sz w:val="24"/>
          <w:szCs w:val="24"/>
        </w:rPr>
        <w:t>                                                  </w:t>
      </w:r>
    </w:p>
    <w:p w:rsidR="00E34789" w:rsidRPr="00FF3C35" w:rsidRDefault="00EE0D63" w:rsidP="00EE0D63">
      <w:pPr>
        <w:spacing w:line="480" w:lineRule="auto"/>
        <w:ind w:firstLine="480"/>
        <w:rPr>
          <w:sz w:val="24"/>
          <w:szCs w:val="24"/>
        </w:rPr>
      </w:pPr>
      <w:r w:rsidRPr="00FF3C35">
        <w:rPr>
          <w:sz w:val="24"/>
          <w:szCs w:val="24"/>
        </w:rPr>
        <w:t xml:space="preserve">Where, </w:t>
      </w:r>
      <w:r w:rsidRPr="00FF3C35">
        <w:rPr>
          <w:i/>
          <w:sz w:val="24"/>
          <w:szCs w:val="24"/>
        </w:rPr>
        <w:t>C</w:t>
      </w:r>
      <w:r w:rsidRPr="00FF3C35">
        <w:rPr>
          <w:sz w:val="24"/>
          <w:szCs w:val="24"/>
        </w:rPr>
        <w:t xml:space="preserve"> was the dissolved N</w:t>
      </w:r>
      <w:r w:rsidRPr="00FF3C35">
        <w:rPr>
          <w:sz w:val="24"/>
          <w:szCs w:val="24"/>
          <w:vertAlign w:val="subscript"/>
        </w:rPr>
        <w:t>2</w:t>
      </w:r>
      <w:r w:rsidRPr="00FF3C35">
        <w:rPr>
          <w:sz w:val="24"/>
          <w:szCs w:val="24"/>
        </w:rPr>
        <w:t>O concentration in the bottle, μg·L</w:t>
      </w:r>
      <w:r w:rsidRPr="00FF3C35">
        <w:rPr>
          <w:sz w:val="24"/>
          <w:szCs w:val="24"/>
          <w:vertAlign w:val="superscript"/>
        </w:rPr>
        <w:t>-1</w:t>
      </w:r>
      <w:r w:rsidRPr="00FF3C35">
        <w:rPr>
          <w:sz w:val="24"/>
          <w:szCs w:val="24"/>
        </w:rPr>
        <w:t>; P</w:t>
      </w:r>
      <w:r w:rsidRPr="00FF3C35">
        <w:rPr>
          <w:sz w:val="24"/>
          <w:szCs w:val="24"/>
          <w:vertAlign w:val="subscript"/>
        </w:rPr>
        <w:t xml:space="preserve">i </w:t>
      </w:r>
      <w:r w:rsidRPr="00FF3C35">
        <w:rPr>
          <w:sz w:val="24"/>
          <w:szCs w:val="24"/>
        </w:rPr>
        <w:t>was the measured balanced N</w:t>
      </w:r>
      <w:r w:rsidRPr="00FF3C35">
        <w:rPr>
          <w:sz w:val="24"/>
          <w:szCs w:val="24"/>
          <w:vertAlign w:val="subscript"/>
        </w:rPr>
        <w:t>2</w:t>
      </w:r>
      <w:r w:rsidRPr="00FF3C35">
        <w:rPr>
          <w:sz w:val="24"/>
          <w:szCs w:val="24"/>
        </w:rPr>
        <w:t>O partial pressure in the headspace converted from parts-per-million (ppm) to partial pressure, atm; K</w:t>
      </w:r>
      <w:r w:rsidRPr="00FF3C35">
        <w:rPr>
          <w:sz w:val="24"/>
          <w:szCs w:val="24"/>
          <w:vertAlign w:val="subscript"/>
        </w:rPr>
        <w:t>0</w:t>
      </w:r>
      <w:r w:rsidRPr="00FF3C35">
        <w:rPr>
          <w:sz w:val="24"/>
          <w:szCs w:val="24"/>
        </w:rPr>
        <w:t xml:space="preserve"> was the volumetric solubility coefficient for N</w:t>
      </w:r>
      <w:r w:rsidRPr="00FF3C35">
        <w:rPr>
          <w:sz w:val="24"/>
          <w:szCs w:val="24"/>
          <w:vertAlign w:val="subscript"/>
        </w:rPr>
        <w:t>2</w:t>
      </w:r>
      <w:r w:rsidRPr="00FF3C35">
        <w:rPr>
          <w:sz w:val="24"/>
          <w:szCs w:val="24"/>
        </w:rPr>
        <w:t>O at 30</w:t>
      </w:r>
      <w:r w:rsidR="00127709" w:rsidRPr="00FF3C35">
        <w:rPr>
          <w:sz w:val="24"/>
          <w:szCs w:val="24"/>
        </w:rPr>
        <w:t xml:space="preserve"> </w:t>
      </w:r>
      <w:r w:rsidRPr="00FF3C35">
        <w:rPr>
          <w:sz w:val="24"/>
          <w:szCs w:val="24"/>
        </w:rPr>
        <w:t xml:space="preserve">°C, </w:t>
      </w:r>
      <w:r w:rsidR="00353597" w:rsidRPr="00FF3C35">
        <w:rPr>
          <w:sz w:val="24"/>
          <w:szCs w:val="24"/>
        </w:rPr>
        <w:t>6.051</w:t>
      </w:r>
      <w:r w:rsidRPr="00FF3C35">
        <w:rPr>
          <w:sz w:val="24"/>
          <w:szCs w:val="24"/>
        </w:rPr>
        <w:t>×10</w:t>
      </w:r>
      <w:r w:rsidRPr="00FF3C35">
        <w:rPr>
          <w:sz w:val="24"/>
          <w:szCs w:val="24"/>
          <w:vertAlign w:val="superscript"/>
        </w:rPr>
        <w:t>5</w:t>
      </w:r>
      <w:r w:rsidRPr="00FF3C35">
        <w:rPr>
          <w:sz w:val="24"/>
          <w:szCs w:val="24"/>
        </w:rPr>
        <w:t xml:space="preserve"> μg L</w:t>
      </w:r>
      <w:r w:rsidRPr="00FF3C35">
        <w:rPr>
          <w:sz w:val="24"/>
          <w:szCs w:val="24"/>
          <w:vertAlign w:val="superscript"/>
        </w:rPr>
        <w:t xml:space="preserve">-1 </w:t>
      </w:r>
      <w:r w:rsidRPr="00FF3C35">
        <w:rPr>
          <w:sz w:val="24"/>
          <w:szCs w:val="24"/>
        </w:rPr>
        <w:t>atm</w:t>
      </w:r>
      <w:r w:rsidRPr="00FF3C35">
        <w:rPr>
          <w:sz w:val="24"/>
          <w:szCs w:val="24"/>
          <w:vertAlign w:val="superscript"/>
        </w:rPr>
        <w:t>-1</w:t>
      </w:r>
      <w:r w:rsidRPr="00FF3C35">
        <w:rPr>
          <w:sz w:val="24"/>
          <w:szCs w:val="24"/>
        </w:rPr>
        <w:t>.</w:t>
      </w:r>
    </w:p>
    <w:p w:rsidR="00E829B6" w:rsidRPr="00FF3C35" w:rsidRDefault="00E829B6" w:rsidP="00E829B6">
      <w:pPr>
        <w:spacing w:line="480" w:lineRule="auto"/>
        <w:rPr>
          <w:b/>
          <w:sz w:val="24"/>
          <w:szCs w:val="24"/>
        </w:rPr>
      </w:pPr>
      <w:r w:rsidRPr="00FF3C35">
        <w:rPr>
          <w:b/>
          <w:sz w:val="24"/>
          <w:szCs w:val="24"/>
        </w:rPr>
        <w:t>Determination</w:t>
      </w:r>
      <w:r w:rsidRPr="00FF3C35">
        <w:rPr>
          <w:rFonts w:hint="eastAsia"/>
          <w:b/>
          <w:sz w:val="24"/>
          <w:szCs w:val="24"/>
        </w:rPr>
        <w:t xml:space="preserve"> </w:t>
      </w:r>
      <w:r w:rsidRPr="00FF3C35">
        <w:rPr>
          <w:b/>
          <w:sz w:val="24"/>
          <w:szCs w:val="24"/>
        </w:rPr>
        <w:t xml:space="preserve">of nitrate removal rate </w:t>
      </w:r>
    </w:p>
    <w:p w:rsidR="00E829B6" w:rsidRPr="00FF3C35" w:rsidRDefault="00E829B6" w:rsidP="00E72EB6">
      <w:pPr>
        <w:spacing w:line="480" w:lineRule="auto"/>
        <w:ind w:firstLineChars="150" w:firstLine="360"/>
        <w:rPr>
          <w:sz w:val="24"/>
        </w:rPr>
      </w:pPr>
      <w:r w:rsidRPr="00FF3C35">
        <w:rPr>
          <w:sz w:val="24"/>
        </w:rPr>
        <w:t>Nitrate removal</w:t>
      </w:r>
      <w:r w:rsidRPr="00FF3C35">
        <w:rPr>
          <w:rFonts w:hint="eastAsia"/>
          <w:sz w:val="24"/>
        </w:rPr>
        <w:t xml:space="preserve"> </w:t>
      </w:r>
      <w:r w:rsidRPr="00FF3C35">
        <w:rPr>
          <w:sz w:val="24"/>
        </w:rPr>
        <w:t>rate</w:t>
      </w:r>
      <w:r w:rsidRPr="00FF3C35">
        <w:rPr>
          <w:rFonts w:hint="eastAsia"/>
          <w:sz w:val="24"/>
        </w:rPr>
        <w:t>s</w:t>
      </w:r>
      <w:r w:rsidRPr="00FF3C35">
        <w:rPr>
          <w:sz w:val="24"/>
        </w:rPr>
        <w:t xml:space="preserve"> were determined using the following </w:t>
      </w:r>
      <w:r w:rsidR="003B17DD" w:rsidRPr="00FF3C35">
        <w:rPr>
          <w:sz w:val="24"/>
        </w:rPr>
        <w:t>equation</w:t>
      </w:r>
      <w:r w:rsidRPr="00FF3C35">
        <w:rPr>
          <w:sz w:val="24"/>
        </w:rPr>
        <w:t>:</w:t>
      </w:r>
    </w:p>
    <w:p w:rsidR="00BF5EAB" w:rsidRPr="00FF3C35" w:rsidRDefault="00BF5EAB" w:rsidP="00BF5EAB">
      <w:pPr>
        <w:spacing w:line="480" w:lineRule="auto"/>
        <w:ind w:firstLineChars="1150" w:firstLine="2760"/>
        <w:rPr>
          <w:sz w:val="24"/>
        </w:rPr>
      </w:pPr>
      <w:r w:rsidRPr="00FF3C35">
        <w:rPr>
          <w:i/>
          <w:sz w:val="24"/>
        </w:rPr>
        <w:t>R</w:t>
      </w:r>
      <w:r w:rsidRPr="00FF3C35">
        <w:rPr>
          <w:sz w:val="24"/>
        </w:rPr>
        <w:t>= (</w:t>
      </w:r>
      <w:r w:rsidRPr="00FF3C35">
        <w:rPr>
          <w:i/>
          <w:sz w:val="24"/>
        </w:rPr>
        <w:t>C</w:t>
      </w:r>
      <w:r w:rsidRPr="00FF3C35">
        <w:rPr>
          <w:i/>
          <w:sz w:val="24"/>
          <w:vertAlign w:val="subscript"/>
        </w:rPr>
        <w:t>0</w:t>
      </w:r>
      <w:r w:rsidR="009D166A" w:rsidRPr="00FF3C35">
        <w:rPr>
          <w:sz w:val="24"/>
        </w:rPr>
        <w:t>-</w:t>
      </w:r>
      <w:r w:rsidRPr="00FF3C35">
        <w:rPr>
          <w:i/>
          <w:sz w:val="24"/>
        </w:rPr>
        <w:t>C</w:t>
      </w:r>
      <w:r w:rsidRPr="00FF3C35">
        <w:rPr>
          <w:i/>
          <w:sz w:val="24"/>
          <w:vertAlign w:val="subscript"/>
        </w:rPr>
        <w:t>1</w:t>
      </w:r>
      <w:r w:rsidRPr="00FF3C35">
        <w:rPr>
          <w:sz w:val="24"/>
        </w:rPr>
        <w:t>)/</w:t>
      </w:r>
      <w:r w:rsidRPr="00FF3C35">
        <w:rPr>
          <w:i/>
          <w:sz w:val="24"/>
        </w:rPr>
        <w:t>t</w:t>
      </w:r>
    </w:p>
    <w:p w:rsidR="00E829B6" w:rsidRDefault="00E829B6" w:rsidP="00B10EA2">
      <w:pPr>
        <w:adjustRightInd w:val="0"/>
        <w:snapToGrid w:val="0"/>
        <w:spacing w:line="480" w:lineRule="auto"/>
        <w:jc w:val="left"/>
        <w:rPr>
          <w:sz w:val="24"/>
        </w:rPr>
      </w:pPr>
      <w:r w:rsidRPr="00FF3C35">
        <w:rPr>
          <w:sz w:val="24"/>
        </w:rPr>
        <w:t xml:space="preserve">where </w:t>
      </w:r>
      <w:r w:rsidR="00BF5EAB" w:rsidRPr="00FF3C35">
        <w:rPr>
          <w:i/>
          <w:sz w:val="24"/>
        </w:rPr>
        <w:t>C</w:t>
      </w:r>
      <w:r w:rsidR="00BF5EAB" w:rsidRPr="00FF3C35">
        <w:rPr>
          <w:i/>
          <w:sz w:val="24"/>
          <w:vertAlign w:val="subscript"/>
        </w:rPr>
        <w:t>0</w:t>
      </w:r>
      <w:r w:rsidR="00BF5EAB" w:rsidRPr="00FF3C35">
        <w:rPr>
          <w:sz w:val="24"/>
        </w:rPr>
        <w:t xml:space="preserve"> was the initial </w:t>
      </w:r>
      <w:r w:rsidR="00CA6D23" w:rsidRPr="00FF3C35">
        <w:rPr>
          <w:sz w:val="24"/>
        </w:rPr>
        <w:t xml:space="preserve">nitrate </w:t>
      </w:r>
      <w:r w:rsidR="00BF5EAB" w:rsidRPr="00FF3C35">
        <w:rPr>
          <w:sz w:val="24"/>
        </w:rPr>
        <w:t>concentration, mg/</w:t>
      </w:r>
      <w:r w:rsidR="00DC51C7" w:rsidRPr="00FF3C35">
        <w:rPr>
          <w:sz w:val="24"/>
        </w:rPr>
        <w:t>L</w:t>
      </w:r>
      <w:r w:rsidR="00BF5EAB" w:rsidRPr="00FF3C35">
        <w:rPr>
          <w:sz w:val="24"/>
        </w:rPr>
        <w:t xml:space="preserve">; </w:t>
      </w:r>
      <w:r w:rsidRPr="00FF3C35">
        <w:rPr>
          <w:i/>
          <w:sz w:val="24"/>
        </w:rPr>
        <w:t>C</w:t>
      </w:r>
      <w:r w:rsidRPr="00FF3C35">
        <w:rPr>
          <w:i/>
          <w:sz w:val="24"/>
          <w:vertAlign w:val="subscript"/>
        </w:rPr>
        <w:t>1</w:t>
      </w:r>
      <w:r w:rsidRPr="00FF3C35">
        <w:rPr>
          <w:sz w:val="24"/>
        </w:rPr>
        <w:t xml:space="preserve"> was the final concentration of nitrate</w:t>
      </w:r>
      <w:r w:rsidR="00CA6D23" w:rsidRPr="00FF3C35">
        <w:rPr>
          <w:sz w:val="24"/>
        </w:rPr>
        <w:t xml:space="preserve"> (</w:t>
      </w:r>
      <w:r w:rsidR="00CA6D23" w:rsidRPr="00FF3C35">
        <w:rPr>
          <w:rFonts w:cs="Times New Roman"/>
          <w:sz w:val="24"/>
        </w:rPr>
        <w:t>≈</w:t>
      </w:r>
      <w:r w:rsidR="00DC51C7" w:rsidRPr="00FF3C35">
        <w:rPr>
          <w:rFonts w:cs="Times New Roman"/>
          <w:sz w:val="24"/>
        </w:rPr>
        <w:t xml:space="preserve"> </w:t>
      </w:r>
      <w:r w:rsidR="00CA6D23" w:rsidRPr="00FF3C35">
        <w:rPr>
          <w:rFonts w:hint="eastAsia"/>
          <w:sz w:val="24"/>
        </w:rPr>
        <w:t>0</w:t>
      </w:r>
      <w:r w:rsidR="00CA6D23" w:rsidRPr="00FF3C35">
        <w:rPr>
          <w:sz w:val="24"/>
        </w:rPr>
        <w:t>)</w:t>
      </w:r>
      <w:r w:rsidRPr="00FF3C35">
        <w:rPr>
          <w:sz w:val="24"/>
        </w:rPr>
        <w:t>, mg/</w:t>
      </w:r>
      <w:r w:rsidR="00DC51C7" w:rsidRPr="00FF3C35">
        <w:rPr>
          <w:sz w:val="24"/>
        </w:rPr>
        <w:t>L</w:t>
      </w:r>
      <w:r w:rsidRPr="00FF3C35">
        <w:rPr>
          <w:sz w:val="24"/>
        </w:rPr>
        <w:t xml:space="preserve">; </w:t>
      </w:r>
      <w:r w:rsidR="00BF5EAB" w:rsidRPr="00FF3C35">
        <w:rPr>
          <w:i/>
          <w:sz w:val="24"/>
        </w:rPr>
        <w:t>t</w:t>
      </w:r>
      <w:r w:rsidR="00F754A9" w:rsidRPr="00FF3C35">
        <w:rPr>
          <w:sz w:val="24"/>
        </w:rPr>
        <w:t xml:space="preserve"> was the reaction time when</w:t>
      </w:r>
      <w:r w:rsidR="00BF5EAB" w:rsidRPr="00FF3C35">
        <w:rPr>
          <w:sz w:val="24"/>
        </w:rPr>
        <w:t xml:space="preserve"> nitrate concentration </w:t>
      </w:r>
      <w:r w:rsidR="00E72EB6" w:rsidRPr="00FF3C35">
        <w:rPr>
          <w:sz w:val="24"/>
        </w:rPr>
        <w:t>reach</w:t>
      </w:r>
      <w:r w:rsidR="00CA6D23" w:rsidRPr="00FF3C35">
        <w:rPr>
          <w:sz w:val="24"/>
        </w:rPr>
        <w:t>ed</w:t>
      </w:r>
      <w:r w:rsidR="00BF5EAB" w:rsidRPr="00FF3C35">
        <w:rPr>
          <w:sz w:val="24"/>
        </w:rPr>
        <w:t xml:space="preserve"> zero, h</w:t>
      </w:r>
      <w:r w:rsidRPr="00FF3C35">
        <w:rPr>
          <w:sz w:val="24"/>
        </w:rPr>
        <w:t xml:space="preserve">. </w:t>
      </w:r>
    </w:p>
    <w:p w:rsidR="005C4701" w:rsidRDefault="005C4701" w:rsidP="005C4701">
      <w:pPr>
        <w:spacing w:line="480" w:lineRule="auto"/>
        <w:jc w:val="left"/>
        <w:rPr>
          <w:rFonts w:cs="Times New Roman"/>
          <w:b/>
          <w:sz w:val="24"/>
          <w:szCs w:val="24"/>
        </w:rPr>
      </w:pPr>
      <w:r w:rsidRPr="00FF5A6E">
        <w:rPr>
          <w:rFonts w:cs="Times New Roman"/>
          <w:b/>
          <w:sz w:val="24"/>
          <w:szCs w:val="24"/>
          <w:highlight w:val="yellow"/>
        </w:rPr>
        <w:lastRenderedPageBreak/>
        <w:t>Measurement of LDH release</w:t>
      </w:r>
      <w:r>
        <w:rPr>
          <w:rFonts w:cs="Times New Roman"/>
          <w:b/>
          <w:sz w:val="24"/>
          <w:szCs w:val="24"/>
        </w:rPr>
        <w:t xml:space="preserve"> </w:t>
      </w:r>
    </w:p>
    <w:p w:rsidR="005C4701" w:rsidRPr="00FF5A6E" w:rsidRDefault="005C4701" w:rsidP="005C4701">
      <w:pPr>
        <w:spacing w:line="480" w:lineRule="auto"/>
        <w:ind w:firstLineChars="200" w:firstLine="480"/>
        <w:rPr>
          <w:b/>
          <w:sz w:val="24"/>
          <w:szCs w:val="24"/>
        </w:rPr>
      </w:pPr>
      <w:bookmarkStart w:id="13" w:name="OLE_LINK19"/>
      <w:bookmarkStart w:id="14" w:name="OLE_LINK20"/>
      <w:r w:rsidRPr="00FF5A6E">
        <w:rPr>
          <w:rFonts w:eastAsia="仿宋" w:cs="Times New Roman"/>
          <w:sz w:val="24"/>
          <w:szCs w:val="24"/>
          <w:highlight w:val="yellow"/>
        </w:rPr>
        <w:t>The LDH level was detected by a L</w:t>
      </w:r>
      <w:r w:rsidRPr="00FF5A6E">
        <w:rPr>
          <w:rFonts w:eastAsia="仿宋" w:cs="Times New Roman" w:hint="eastAsia"/>
          <w:sz w:val="24"/>
          <w:szCs w:val="24"/>
          <w:highlight w:val="yellow"/>
        </w:rPr>
        <w:t xml:space="preserve">DH </w:t>
      </w:r>
      <w:r w:rsidRPr="00FF5A6E">
        <w:rPr>
          <w:rFonts w:eastAsia="仿宋" w:cs="Times New Roman"/>
          <w:sz w:val="24"/>
          <w:szCs w:val="24"/>
          <w:highlight w:val="yellow"/>
        </w:rPr>
        <w:t xml:space="preserve">Assay Kit (Jiancheng Bioengineering Co. Ltd., Nanjing, China) in accordance with the protocol specified by the manufacture. </w:t>
      </w:r>
      <w:bookmarkStart w:id="15" w:name="OLE_LINK11"/>
      <w:r w:rsidRPr="00FF5A6E">
        <w:rPr>
          <w:rFonts w:eastAsia="仿宋" w:cs="Times New Roman"/>
          <w:sz w:val="24"/>
          <w:szCs w:val="24"/>
          <w:highlight w:val="yellow"/>
        </w:rPr>
        <w:t>After exposed to TiO</w:t>
      </w:r>
      <w:r w:rsidRPr="00FF5A6E">
        <w:rPr>
          <w:rFonts w:eastAsia="仿宋" w:cs="Times New Roman"/>
          <w:sz w:val="24"/>
          <w:szCs w:val="24"/>
          <w:highlight w:val="yellow"/>
          <w:vertAlign w:val="subscript"/>
        </w:rPr>
        <w:t>2</w:t>
      </w:r>
      <w:r w:rsidRPr="00FF5A6E">
        <w:rPr>
          <w:rFonts w:eastAsia="仿宋" w:cs="Times New Roman"/>
          <w:sz w:val="24"/>
          <w:szCs w:val="24"/>
          <w:highlight w:val="yellow"/>
        </w:rPr>
        <w:t xml:space="preserve"> NPs for 8 h, </w:t>
      </w:r>
      <w:bookmarkEnd w:id="15"/>
      <w:r w:rsidRPr="00FF5A6E">
        <w:rPr>
          <w:rFonts w:eastAsia="仿宋" w:cs="Times New Roman"/>
          <w:sz w:val="24"/>
          <w:szCs w:val="24"/>
          <w:highlight w:val="yellow"/>
        </w:rPr>
        <w:t>the culture supernatants were obtained by centrifugation (10000 rpm for 5 min). Then the supernatant was treated according to the manufacturer’s instructions and measured at 450 nm absorbance via a microplate reader (Biotek, USA).</w:t>
      </w:r>
      <w:bookmarkEnd w:id="13"/>
      <w:bookmarkEnd w:id="14"/>
    </w:p>
    <w:p w:rsidR="00E622B3" w:rsidRPr="00FF3C35" w:rsidRDefault="00E622B3" w:rsidP="00E622B3">
      <w:pPr>
        <w:spacing w:line="480" w:lineRule="auto"/>
        <w:rPr>
          <w:b/>
          <w:sz w:val="24"/>
          <w:szCs w:val="24"/>
        </w:rPr>
      </w:pPr>
      <w:r w:rsidRPr="00FF3C35">
        <w:rPr>
          <w:rFonts w:hint="eastAsia"/>
          <w:b/>
          <w:sz w:val="24"/>
          <w:szCs w:val="24"/>
        </w:rPr>
        <w:t>Expression</w:t>
      </w:r>
      <w:r w:rsidRPr="00FF3C35">
        <w:rPr>
          <w:b/>
          <w:sz w:val="24"/>
          <w:szCs w:val="24"/>
        </w:rPr>
        <w:t>s</w:t>
      </w:r>
      <w:r w:rsidRPr="00FF3C35">
        <w:rPr>
          <w:rFonts w:hint="eastAsia"/>
          <w:b/>
          <w:sz w:val="24"/>
          <w:szCs w:val="24"/>
        </w:rPr>
        <w:t xml:space="preserve"> </w:t>
      </w:r>
      <w:r w:rsidRPr="00FF3C35">
        <w:rPr>
          <w:b/>
          <w:sz w:val="24"/>
          <w:szCs w:val="24"/>
        </w:rPr>
        <w:t>of denitrif</w:t>
      </w:r>
      <w:r w:rsidR="00426B68" w:rsidRPr="00FF3C35">
        <w:rPr>
          <w:b/>
          <w:sz w:val="24"/>
          <w:szCs w:val="24"/>
        </w:rPr>
        <w:t>ication</w:t>
      </w:r>
      <w:r w:rsidRPr="00FF3C35">
        <w:rPr>
          <w:b/>
          <w:sz w:val="24"/>
          <w:szCs w:val="24"/>
        </w:rPr>
        <w:t xml:space="preserve"> genes</w:t>
      </w:r>
      <w:r w:rsidR="00426B68" w:rsidRPr="00FF3C35">
        <w:rPr>
          <w:b/>
          <w:sz w:val="24"/>
          <w:szCs w:val="24"/>
        </w:rPr>
        <w:t xml:space="preserve"> for strain </w:t>
      </w:r>
      <w:r w:rsidR="00426B68" w:rsidRPr="00FF3C35">
        <w:rPr>
          <w:b/>
          <w:i/>
          <w:sz w:val="24"/>
          <w:szCs w:val="24"/>
        </w:rPr>
        <w:t>Pseudomonas stutzeri</w:t>
      </w:r>
      <w:r w:rsidR="00426B68" w:rsidRPr="00FF3C35">
        <w:rPr>
          <w:b/>
          <w:sz w:val="24"/>
          <w:szCs w:val="24"/>
        </w:rPr>
        <w:t xml:space="preserve"> PCN-1</w:t>
      </w:r>
    </w:p>
    <w:p w:rsidR="002F6D65" w:rsidRPr="00FF3C35" w:rsidRDefault="002F6D65" w:rsidP="00A17987">
      <w:pPr>
        <w:pStyle w:val="ab"/>
        <w:numPr>
          <w:ilvl w:val="0"/>
          <w:numId w:val="2"/>
        </w:numPr>
        <w:spacing w:line="480" w:lineRule="auto"/>
        <w:ind w:firstLineChars="0"/>
        <w:jc w:val="left"/>
        <w:rPr>
          <w:rFonts w:eastAsia="宋体" w:cs="Times New Roman"/>
          <w:sz w:val="24"/>
          <w:szCs w:val="24"/>
        </w:rPr>
      </w:pPr>
      <w:r w:rsidRPr="00FF3C35">
        <w:rPr>
          <w:rFonts w:eastAsia="宋体" w:cs="Times New Roman"/>
          <w:sz w:val="24"/>
          <w:szCs w:val="24"/>
        </w:rPr>
        <w:t xml:space="preserve">The </w:t>
      </w:r>
      <w:r w:rsidR="00130474" w:rsidRPr="00FF3C35">
        <w:rPr>
          <w:rFonts w:eastAsia="宋体" w:cs="Times New Roman"/>
          <w:sz w:val="24"/>
          <w:szCs w:val="24"/>
        </w:rPr>
        <w:t xml:space="preserve">normalized </w:t>
      </w:r>
      <w:r w:rsidRPr="00FF3C35">
        <w:rPr>
          <w:rFonts w:eastAsia="宋体" w:cs="Times New Roman"/>
          <w:sz w:val="24"/>
          <w:szCs w:val="24"/>
        </w:rPr>
        <w:t>expression of each denitrif</w:t>
      </w:r>
      <w:r w:rsidR="001322A3" w:rsidRPr="00FF3C35">
        <w:rPr>
          <w:rFonts w:eastAsia="宋体" w:cs="Times New Roman"/>
          <w:sz w:val="24"/>
          <w:szCs w:val="24"/>
        </w:rPr>
        <w:t>ication</w:t>
      </w:r>
      <w:r w:rsidRPr="00FF3C35">
        <w:rPr>
          <w:rFonts w:eastAsia="宋体" w:cs="Times New Roman"/>
          <w:sz w:val="24"/>
          <w:szCs w:val="24"/>
        </w:rPr>
        <w:t xml:space="preserve"> gene was calculated as follows:</w:t>
      </w:r>
    </w:p>
    <w:p w:rsidR="002F6D65" w:rsidRPr="00FF3C35" w:rsidRDefault="002C048B" w:rsidP="00A17987">
      <w:pPr>
        <w:spacing w:line="480" w:lineRule="auto"/>
        <w:ind w:leftChars="150" w:left="315"/>
        <w:jc w:val="left"/>
        <w:rPr>
          <w:rFonts w:eastAsia="宋体" w:cs="Times New Roman"/>
          <w:sz w:val="24"/>
          <w:szCs w:val="24"/>
        </w:rPr>
      </w:pPr>
      <w:r w:rsidRPr="00FF3C35">
        <w:rPr>
          <w:rFonts w:eastAsia="宋体" w:cs="Times New Roman"/>
          <w:sz w:val="24"/>
          <w:szCs w:val="24"/>
        </w:rPr>
        <w:t>A</w:t>
      </w:r>
      <w:r w:rsidR="002F6D65" w:rsidRPr="00FF3C35">
        <w:rPr>
          <w:rFonts w:eastAsia="宋体" w:cs="Times New Roman"/>
          <w:sz w:val="24"/>
          <w:szCs w:val="24"/>
        </w:rPr>
        <w:t>erobic denitrif</w:t>
      </w:r>
      <w:r w:rsidR="001322A3" w:rsidRPr="00FF3C35">
        <w:rPr>
          <w:rFonts w:eastAsia="宋体" w:cs="Times New Roman"/>
          <w:sz w:val="24"/>
          <w:szCs w:val="24"/>
        </w:rPr>
        <w:t>ication</w:t>
      </w:r>
      <w:r w:rsidR="002F6D65" w:rsidRPr="00FF3C35">
        <w:rPr>
          <w:rFonts w:eastAsia="宋体" w:cs="Times New Roman"/>
          <w:sz w:val="24"/>
          <w:szCs w:val="24"/>
        </w:rPr>
        <w:t xml:space="preserve"> gene (</w:t>
      </w:r>
      <w:r w:rsidR="002F6D65" w:rsidRPr="00FF3C35">
        <w:rPr>
          <w:rFonts w:eastAsia="宋体" w:cs="Times New Roman"/>
          <w:i/>
          <w:sz w:val="24"/>
          <w:szCs w:val="24"/>
        </w:rPr>
        <w:t>napA</w:t>
      </w:r>
      <w:r w:rsidR="002F6D65" w:rsidRPr="00FF3C35">
        <w:rPr>
          <w:rFonts w:eastAsia="宋体" w:cs="Times New Roman"/>
          <w:sz w:val="24"/>
          <w:szCs w:val="24"/>
        </w:rPr>
        <w:t xml:space="preserve">, </w:t>
      </w:r>
      <w:r w:rsidR="002F6D65" w:rsidRPr="00FF3C35">
        <w:rPr>
          <w:rFonts w:eastAsia="宋体" w:cs="Times New Roman"/>
          <w:i/>
          <w:sz w:val="24"/>
          <w:szCs w:val="24"/>
        </w:rPr>
        <w:t>nirS</w:t>
      </w:r>
      <w:r w:rsidR="002F6D65" w:rsidRPr="00FF3C35">
        <w:rPr>
          <w:rFonts w:eastAsia="宋体" w:cs="Times New Roman"/>
          <w:sz w:val="24"/>
          <w:szCs w:val="24"/>
        </w:rPr>
        <w:t xml:space="preserve">, </w:t>
      </w:r>
      <w:r w:rsidR="002F6D65" w:rsidRPr="00FF3C35">
        <w:rPr>
          <w:rFonts w:eastAsia="宋体" w:cs="Times New Roman"/>
          <w:i/>
          <w:sz w:val="24"/>
          <w:szCs w:val="24"/>
        </w:rPr>
        <w:t>cnorB</w:t>
      </w:r>
      <w:r w:rsidR="002F6D65" w:rsidRPr="00FF3C35">
        <w:rPr>
          <w:rFonts w:eastAsia="宋体" w:cs="Times New Roman"/>
          <w:sz w:val="24"/>
          <w:szCs w:val="24"/>
        </w:rPr>
        <w:t xml:space="preserve"> and </w:t>
      </w:r>
      <w:r w:rsidR="002F6D65" w:rsidRPr="00FF3C35">
        <w:rPr>
          <w:rFonts w:eastAsia="宋体" w:cs="Times New Roman"/>
          <w:i/>
          <w:sz w:val="24"/>
          <w:szCs w:val="24"/>
        </w:rPr>
        <w:t>nosZ</w:t>
      </w:r>
      <w:r w:rsidR="002F6D65" w:rsidRPr="00FF3C35">
        <w:rPr>
          <w:rFonts w:eastAsia="宋体" w:cs="Times New Roman"/>
          <w:sz w:val="24"/>
          <w:szCs w:val="24"/>
        </w:rPr>
        <w:t xml:space="preserve">, respectively) </w:t>
      </w:r>
      <w:r w:rsidRPr="00FF3C35">
        <w:rPr>
          <w:rFonts w:eastAsia="宋体" w:cs="Times New Roman"/>
          <w:sz w:val="24"/>
          <w:szCs w:val="24"/>
        </w:rPr>
        <w:t xml:space="preserve">normalized </w:t>
      </w:r>
      <w:r w:rsidR="002F6D65" w:rsidRPr="00FF3C35">
        <w:rPr>
          <w:rFonts w:eastAsia="宋体" w:cs="Times New Roman"/>
          <w:sz w:val="24"/>
          <w:szCs w:val="24"/>
        </w:rPr>
        <w:t>expression (copies / copies) = aerobic denitrif</w:t>
      </w:r>
      <w:r w:rsidR="001322A3" w:rsidRPr="00FF3C35">
        <w:rPr>
          <w:rFonts w:eastAsia="宋体" w:cs="Times New Roman"/>
          <w:sz w:val="24"/>
          <w:szCs w:val="24"/>
        </w:rPr>
        <w:t>ication</w:t>
      </w:r>
      <w:r w:rsidR="006503F4" w:rsidRPr="00FF3C35">
        <w:rPr>
          <w:rFonts w:eastAsia="宋体" w:cs="Times New Roman"/>
          <w:sz w:val="24"/>
          <w:szCs w:val="24"/>
        </w:rPr>
        <w:t xml:space="preserve"> gene</w:t>
      </w:r>
      <w:r w:rsidR="002F6D65" w:rsidRPr="00FF3C35">
        <w:rPr>
          <w:rFonts w:eastAsia="宋体" w:cs="Times New Roman"/>
          <w:sz w:val="24"/>
          <w:szCs w:val="24"/>
        </w:rPr>
        <w:t xml:space="preserve"> expression level / V3 expression level</w:t>
      </w:r>
    </w:p>
    <w:p w:rsidR="002F6D65" w:rsidRPr="00FF3C35" w:rsidRDefault="002F6D65" w:rsidP="00A17987">
      <w:pPr>
        <w:pStyle w:val="ab"/>
        <w:numPr>
          <w:ilvl w:val="0"/>
          <w:numId w:val="2"/>
        </w:numPr>
        <w:spacing w:line="480" w:lineRule="auto"/>
        <w:ind w:firstLineChars="0"/>
        <w:jc w:val="left"/>
        <w:rPr>
          <w:rFonts w:eastAsia="宋体" w:cs="Times New Roman"/>
          <w:sz w:val="24"/>
          <w:szCs w:val="24"/>
        </w:rPr>
      </w:pPr>
      <w:r w:rsidRPr="00FF3C35">
        <w:rPr>
          <w:rFonts w:eastAsia="宋体" w:cs="Times New Roman"/>
          <w:sz w:val="24"/>
          <w:szCs w:val="24"/>
        </w:rPr>
        <w:t>Relative fold change of denitrif</w:t>
      </w:r>
      <w:r w:rsidR="001322A3" w:rsidRPr="00FF3C35">
        <w:rPr>
          <w:rFonts w:eastAsia="宋体" w:cs="Times New Roman"/>
          <w:sz w:val="24"/>
          <w:szCs w:val="24"/>
        </w:rPr>
        <w:t>ication</w:t>
      </w:r>
      <w:r w:rsidRPr="00FF3C35">
        <w:rPr>
          <w:rFonts w:eastAsia="宋体" w:cs="Times New Roman"/>
          <w:sz w:val="24"/>
          <w:szCs w:val="24"/>
        </w:rPr>
        <w:t xml:space="preserve"> gene expression was calculated </w:t>
      </w:r>
      <w:r w:rsidR="00716FC8" w:rsidRPr="00FF3C35">
        <w:rPr>
          <w:rFonts w:eastAsia="宋体" w:cs="Times New Roman"/>
          <w:sz w:val="24"/>
          <w:szCs w:val="24"/>
        </w:rPr>
        <w:t>with</w:t>
      </w:r>
      <w:r w:rsidRPr="00FF3C35">
        <w:rPr>
          <w:rFonts w:eastAsia="宋体" w:cs="Times New Roman"/>
          <w:sz w:val="24"/>
          <w:szCs w:val="24"/>
        </w:rPr>
        <w:t xml:space="preserve"> the following equation (Ka</w:t>
      </w:r>
      <w:r w:rsidR="001447B4" w:rsidRPr="00FF3C35">
        <w:rPr>
          <w:rFonts w:eastAsia="宋体" w:cs="Times New Roman"/>
          <w:sz w:val="24"/>
          <w:szCs w:val="24"/>
        </w:rPr>
        <w:t xml:space="preserve">poor </w:t>
      </w:r>
      <w:r w:rsidR="001447B4" w:rsidRPr="00FF3C35">
        <w:rPr>
          <w:rFonts w:eastAsia="宋体" w:cs="Times New Roman"/>
          <w:i/>
          <w:sz w:val="24"/>
          <w:szCs w:val="24"/>
        </w:rPr>
        <w:t>et al</w:t>
      </w:r>
      <w:r w:rsidR="001447B4" w:rsidRPr="00FF3C35">
        <w:rPr>
          <w:rFonts w:eastAsia="宋体" w:cs="Times New Roman"/>
          <w:sz w:val="24"/>
          <w:szCs w:val="24"/>
        </w:rPr>
        <w:t>.</w:t>
      </w:r>
      <w:r w:rsidRPr="00FF3C35">
        <w:rPr>
          <w:rFonts w:eastAsia="宋体" w:cs="Times New Roman"/>
          <w:sz w:val="24"/>
          <w:szCs w:val="24"/>
        </w:rPr>
        <w:t xml:space="preserve"> 2015): </w:t>
      </w:r>
    </w:p>
    <w:p w:rsidR="002F6D65" w:rsidRPr="00FF3C35" w:rsidRDefault="002F6D65" w:rsidP="00A17987">
      <w:pPr>
        <w:spacing w:line="480" w:lineRule="auto"/>
        <w:ind w:leftChars="150" w:left="315"/>
        <w:jc w:val="left"/>
        <w:rPr>
          <w:rFonts w:eastAsia="宋体" w:cs="Times New Roman"/>
          <w:sz w:val="24"/>
          <w:szCs w:val="24"/>
        </w:rPr>
      </w:pPr>
      <w:r w:rsidRPr="00FF3C35">
        <w:rPr>
          <w:rFonts w:eastAsia="仿宋" w:cs="Times New Roman"/>
          <w:sz w:val="24"/>
          <w:szCs w:val="24"/>
        </w:rPr>
        <w:t>Relative fold change</w:t>
      </w:r>
      <w:r w:rsidRPr="00FF3C35">
        <w:rPr>
          <w:rFonts w:cs="Times New Roman"/>
          <w:sz w:val="24"/>
          <w:szCs w:val="24"/>
        </w:rPr>
        <w:t xml:space="preserve"> </w:t>
      </w:r>
      <w:r w:rsidRPr="00FF3C35">
        <w:rPr>
          <w:rFonts w:eastAsia="仿宋" w:cs="Times New Roman"/>
          <w:sz w:val="24"/>
          <w:szCs w:val="24"/>
        </w:rPr>
        <w:t>of aerobic denitrif</w:t>
      </w:r>
      <w:r w:rsidR="001322A3" w:rsidRPr="00FF3C35">
        <w:rPr>
          <w:rFonts w:eastAsia="仿宋" w:cs="Times New Roman"/>
          <w:sz w:val="24"/>
          <w:szCs w:val="24"/>
        </w:rPr>
        <w:t>ication</w:t>
      </w:r>
      <w:r w:rsidRPr="00FF3C35">
        <w:rPr>
          <w:rFonts w:eastAsia="仿宋" w:cs="Times New Roman"/>
          <w:sz w:val="24"/>
          <w:szCs w:val="24"/>
        </w:rPr>
        <w:t xml:space="preserve"> gene expression = Log</w:t>
      </w:r>
      <w:r w:rsidRPr="00FF3C35">
        <w:rPr>
          <w:rFonts w:eastAsia="仿宋" w:cs="Times New Roman"/>
          <w:sz w:val="24"/>
          <w:szCs w:val="24"/>
          <w:vertAlign w:val="subscript"/>
        </w:rPr>
        <w:t>2</w:t>
      </w:r>
      <w:r w:rsidRPr="00FF3C35">
        <w:rPr>
          <w:rFonts w:eastAsia="仿宋" w:cs="Times New Roman"/>
          <w:sz w:val="24"/>
          <w:szCs w:val="24"/>
        </w:rPr>
        <w:t xml:space="preserve"> (</w:t>
      </w:r>
      <w:r w:rsidRPr="00FF3C35">
        <w:rPr>
          <w:rFonts w:eastAsia="仿宋" w:cs="Times New Roman"/>
          <w:i/>
          <w:sz w:val="24"/>
          <w:szCs w:val="24"/>
        </w:rPr>
        <w:t>T</w:t>
      </w:r>
      <w:r w:rsidRPr="00FF3C35">
        <w:rPr>
          <w:rFonts w:eastAsia="仿宋" w:cs="Times New Roman"/>
          <w:i/>
          <w:sz w:val="24"/>
          <w:szCs w:val="24"/>
          <w:vertAlign w:val="subscript"/>
        </w:rPr>
        <w:t>gene</w:t>
      </w:r>
      <w:r w:rsidRPr="00FF3C35">
        <w:rPr>
          <w:rFonts w:eastAsia="仿宋" w:cs="Times New Roman"/>
          <w:sz w:val="24"/>
          <w:szCs w:val="24"/>
        </w:rPr>
        <w:t xml:space="preserve"> / </w:t>
      </w:r>
      <w:r w:rsidRPr="00FF3C35">
        <w:rPr>
          <w:rFonts w:eastAsia="仿宋" w:cs="Times New Roman"/>
          <w:i/>
          <w:sz w:val="24"/>
          <w:szCs w:val="24"/>
        </w:rPr>
        <w:t>C</w:t>
      </w:r>
      <w:r w:rsidRPr="00FF3C35">
        <w:rPr>
          <w:rFonts w:eastAsia="仿宋" w:cs="Times New Roman"/>
          <w:i/>
          <w:sz w:val="24"/>
          <w:szCs w:val="24"/>
          <w:vertAlign w:val="subscript"/>
        </w:rPr>
        <w:t>gene</w:t>
      </w:r>
      <w:r w:rsidRPr="00FF3C35">
        <w:rPr>
          <w:rFonts w:eastAsia="仿宋" w:cs="Times New Roman"/>
          <w:sz w:val="24"/>
          <w:szCs w:val="24"/>
        </w:rPr>
        <w:t>)</w:t>
      </w:r>
    </w:p>
    <w:p w:rsidR="002F6D65" w:rsidRPr="00FF3C35" w:rsidRDefault="002F6D65" w:rsidP="00A17987">
      <w:pPr>
        <w:spacing w:line="480" w:lineRule="auto"/>
        <w:ind w:leftChars="150" w:left="315"/>
        <w:jc w:val="left"/>
        <w:rPr>
          <w:rFonts w:eastAsia="仿宋" w:cs="Times New Roman"/>
          <w:sz w:val="24"/>
          <w:szCs w:val="24"/>
        </w:rPr>
      </w:pPr>
      <w:r w:rsidRPr="00FF3C35">
        <w:rPr>
          <w:rFonts w:eastAsia="仿宋" w:cs="Times New Roman"/>
          <w:i/>
          <w:sz w:val="24"/>
          <w:szCs w:val="24"/>
        </w:rPr>
        <w:t>T</w:t>
      </w:r>
      <w:r w:rsidRPr="00FF3C35">
        <w:rPr>
          <w:rFonts w:eastAsia="仿宋" w:cs="Times New Roman"/>
          <w:i/>
          <w:sz w:val="24"/>
          <w:szCs w:val="24"/>
          <w:vertAlign w:val="subscript"/>
        </w:rPr>
        <w:t>gene</w:t>
      </w:r>
      <w:r w:rsidRPr="00FF3C35">
        <w:rPr>
          <w:rFonts w:eastAsia="仿宋" w:cs="Times New Roman"/>
          <w:sz w:val="24"/>
          <w:szCs w:val="24"/>
        </w:rPr>
        <w:t xml:space="preserve">: the maximal </w:t>
      </w:r>
      <w:r w:rsidR="002C048B" w:rsidRPr="00FF3C35">
        <w:rPr>
          <w:rFonts w:eastAsia="仿宋" w:cs="Times New Roman"/>
          <w:sz w:val="24"/>
          <w:szCs w:val="24"/>
        </w:rPr>
        <w:t xml:space="preserve">normalized </w:t>
      </w:r>
      <w:r w:rsidRPr="00FF3C35">
        <w:rPr>
          <w:rFonts w:eastAsia="仿宋" w:cs="Times New Roman"/>
          <w:sz w:val="24"/>
          <w:szCs w:val="24"/>
        </w:rPr>
        <w:t>expression of aerobic denitrif</w:t>
      </w:r>
      <w:r w:rsidR="001322A3" w:rsidRPr="00FF3C35">
        <w:rPr>
          <w:rFonts w:eastAsia="仿宋" w:cs="Times New Roman"/>
          <w:sz w:val="24"/>
          <w:szCs w:val="24"/>
        </w:rPr>
        <w:t>ication</w:t>
      </w:r>
      <w:r w:rsidR="006503F4" w:rsidRPr="00FF3C35">
        <w:rPr>
          <w:rFonts w:eastAsia="仿宋" w:cs="Times New Roman"/>
          <w:sz w:val="24"/>
          <w:szCs w:val="24"/>
        </w:rPr>
        <w:t xml:space="preserve"> genes</w:t>
      </w:r>
      <w:r w:rsidRPr="00FF3C35">
        <w:rPr>
          <w:rFonts w:eastAsia="仿宋" w:cs="Times New Roman"/>
          <w:sz w:val="24"/>
          <w:szCs w:val="24"/>
        </w:rPr>
        <w:t xml:space="preserve"> in test sample</w:t>
      </w:r>
      <w:r w:rsidR="006503F4" w:rsidRPr="00FF3C35">
        <w:rPr>
          <w:rFonts w:eastAsia="仿宋" w:cs="Times New Roman"/>
          <w:sz w:val="24"/>
          <w:szCs w:val="24"/>
        </w:rPr>
        <w:t xml:space="preserve"> (with TiO</w:t>
      </w:r>
      <w:r w:rsidR="006503F4" w:rsidRPr="00FF3C35">
        <w:rPr>
          <w:rFonts w:eastAsia="仿宋" w:cs="Times New Roman"/>
          <w:sz w:val="24"/>
          <w:szCs w:val="24"/>
          <w:vertAlign w:val="subscript"/>
        </w:rPr>
        <w:t>2</w:t>
      </w:r>
      <w:r w:rsidR="006503F4" w:rsidRPr="00FF3C35">
        <w:rPr>
          <w:rFonts w:eastAsia="仿宋" w:cs="Times New Roman"/>
          <w:sz w:val="24"/>
          <w:szCs w:val="24"/>
        </w:rPr>
        <w:t xml:space="preserve"> NPs exposure);</w:t>
      </w:r>
    </w:p>
    <w:p w:rsidR="00EB597A" w:rsidRPr="00FF3C35" w:rsidRDefault="002F6D65" w:rsidP="00A66471">
      <w:pPr>
        <w:spacing w:line="480" w:lineRule="auto"/>
        <w:ind w:leftChars="150" w:left="315"/>
        <w:jc w:val="left"/>
        <w:rPr>
          <w:rFonts w:eastAsia="仿宋" w:cs="Times New Roman"/>
          <w:sz w:val="24"/>
          <w:szCs w:val="24"/>
        </w:rPr>
      </w:pPr>
      <w:r w:rsidRPr="00FF3C35">
        <w:rPr>
          <w:rFonts w:eastAsia="仿宋" w:cs="Times New Roman"/>
          <w:i/>
          <w:sz w:val="24"/>
          <w:szCs w:val="24"/>
        </w:rPr>
        <w:t>C</w:t>
      </w:r>
      <w:r w:rsidRPr="00FF3C35">
        <w:rPr>
          <w:rFonts w:eastAsia="仿宋" w:cs="Times New Roman"/>
          <w:i/>
          <w:sz w:val="24"/>
          <w:szCs w:val="24"/>
          <w:vertAlign w:val="subscript"/>
        </w:rPr>
        <w:t>gene</w:t>
      </w:r>
      <w:r w:rsidRPr="00FF3C35">
        <w:rPr>
          <w:rFonts w:eastAsia="仿宋" w:cs="Times New Roman"/>
          <w:sz w:val="24"/>
          <w:szCs w:val="24"/>
        </w:rPr>
        <w:t xml:space="preserve">: the maximal </w:t>
      </w:r>
      <w:r w:rsidR="002C048B" w:rsidRPr="00FF3C35">
        <w:rPr>
          <w:rFonts w:eastAsia="仿宋" w:cs="Times New Roman"/>
          <w:sz w:val="24"/>
          <w:szCs w:val="24"/>
        </w:rPr>
        <w:t xml:space="preserve">normalized </w:t>
      </w:r>
      <w:r w:rsidRPr="00FF3C35">
        <w:rPr>
          <w:rFonts w:eastAsia="仿宋" w:cs="Times New Roman"/>
          <w:sz w:val="24"/>
          <w:szCs w:val="24"/>
        </w:rPr>
        <w:t>expression of aerobic denitrif</w:t>
      </w:r>
      <w:r w:rsidR="001322A3" w:rsidRPr="00FF3C35">
        <w:rPr>
          <w:rFonts w:eastAsia="仿宋" w:cs="Times New Roman"/>
          <w:sz w:val="24"/>
          <w:szCs w:val="24"/>
        </w:rPr>
        <w:t>ication</w:t>
      </w:r>
      <w:r w:rsidR="006503F4" w:rsidRPr="00FF3C35">
        <w:rPr>
          <w:rFonts w:eastAsia="仿宋" w:cs="Times New Roman"/>
          <w:sz w:val="24"/>
          <w:szCs w:val="24"/>
        </w:rPr>
        <w:t xml:space="preserve"> genes</w:t>
      </w:r>
      <w:r w:rsidRPr="00FF3C35">
        <w:rPr>
          <w:rFonts w:eastAsia="仿宋" w:cs="Times New Roman"/>
          <w:sz w:val="24"/>
          <w:szCs w:val="24"/>
        </w:rPr>
        <w:t xml:space="preserve"> in control sample</w:t>
      </w:r>
      <w:r w:rsidR="00130474" w:rsidRPr="00FF3C35">
        <w:rPr>
          <w:rFonts w:eastAsia="仿宋" w:cs="Times New Roman"/>
          <w:sz w:val="24"/>
          <w:szCs w:val="24"/>
        </w:rPr>
        <w:t xml:space="preserve"> (without TiO</w:t>
      </w:r>
      <w:r w:rsidR="00130474" w:rsidRPr="00FF3C35">
        <w:rPr>
          <w:rFonts w:eastAsia="仿宋" w:cs="Times New Roman"/>
          <w:sz w:val="24"/>
          <w:szCs w:val="24"/>
          <w:vertAlign w:val="subscript"/>
        </w:rPr>
        <w:t>2</w:t>
      </w:r>
      <w:r w:rsidR="00130474" w:rsidRPr="00FF3C35">
        <w:rPr>
          <w:rFonts w:eastAsia="仿宋" w:cs="Times New Roman"/>
          <w:sz w:val="24"/>
          <w:szCs w:val="24"/>
        </w:rPr>
        <w:t xml:space="preserve"> NPs exposure</w:t>
      </w:r>
      <w:r w:rsidR="00855CF0" w:rsidRPr="00FF3C35">
        <w:rPr>
          <w:rFonts w:eastAsia="仿宋" w:cs="Times New Roman"/>
          <w:sz w:val="24"/>
          <w:szCs w:val="24"/>
        </w:rPr>
        <w:t>: 0 mg L</w:t>
      </w:r>
      <w:r w:rsidR="00855CF0" w:rsidRPr="00FF3C35">
        <w:rPr>
          <w:rFonts w:eastAsia="仿宋" w:cs="Times New Roman"/>
          <w:sz w:val="24"/>
          <w:szCs w:val="24"/>
          <w:vertAlign w:val="superscript"/>
        </w:rPr>
        <w:t>-1</w:t>
      </w:r>
      <w:r w:rsidR="00855CF0" w:rsidRPr="00FF3C35">
        <w:rPr>
          <w:rFonts w:eastAsia="仿宋" w:cs="Times New Roman"/>
          <w:sz w:val="24"/>
          <w:szCs w:val="24"/>
        </w:rPr>
        <w:t xml:space="preserve"> TiO</w:t>
      </w:r>
      <w:r w:rsidR="00855CF0" w:rsidRPr="00FF3C35">
        <w:rPr>
          <w:rFonts w:eastAsia="仿宋" w:cs="Times New Roman"/>
          <w:sz w:val="24"/>
          <w:szCs w:val="24"/>
          <w:vertAlign w:val="subscript"/>
        </w:rPr>
        <w:t>2</w:t>
      </w:r>
      <w:r w:rsidR="00855CF0" w:rsidRPr="00FF3C35">
        <w:rPr>
          <w:rFonts w:eastAsia="仿宋" w:cs="Times New Roman"/>
          <w:sz w:val="24"/>
          <w:szCs w:val="24"/>
        </w:rPr>
        <w:t xml:space="preserve"> NPs in the DM</w:t>
      </w:r>
      <w:r w:rsidR="00130474" w:rsidRPr="00FF3C35">
        <w:rPr>
          <w:rFonts w:eastAsia="仿宋" w:cs="Times New Roman"/>
          <w:sz w:val="24"/>
          <w:szCs w:val="24"/>
        </w:rPr>
        <w:t>)</w:t>
      </w:r>
      <w:r w:rsidRPr="00FF3C35">
        <w:rPr>
          <w:rFonts w:eastAsia="仿宋" w:cs="Times New Roman"/>
          <w:sz w:val="24"/>
          <w:szCs w:val="24"/>
        </w:rPr>
        <w:t>.</w:t>
      </w:r>
    </w:p>
    <w:p w:rsidR="00B0244F" w:rsidRPr="00FF3C35" w:rsidRDefault="00B0244F" w:rsidP="00B77D3B">
      <w:pPr>
        <w:spacing w:line="480" w:lineRule="auto"/>
        <w:rPr>
          <w:sz w:val="24"/>
          <w:szCs w:val="24"/>
        </w:rPr>
        <w:sectPr w:rsidR="00B0244F" w:rsidRPr="00FF3C35" w:rsidSect="006E36AA">
          <w:footerReference w:type="default" r:id="rId9"/>
          <w:pgSz w:w="11906" w:h="16838"/>
          <w:pgMar w:top="1701" w:right="1701" w:bottom="1701" w:left="1701" w:header="851" w:footer="992" w:gutter="0"/>
          <w:lnNumType w:countBy="1" w:restart="continuous"/>
          <w:cols w:space="425"/>
          <w:docGrid w:type="lines" w:linePitch="312"/>
        </w:sectPr>
      </w:pPr>
    </w:p>
    <w:p w:rsidR="00B77D3B" w:rsidRPr="00FF3C35" w:rsidRDefault="00B0244F" w:rsidP="00C35A8C">
      <w:pPr>
        <w:spacing w:line="480" w:lineRule="auto"/>
        <w:jc w:val="left"/>
        <w:rPr>
          <w:b/>
          <w:sz w:val="24"/>
          <w:szCs w:val="24"/>
        </w:rPr>
      </w:pPr>
      <w:r w:rsidRPr="00FF3C35">
        <w:rPr>
          <w:rFonts w:hint="eastAsia"/>
          <w:b/>
          <w:sz w:val="24"/>
          <w:szCs w:val="24"/>
        </w:rPr>
        <w:lastRenderedPageBreak/>
        <w:t xml:space="preserve">Table S1 </w:t>
      </w:r>
      <w:r w:rsidR="00C35A8C" w:rsidRPr="00FF3C35">
        <w:rPr>
          <w:sz w:val="24"/>
          <w:szCs w:val="24"/>
        </w:rPr>
        <w:t xml:space="preserve">PCR primers of V3 region of 16S rDNA, </w:t>
      </w:r>
      <w:r w:rsidR="00C35A8C" w:rsidRPr="00FF3C35">
        <w:rPr>
          <w:i/>
          <w:sz w:val="24"/>
          <w:szCs w:val="24"/>
        </w:rPr>
        <w:t>napA</w:t>
      </w:r>
      <w:r w:rsidR="00C35A8C" w:rsidRPr="00FF3C35">
        <w:rPr>
          <w:sz w:val="24"/>
          <w:szCs w:val="24"/>
        </w:rPr>
        <w:t xml:space="preserve">, </w:t>
      </w:r>
      <w:r w:rsidR="00C35A8C" w:rsidRPr="00FF3C35">
        <w:rPr>
          <w:i/>
          <w:sz w:val="24"/>
          <w:szCs w:val="24"/>
        </w:rPr>
        <w:t>nirS</w:t>
      </w:r>
      <w:r w:rsidR="00C35A8C" w:rsidRPr="00FF3C35">
        <w:rPr>
          <w:sz w:val="24"/>
          <w:szCs w:val="24"/>
        </w:rPr>
        <w:t xml:space="preserve">, </w:t>
      </w:r>
      <w:r w:rsidR="00C35A8C" w:rsidRPr="00FF3C35">
        <w:rPr>
          <w:i/>
          <w:sz w:val="24"/>
          <w:szCs w:val="24"/>
        </w:rPr>
        <w:t>cnorB</w:t>
      </w:r>
      <w:r w:rsidR="00C35A8C" w:rsidRPr="00FF3C35">
        <w:rPr>
          <w:sz w:val="24"/>
          <w:szCs w:val="24"/>
        </w:rPr>
        <w:t xml:space="preserve"> and </w:t>
      </w:r>
      <w:r w:rsidR="00C35A8C" w:rsidRPr="00FF3C35">
        <w:rPr>
          <w:i/>
          <w:sz w:val="24"/>
          <w:szCs w:val="24"/>
        </w:rPr>
        <w:t>nosZ</w:t>
      </w:r>
      <w:r w:rsidR="00C35A8C" w:rsidRPr="00FF3C35">
        <w:rPr>
          <w:sz w:val="24"/>
          <w:szCs w:val="24"/>
        </w:rPr>
        <w:t xml:space="preserve"> for strain </w:t>
      </w:r>
      <w:r w:rsidR="00C35A8C" w:rsidRPr="00FF3C35">
        <w:rPr>
          <w:rFonts w:eastAsia="宋体" w:cs="Times New Roman"/>
          <w:i/>
          <w:sz w:val="24"/>
          <w:szCs w:val="24"/>
        </w:rPr>
        <w:t>Pseudomonas stutzeri</w:t>
      </w:r>
      <w:r w:rsidR="00C35A8C" w:rsidRPr="00FF3C35">
        <w:rPr>
          <w:rFonts w:eastAsia="宋体" w:cs="Times New Roman"/>
          <w:sz w:val="24"/>
          <w:szCs w:val="24"/>
        </w:rPr>
        <w:t xml:space="preserve"> PCN-1.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4525"/>
      </w:tblGrid>
      <w:tr w:rsidR="00235293" w:rsidRPr="00FF3C35" w:rsidTr="000D6FB8"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293" w:rsidRPr="00FF3C35" w:rsidRDefault="000D6FB8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>Gene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293" w:rsidRPr="00FF3C35" w:rsidRDefault="000D6FB8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>Primers</w:t>
            </w:r>
          </w:p>
        </w:tc>
        <w:tc>
          <w:tcPr>
            <w:tcW w:w="45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293" w:rsidRPr="00FF3C35" w:rsidRDefault="000D6FB8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>Primer sequence (</w:t>
            </w:r>
            <w:r w:rsidRPr="00FF3C35">
              <w:rPr>
                <w:sz w:val="24"/>
                <w:szCs w:val="24"/>
              </w:rPr>
              <w:t>5’-3’</w:t>
            </w:r>
            <w:r w:rsidRPr="00FF3C3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D42B5" w:rsidRPr="00FF3C35" w:rsidTr="009C5F79"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DD42B5" w:rsidRPr="00FF3C35" w:rsidRDefault="00DD42B5" w:rsidP="00235293">
            <w:pPr>
              <w:jc w:val="center"/>
              <w:rPr>
                <w:i/>
                <w:sz w:val="24"/>
                <w:szCs w:val="24"/>
              </w:rPr>
            </w:pPr>
            <w:r w:rsidRPr="00FF3C35">
              <w:rPr>
                <w:rFonts w:hint="eastAsia"/>
                <w:i/>
                <w:sz w:val="24"/>
                <w:szCs w:val="24"/>
              </w:rPr>
              <w:t>napA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D42B5" w:rsidRPr="00FF3C35" w:rsidRDefault="004102BF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>napA z3F</w:t>
            </w:r>
          </w:p>
        </w:tc>
        <w:tc>
          <w:tcPr>
            <w:tcW w:w="4525" w:type="dxa"/>
            <w:tcBorders>
              <w:left w:val="nil"/>
              <w:bottom w:val="nil"/>
              <w:right w:val="nil"/>
            </w:tcBorders>
            <w:vAlign w:val="center"/>
          </w:tcPr>
          <w:p w:rsidR="00DD42B5" w:rsidRPr="00FF3C35" w:rsidRDefault="00BE2479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CGCGAACAAGCTGATGAAGG</w:t>
            </w:r>
          </w:p>
        </w:tc>
      </w:tr>
      <w:tr w:rsidR="00DD42B5" w:rsidRPr="00FF3C35" w:rsidTr="009C5F79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2B5" w:rsidRPr="00FF3C35" w:rsidRDefault="00DD42B5" w:rsidP="0023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AC430F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n</w:t>
            </w:r>
            <w:r w:rsidRPr="00FF3C35">
              <w:rPr>
                <w:rFonts w:hint="eastAsia"/>
                <w:sz w:val="24"/>
                <w:szCs w:val="24"/>
              </w:rPr>
              <w:t xml:space="preserve">apA </w:t>
            </w:r>
            <w:r w:rsidRPr="00FF3C35">
              <w:rPr>
                <w:sz w:val="24"/>
                <w:szCs w:val="24"/>
              </w:rPr>
              <w:t>z3R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7B336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AAGATCATCGGGATGTCGGC</w:t>
            </w:r>
          </w:p>
        </w:tc>
      </w:tr>
      <w:tr w:rsidR="00DD42B5" w:rsidRPr="00FF3C35" w:rsidTr="007D4235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42B5" w:rsidRPr="00FF3C35" w:rsidRDefault="00DD42B5" w:rsidP="00235293">
            <w:pPr>
              <w:jc w:val="center"/>
              <w:rPr>
                <w:i/>
                <w:sz w:val="24"/>
                <w:szCs w:val="24"/>
              </w:rPr>
            </w:pPr>
            <w:r w:rsidRPr="00FF3C35">
              <w:rPr>
                <w:rFonts w:hint="eastAsia"/>
                <w:i/>
                <w:sz w:val="24"/>
                <w:szCs w:val="24"/>
              </w:rPr>
              <w:t>nirS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AC430F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n</w:t>
            </w:r>
            <w:r w:rsidRPr="00FF3C35">
              <w:rPr>
                <w:rFonts w:hint="eastAsia"/>
                <w:sz w:val="24"/>
                <w:szCs w:val="24"/>
              </w:rPr>
              <w:t xml:space="preserve">irS </w:t>
            </w:r>
            <w:r w:rsidRPr="00FF3C35">
              <w:rPr>
                <w:sz w:val="24"/>
                <w:szCs w:val="24"/>
              </w:rPr>
              <w:t>cd3aF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7B336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GTSAACGTSAAGGARACSGG</w:t>
            </w:r>
          </w:p>
        </w:tc>
      </w:tr>
      <w:tr w:rsidR="00DD42B5" w:rsidRPr="00FF3C35" w:rsidTr="007D4235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2B5" w:rsidRPr="00FF3C35" w:rsidRDefault="00DD42B5" w:rsidP="0023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AC430F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n</w:t>
            </w:r>
            <w:r w:rsidRPr="00FF3C35">
              <w:rPr>
                <w:rFonts w:hint="eastAsia"/>
                <w:sz w:val="24"/>
                <w:szCs w:val="24"/>
              </w:rPr>
              <w:t xml:space="preserve">irS </w:t>
            </w:r>
            <w:r w:rsidRPr="00FF3C35">
              <w:rPr>
                <w:sz w:val="24"/>
                <w:szCs w:val="24"/>
              </w:rPr>
              <w:t>R3cd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7B336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GASTTCGGRTGSGTCTTGA</w:t>
            </w:r>
          </w:p>
        </w:tc>
      </w:tr>
      <w:tr w:rsidR="00DD42B5" w:rsidRPr="00FF3C35" w:rsidTr="0092583F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42B5" w:rsidRPr="00FF3C35" w:rsidRDefault="00DD42B5" w:rsidP="00235293">
            <w:pPr>
              <w:jc w:val="center"/>
              <w:rPr>
                <w:i/>
                <w:sz w:val="24"/>
                <w:szCs w:val="24"/>
              </w:rPr>
            </w:pPr>
            <w:r w:rsidRPr="00FF3C35">
              <w:rPr>
                <w:rFonts w:hint="eastAsia"/>
                <w:i/>
                <w:sz w:val="24"/>
                <w:szCs w:val="24"/>
              </w:rPr>
              <w:t>cnorB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EB781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>cnorB Z1F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7B336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CGTCGGTCAGATCCTCTTCG</w:t>
            </w:r>
          </w:p>
        </w:tc>
      </w:tr>
      <w:tr w:rsidR="00DD42B5" w:rsidRPr="00FF3C35" w:rsidTr="0092583F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2B5" w:rsidRPr="00FF3C35" w:rsidRDefault="00DD42B5" w:rsidP="0023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EB781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c</w:t>
            </w:r>
            <w:r w:rsidRPr="00FF3C35">
              <w:rPr>
                <w:rFonts w:hint="eastAsia"/>
                <w:sz w:val="24"/>
                <w:szCs w:val="24"/>
              </w:rPr>
              <w:t xml:space="preserve">norB </w:t>
            </w:r>
            <w:r w:rsidRPr="00FF3C35">
              <w:rPr>
                <w:sz w:val="24"/>
                <w:szCs w:val="24"/>
              </w:rPr>
              <w:t>Z1R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7B336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GCGATGATCACGTAGAGCCA</w:t>
            </w:r>
          </w:p>
        </w:tc>
      </w:tr>
      <w:tr w:rsidR="00DD42B5" w:rsidRPr="00FF3C35" w:rsidTr="00945C48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42B5" w:rsidRPr="00FF3C35" w:rsidRDefault="00DD42B5" w:rsidP="00235293">
            <w:pPr>
              <w:jc w:val="center"/>
              <w:rPr>
                <w:i/>
                <w:sz w:val="24"/>
                <w:szCs w:val="24"/>
              </w:rPr>
            </w:pPr>
            <w:r w:rsidRPr="00FF3C35">
              <w:rPr>
                <w:rFonts w:hint="eastAsia"/>
                <w:i/>
                <w:sz w:val="24"/>
                <w:szCs w:val="24"/>
              </w:rPr>
              <w:t>nosZ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F24156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n</w:t>
            </w:r>
            <w:r w:rsidRPr="00FF3C35">
              <w:rPr>
                <w:rFonts w:hint="eastAsia"/>
                <w:sz w:val="24"/>
                <w:szCs w:val="24"/>
              </w:rPr>
              <w:t xml:space="preserve">osZ </w:t>
            </w:r>
            <w:r w:rsidRPr="00FF3C35">
              <w:rPr>
                <w:sz w:val="24"/>
                <w:szCs w:val="24"/>
              </w:rPr>
              <w:t>1527F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7B336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CGCTGTTCHTCGACAGYCA</w:t>
            </w:r>
          </w:p>
        </w:tc>
      </w:tr>
      <w:tr w:rsidR="00DD42B5" w:rsidRPr="00FF3C35" w:rsidTr="00945C48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42B5" w:rsidRPr="00FF3C35" w:rsidRDefault="00DD42B5" w:rsidP="0023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F24156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 xml:space="preserve">nosZ </w:t>
            </w:r>
            <w:r w:rsidRPr="00FF3C35">
              <w:rPr>
                <w:sz w:val="24"/>
                <w:szCs w:val="24"/>
              </w:rPr>
              <w:t>1773R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B5" w:rsidRPr="00FF3C35" w:rsidRDefault="007B336D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ATRTCGATCARCTGBTCGTT</w:t>
            </w:r>
          </w:p>
        </w:tc>
      </w:tr>
      <w:tr w:rsidR="00085176" w:rsidRPr="00FF3C35" w:rsidTr="003C5690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85176" w:rsidRPr="00FF3C35" w:rsidRDefault="00085176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>V3 region of 16S rDNA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176" w:rsidRPr="00FF3C35" w:rsidRDefault="00085176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>F341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176" w:rsidRPr="00FF3C35" w:rsidRDefault="00BE2479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CCTACGGGAGGCAGCAG</w:t>
            </w:r>
          </w:p>
        </w:tc>
      </w:tr>
      <w:tr w:rsidR="00085176" w:rsidRPr="00FF3C35" w:rsidTr="008407CB"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85176" w:rsidRPr="00FF3C35" w:rsidRDefault="00085176" w:rsidP="0023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176" w:rsidRPr="00FF3C35" w:rsidRDefault="004102BF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rFonts w:hint="eastAsia"/>
                <w:sz w:val="24"/>
                <w:szCs w:val="24"/>
              </w:rPr>
              <w:t>R518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176" w:rsidRPr="00FF3C35" w:rsidRDefault="00BE2479" w:rsidP="00235293">
            <w:pPr>
              <w:jc w:val="center"/>
              <w:rPr>
                <w:sz w:val="24"/>
                <w:szCs w:val="24"/>
              </w:rPr>
            </w:pPr>
            <w:r w:rsidRPr="00FF3C35">
              <w:rPr>
                <w:sz w:val="24"/>
                <w:szCs w:val="24"/>
              </w:rPr>
              <w:t>ATTACCGCGGCTGCTGG</w:t>
            </w:r>
          </w:p>
        </w:tc>
      </w:tr>
    </w:tbl>
    <w:p w:rsidR="00B0244F" w:rsidRPr="00FF3C35" w:rsidRDefault="00B0244F" w:rsidP="00A66471">
      <w:pPr>
        <w:spacing w:line="480" w:lineRule="auto"/>
        <w:rPr>
          <w:sz w:val="24"/>
          <w:szCs w:val="24"/>
        </w:rPr>
      </w:pPr>
    </w:p>
    <w:p w:rsidR="00235293" w:rsidRPr="00FF3C35" w:rsidRDefault="00235293" w:rsidP="00A66471">
      <w:pPr>
        <w:spacing w:line="480" w:lineRule="auto"/>
        <w:rPr>
          <w:sz w:val="24"/>
          <w:szCs w:val="24"/>
        </w:rPr>
      </w:pPr>
    </w:p>
    <w:p w:rsidR="00A66471" w:rsidRPr="00FF3C35" w:rsidRDefault="00A66471" w:rsidP="00A66471">
      <w:pPr>
        <w:spacing w:line="480" w:lineRule="auto"/>
        <w:rPr>
          <w:sz w:val="24"/>
          <w:szCs w:val="24"/>
        </w:rPr>
      </w:pPr>
    </w:p>
    <w:p w:rsidR="00A66471" w:rsidRPr="00FF3C35" w:rsidRDefault="00A66471" w:rsidP="00A66471">
      <w:pPr>
        <w:spacing w:line="480" w:lineRule="auto"/>
        <w:rPr>
          <w:b/>
          <w:sz w:val="24"/>
          <w:szCs w:val="24"/>
        </w:rPr>
      </w:pPr>
      <w:bookmarkStart w:id="16" w:name="_GoBack"/>
      <w:bookmarkEnd w:id="16"/>
      <w:r w:rsidRPr="00FF3C35">
        <w:rPr>
          <w:rFonts w:hint="eastAsia"/>
          <w:b/>
          <w:sz w:val="24"/>
          <w:szCs w:val="24"/>
        </w:rPr>
        <w:t>References</w:t>
      </w:r>
    </w:p>
    <w:p w:rsidR="007F57A3" w:rsidRPr="00FF3C35" w:rsidRDefault="007F57A3" w:rsidP="00E34789">
      <w:pPr>
        <w:spacing w:line="480" w:lineRule="auto"/>
        <w:ind w:left="480" w:hangingChars="200" w:hanging="480"/>
        <w:rPr>
          <w:sz w:val="24"/>
          <w:szCs w:val="24"/>
        </w:rPr>
      </w:pPr>
      <w:bookmarkStart w:id="17" w:name="_nebC74E51C4_5061_4559_A9BC_1FDD95A5B4FC"/>
      <w:r w:rsidRPr="00FF3C35">
        <w:rPr>
          <w:sz w:val="24"/>
          <w:szCs w:val="24"/>
        </w:rPr>
        <w:t>Ma T, Chen Q, Gui M</w:t>
      </w:r>
      <w:r w:rsidR="00E34789" w:rsidRPr="00FF3C35">
        <w:rPr>
          <w:sz w:val="24"/>
          <w:szCs w:val="24"/>
        </w:rPr>
        <w:t>,</w:t>
      </w:r>
      <w:r w:rsidR="00E34789" w:rsidRPr="00FF3C35">
        <w:rPr>
          <w:rFonts w:eastAsiaTheme="majorEastAsia"/>
          <w:kern w:val="0"/>
          <w:sz w:val="24"/>
          <w:szCs w:val="24"/>
        </w:rPr>
        <w:t xml:space="preserve"> Li C, Ni JR</w:t>
      </w:r>
      <w:r w:rsidRPr="00FF3C35">
        <w:rPr>
          <w:sz w:val="24"/>
          <w:szCs w:val="24"/>
        </w:rPr>
        <w:t xml:space="preserve"> </w:t>
      </w:r>
      <w:r w:rsidR="00E34789" w:rsidRPr="00FF3C35">
        <w:rPr>
          <w:sz w:val="24"/>
          <w:szCs w:val="24"/>
        </w:rPr>
        <w:t xml:space="preserve">(2016) </w:t>
      </w:r>
      <w:r w:rsidRPr="00FF3C35">
        <w:rPr>
          <w:sz w:val="24"/>
          <w:szCs w:val="24"/>
        </w:rPr>
        <w:t xml:space="preserve">Simultaneous denitrification and phosphorus removal by </w:t>
      </w:r>
      <w:r w:rsidRPr="00FF3C35">
        <w:rPr>
          <w:i/>
          <w:sz w:val="24"/>
          <w:szCs w:val="24"/>
        </w:rPr>
        <w:t>Agrobacterium</w:t>
      </w:r>
      <w:r w:rsidRPr="00FF3C35">
        <w:rPr>
          <w:sz w:val="24"/>
          <w:szCs w:val="24"/>
        </w:rPr>
        <w:t xml:space="preserve"> sp. LAD9 under varying oxygen concentration. </w:t>
      </w:r>
      <w:r w:rsidRPr="00FF3C35">
        <w:rPr>
          <w:iCs/>
          <w:sz w:val="24"/>
          <w:szCs w:val="24"/>
        </w:rPr>
        <w:t>Appl Microbiol Biotechnol</w:t>
      </w:r>
      <w:r w:rsidRPr="00FF3C35">
        <w:rPr>
          <w:sz w:val="24"/>
          <w:szCs w:val="24"/>
        </w:rPr>
        <w:t xml:space="preserve"> 100: 3337-3346.</w:t>
      </w:r>
      <w:bookmarkEnd w:id="17"/>
    </w:p>
    <w:p w:rsidR="00E34789" w:rsidRPr="00FF3C35" w:rsidRDefault="00E34789" w:rsidP="00E34789">
      <w:pPr>
        <w:pStyle w:val="EndNoteBibliography"/>
        <w:ind w:left="480" w:hangingChars="200" w:hanging="480"/>
      </w:pPr>
      <w:r w:rsidRPr="00FF3C35">
        <w:t>Kapoor V, Li X, Elk M, Chandran K, Impellitteri C, Domingo JWS</w:t>
      </w:r>
      <w:r w:rsidRPr="00FF3C35">
        <w:rPr>
          <w:i/>
        </w:rPr>
        <w:t xml:space="preserve"> </w:t>
      </w:r>
      <w:r w:rsidRPr="00FF3C35">
        <w:t>(2015) Impact of heavy metals on transcriptional and physiological activity of nitrifying bacteria. Environ Sci Technol 49: 13454-13462.</w:t>
      </w:r>
    </w:p>
    <w:p w:rsidR="00A66471" w:rsidRPr="0067661A" w:rsidRDefault="0067661A" w:rsidP="0067661A">
      <w:pPr>
        <w:pStyle w:val="EndNoteBibliography"/>
        <w:ind w:left="480" w:hangingChars="200" w:hanging="480"/>
      </w:pPr>
      <w:r w:rsidRPr="00FF3C35">
        <w:t>Weiss, RF, Price, BA (1980) Nitrous-oxide solubility in water and seawater. Mar Chem 8:347-359.</w:t>
      </w:r>
    </w:p>
    <w:sectPr w:rsidR="00A66471" w:rsidRPr="0067661A" w:rsidSect="00B65F4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17" w:rsidRDefault="00B05717" w:rsidP="00B77D3B">
      <w:r>
        <w:separator/>
      </w:r>
    </w:p>
  </w:endnote>
  <w:endnote w:type="continuationSeparator" w:id="0">
    <w:p w:rsidR="00B05717" w:rsidRDefault="00B05717" w:rsidP="00B7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32126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5866CD" w:rsidRPr="00941DB1" w:rsidRDefault="005866CD">
        <w:pPr>
          <w:pStyle w:val="a3"/>
          <w:jc w:val="center"/>
          <w:rPr>
            <w:rFonts w:cs="Times New Roman"/>
          </w:rPr>
        </w:pPr>
        <w:r w:rsidRPr="00941DB1">
          <w:rPr>
            <w:rFonts w:cs="Times New Roman"/>
          </w:rPr>
          <w:fldChar w:fldCharType="begin"/>
        </w:r>
        <w:r w:rsidRPr="00941DB1">
          <w:rPr>
            <w:rFonts w:cs="Times New Roman"/>
          </w:rPr>
          <w:instrText>PAGE   \* MERGEFORMAT</w:instrText>
        </w:r>
        <w:r w:rsidRPr="00941DB1">
          <w:rPr>
            <w:rFonts w:cs="Times New Roman"/>
          </w:rPr>
          <w:fldChar w:fldCharType="separate"/>
        </w:r>
        <w:r w:rsidR="00361E50" w:rsidRPr="00361E50">
          <w:rPr>
            <w:rFonts w:cs="Times New Roman"/>
            <w:noProof/>
            <w:lang w:val="zh-CN"/>
          </w:rPr>
          <w:t>1</w:t>
        </w:r>
        <w:r w:rsidRPr="00941DB1">
          <w:rPr>
            <w:rFonts w:cs="Times New Roman"/>
          </w:rPr>
          <w:fldChar w:fldCharType="end"/>
        </w:r>
      </w:p>
    </w:sdtContent>
  </w:sdt>
  <w:p w:rsidR="005866CD" w:rsidRDefault="005866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622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B77D3B" w:rsidRPr="00941DB1" w:rsidRDefault="00B77D3B">
        <w:pPr>
          <w:pStyle w:val="a3"/>
          <w:jc w:val="center"/>
          <w:rPr>
            <w:rFonts w:cs="Times New Roman"/>
          </w:rPr>
        </w:pPr>
        <w:r w:rsidRPr="00941DB1">
          <w:rPr>
            <w:rFonts w:cs="Times New Roman"/>
          </w:rPr>
          <w:fldChar w:fldCharType="begin"/>
        </w:r>
        <w:r w:rsidRPr="00941DB1">
          <w:rPr>
            <w:rFonts w:cs="Times New Roman"/>
          </w:rPr>
          <w:instrText>PAGE   \* MERGEFORMAT</w:instrText>
        </w:r>
        <w:r w:rsidRPr="00941DB1">
          <w:rPr>
            <w:rFonts w:cs="Times New Roman"/>
          </w:rPr>
          <w:fldChar w:fldCharType="separate"/>
        </w:r>
        <w:r w:rsidR="00361E50" w:rsidRPr="00361E50">
          <w:rPr>
            <w:rFonts w:cs="Times New Roman"/>
            <w:noProof/>
            <w:lang w:val="zh-CN"/>
          </w:rPr>
          <w:t>5</w:t>
        </w:r>
        <w:r w:rsidRPr="00941DB1">
          <w:rPr>
            <w:rFonts w:cs="Times New Roman"/>
          </w:rPr>
          <w:fldChar w:fldCharType="end"/>
        </w:r>
      </w:p>
    </w:sdtContent>
  </w:sdt>
  <w:p w:rsidR="00B77D3B" w:rsidRDefault="00B77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17" w:rsidRDefault="00B05717" w:rsidP="00B77D3B">
      <w:r>
        <w:separator/>
      </w:r>
    </w:p>
  </w:footnote>
  <w:footnote w:type="continuationSeparator" w:id="0">
    <w:p w:rsidR="00B05717" w:rsidRDefault="00B05717" w:rsidP="00B77D3B">
      <w:r>
        <w:continuationSeparator/>
      </w:r>
    </w:p>
  </w:footnote>
  <w:footnote w:id="1">
    <w:p w:rsidR="00696B03" w:rsidRDefault="00696B03" w:rsidP="00696B03">
      <w:pPr>
        <w:adjustRightInd w:val="0"/>
        <w:snapToGrid w:val="0"/>
        <w:spacing w:line="480" w:lineRule="auto"/>
        <w:rPr>
          <w:sz w:val="24"/>
          <w:szCs w:val="24"/>
        </w:rPr>
      </w:pPr>
      <w:r w:rsidRPr="00530A46">
        <w:rPr>
          <w:rStyle w:val="a6"/>
          <w:rFonts w:eastAsia="黑体" w:cs="Times New Roman"/>
          <w:sz w:val="24"/>
          <w:szCs w:val="24"/>
        </w:rPr>
        <w:sym w:font="Symbol" w:char="F02A"/>
      </w:r>
      <w:r w:rsidRPr="00530A46">
        <w:rPr>
          <w:sz w:val="24"/>
          <w:szCs w:val="24"/>
        </w:rPr>
        <w:t xml:space="preserve"> </w:t>
      </w:r>
      <w:r w:rsidRPr="00B3007A">
        <w:rPr>
          <w:b/>
          <w:sz w:val="24"/>
          <w:szCs w:val="24"/>
        </w:rPr>
        <w:t>Corresponding author</w:t>
      </w:r>
      <w:r>
        <w:rPr>
          <w:sz w:val="24"/>
          <w:szCs w:val="24"/>
        </w:rPr>
        <w:t>: Qian Chen</w:t>
      </w:r>
    </w:p>
    <w:p w:rsidR="00696B03" w:rsidRPr="00BF55BC" w:rsidRDefault="00696B03" w:rsidP="00696B03">
      <w:pPr>
        <w:adjustRightInd w:val="0"/>
        <w:snapToGrid w:val="0"/>
        <w:spacing w:line="480" w:lineRule="auto"/>
        <w:rPr>
          <w:sz w:val="24"/>
          <w:szCs w:val="24"/>
        </w:rPr>
      </w:pPr>
      <w:r w:rsidRPr="00BF55BC">
        <w:rPr>
          <w:sz w:val="24"/>
          <w:szCs w:val="24"/>
        </w:rPr>
        <w:t>Peking University, No.5 Yiheyuan Road, Beijing 100871, P. R. China</w:t>
      </w:r>
    </w:p>
    <w:p w:rsidR="00696B03" w:rsidRDefault="00696B03" w:rsidP="00696B03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 w:rsidRPr="00BF55BC">
        <w:rPr>
          <w:sz w:val="24"/>
          <w:szCs w:val="24"/>
        </w:rPr>
        <w:t>: +86-10-62758035</w:t>
      </w:r>
      <w:r>
        <w:rPr>
          <w:sz w:val="24"/>
          <w:szCs w:val="24"/>
        </w:rPr>
        <w:t>; Fax: +86-10-62756526</w:t>
      </w:r>
    </w:p>
    <w:p w:rsidR="00696B03" w:rsidRPr="007057CA" w:rsidRDefault="00696B03" w:rsidP="00696B03">
      <w:pPr>
        <w:adjustRightInd w:val="0"/>
        <w:snapToGrid w:val="0"/>
        <w:spacing w:line="480" w:lineRule="auto"/>
        <w:rPr>
          <w:rFonts w:eastAsia="黑体" w:cs="Times New Roman"/>
          <w:sz w:val="24"/>
          <w:szCs w:val="24"/>
        </w:rPr>
      </w:pPr>
      <w:r w:rsidRPr="007057CA">
        <w:rPr>
          <w:rFonts w:cs="Times New Roman"/>
          <w:sz w:val="24"/>
          <w:szCs w:val="24"/>
        </w:rPr>
        <w:t xml:space="preserve">E-mail: </w:t>
      </w:r>
      <w:r w:rsidRPr="00507200">
        <w:rPr>
          <w:rStyle w:val="a5"/>
          <w:rFonts w:eastAsia="宋体" w:hint="eastAsia"/>
          <w:color w:val="auto"/>
          <w:kern w:val="0"/>
          <w:sz w:val="24"/>
          <w:szCs w:val="24"/>
        </w:rPr>
        <w:t>qianchen@pku.edu.cn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0E9"/>
    <w:multiLevelType w:val="hybridMultilevel"/>
    <w:tmpl w:val="91C018F2"/>
    <w:lvl w:ilvl="0" w:tplc="1A020E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BE7E3E"/>
    <w:multiLevelType w:val="hybridMultilevel"/>
    <w:tmpl w:val="7E7497E2"/>
    <w:lvl w:ilvl="0" w:tplc="37B232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66"/>
    <w:rsid w:val="000024FF"/>
    <w:rsid w:val="00085176"/>
    <w:rsid w:val="000D6FB8"/>
    <w:rsid w:val="000E2899"/>
    <w:rsid w:val="000E50F9"/>
    <w:rsid w:val="00116E46"/>
    <w:rsid w:val="00127709"/>
    <w:rsid w:val="00130474"/>
    <w:rsid w:val="001322A3"/>
    <w:rsid w:val="001447B4"/>
    <w:rsid w:val="00153B88"/>
    <w:rsid w:val="00174B61"/>
    <w:rsid w:val="00196B01"/>
    <w:rsid w:val="00197D36"/>
    <w:rsid w:val="00230001"/>
    <w:rsid w:val="00235293"/>
    <w:rsid w:val="0025692F"/>
    <w:rsid w:val="002A6E5D"/>
    <w:rsid w:val="002B26E9"/>
    <w:rsid w:val="002C048B"/>
    <w:rsid w:val="002F6D65"/>
    <w:rsid w:val="00301E58"/>
    <w:rsid w:val="00307744"/>
    <w:rsid w:val="0035170C"/>
    <w:rsid w:val="00353597"/>
    <w:rsid w:val="00361E50"/>
    <w:rsid w:val="0037031A"/>
    <w:rsid w:val="00372536"/>
    <w:rsid w:val="00383145"/>
    <w:rsid w:val="00394976"/>
    <w:rsid w:val="003B17DD"/>
    <w:rsid w:val="003B6D45"/>
    <w:rsid w:val="003D1C37"/>
    <w:rsid w:val="004067E6"/>
    <w:rsid w:val="004102BF"/>
    <w:rsid w:val="00426B68"/>
    <w:rsid w:val="00430A68"/>
    <w:rsid w:val="004421D9"/>
    <w:rsid w:val="004D2281"/>
    <w:rsid w:val="00507200"/>
    <w:rsid w:val="00510DE2"/>
    <w:rsid w:val="00521519"/>
    <w:rsid w:val="00567F23"/>
    <w:rsid w:val="005866CD"/>
    <w:rsid w:val="005914EC"/>
    <w:rsid w:val="005B599F"/>
    <w:rsid w:val="005C4701"/>
    <w:rsid w:val="006026EC"/>
    <w:rsid w:val="00606023"/>
    <w:rsid w:val="0062031C"/>
    <w:rsid w:val="006503F4"/>
    <w:rsid w:val="00674CE3"/>
    <w:rsid w:val="0067661A"/>
    <w:rsid w:val="00696B03"/>
    <w:rsid w:val="006C0402"/>
    <w:rsid w:val="006E3020"/>
    <w:rsid w:val="006E36AA"/>
    <w:rsid w:val="00716FC8"/>
    <w:rsid w:val="00724B83"/>
    <w:rsid w:val="00731D65"/>
    <w:rsid w:val="00732FEC"/>
    <w:rsid w:val="007345B1"/>
    <w:rsid w:val="00742B9F"/>
    <w:rsid w:val="007617C3"/>
    <w:rsid w:val="007B336D"/>
    <w:rsid w:val="007E35B8"/>
    <w:rsid w:val="007F52F0"/>
    <w:rsid w:val="007F57A3"/>
    <w:rsid w:val="00820186"/>
    <w:rsid w:val="008407CB"/>
    <w:rsid w:val="0084261C"/>
    <w:rsid w:val="00855CF0"/>
    <w:rsid w:val="00877E63"/>
    <w:rsid w:val="00877FFA"/>
    <w:rsid w:val="00881EE6"/>
    <w:rsid w:val="008A7B1A"/>
    <w:rsid w:val="00910842"/>
    <w:rsid w:val="009969E1"/>
    <w:rsid w:val="009A2555"/>
    <w:rsid w:val="009A65F4"/>
    <w:rsid w:val="009D166A"/>
    <w:rsid w:val="00A17987"/>
    <w:rsid w:val="00A66166"/>
    <w:rsid w:val="00A66471"/>
    <w:rsid w:val="00AC430F"/>
    <w:rsid w:val="00AE0C28"/>
    <w:rsid w:val="00AE2D60"/>
    <w:rsid w:val="00AF4FB6"/>
    <w:rsid w:val="00AF7C47"/>
    <w:rsid w:val="00B0244F"/>
    <w:rsid w:val="00B05717"/>
    <w:rsid w:val="00B10EA2"/>
    <w:rsid w:val="00B14550"/>
    <w:rsid w:val="00B60949"/>
    <w:rsid w:val="00B65F47"/>
    <w:rsid w:val="00B7266B"/>
    <w:rsid w:val="00B77D3B"/>
    <w:rsid w:val="00BA567E"/>
    <w:rsid w:val="00BE2479"/>
    <w:rsid w:val="00BF5EAB"/>
    <w:rsid w:val="00C20E07"/>
    <w:rsid w:val="00C2561A"/>
    <w:rsid w:val="00C35A8C"/>
    <w:rsid w:val="00CA6D23"/>
    <w:rsid w:val="00CB6314"/>
    <w:rsid w:val="00CF0598"/>
    <w:rsid w:val="00D417CC"/>
    <w:rsid w:val="00D83DE1"/>
    <w:rsid w:val="00DA7CE0"/>
    <w:rsid w:val="00DC51C7"/>
    <w:rsid w:val="00DD42B5"/>
    <w:rsid w:val="00E04368"/>
    <w:rsid w:val="00E34789"/>
    <w:rsid w:val="00E53248"/>
    <w:rsid w:val="00E622B3"/>
    <w:rsid w:val="00E72EB6"/>
    <w:rsid w:val="00E829B6"/>
    <w:rsid w:val="00EB3969"/>
    <w:rsid w:val="00EB597A"/>
    <w:rsid w:val="00EB781D"/>
    <w:rsid w:val="00EC0F51"/>
    <w:rsid w:val="00EE0D63"/>
    <w:rsid w:val="00F20CB8"/>
    <w:rsid w:val="00F24156"/>
    <w:rsid w:val="00F71994"/>
    <w:rsid w:val="00F754A9"/>
    <w:rsid w:val="00FF092B"/>
    <w:rsid w:val="00FF3C35"/>
    <w:rsid w:val="00FF3E60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53EAD"/>
  <w15:chartTrackingRefBased/>
  <w15:docId w15:val="{2558C22D-BBA8-41E7-ACEA-8E2442C4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3B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7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77D3B"/>
    <w:rPr>
      <w:rFonts w:ascii="Times New Roman" w:hAnsi="Times New Roman"/>
      <w:sz w:val="18"/>
      <w:szCs w:val="18"/>
    </w:rPr>
  </w:style>
  <w:style w:type="character" w:styleId="a5">
    <w:name w:val="Hyperlink"/>
    <w:basedOn w:val="a0"/>
    <w:rsid w:val="00B77D3B"/>
    <w:rPr>
      <w:caps w:val="0"/>
      <w:strike w:val="0"/>
      <w:dstrike w:val="0"/>
      <w:color w:val="0000FF"/>
      <w:u w:val="none"/>
      <w:effect w:val="none"/>
    </w:rPr>
  </w:style>
  <w:style w:type="character" w:styleId="a6">
    <w:name w:val="footnote reference"/>
    <w:basedOn w:val="a0"/>
    <w:uiPriority w:val="99"/>
    <w:unhideWhenUsed/>
    <w:rsid w:val="00B77D3B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B77D3B"/>
  </w:style>
  <w:style w:type="table" w:styleId="a8">
    <w:name w:val="Table Grid"/>
    <w:basedOn w:val="a1"/>
    <w:uiPriority w:val="39"/>
    <w:rsid w:val="0023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866C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1447B4"/>
    <w:pPr>
      <w:ind w:firstLineChars="200" w:firstLine="420"/>
    </w:pPr>
  </w:style>
  <w:style w:type="paragraph" w:customStyle="1" w:styleId="affiliation">
    <w:name w:val="affiliation"/>
    <w:basedOn w:val="a"/>
    <w:next w:val="a"/>
    <w:rsid w:val="0084261C"/>
    <w:pPr>
      <w:spacing w:before="120"/>
    </w:pPr>
    <w:rPr>
      <w:rFonts w:eastAsia="Arial Unicode MS" w:cs="Times New Roman"/>
      <w:i/>
      <w:szCs w:val="24"/>
    </w:rPr>
  </w:style>
  <w:style w:type="paragraph" w:customStyle="1" w:styleId="fax">
    <w:name w:val="fax"/>
    <w:basedOn w:val="a"/>
    <w:next w:val="a"/>
    <w:rsid w:val="0084261C"/>
    <w:pPr>
      <w:spacing w:before="120"/>
    </w:pPr>
    <w:rPr>
      <w:rFonts w:eastAsia="宋体" w:cs="Times New Roman"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E34789"/>
    <w:pPr>
      <w:spacing w:line="480" w:lineRule="auto"/>
    </w:pPr>
    <w:rPr>
      <w:rFonts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E34789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LIUSHUFENG</dc:creator>
  <cp:keywords/>
  <dc:description/>
  <cp:lastModifiedBy>Windows 用户</cp:lastModifiedBy>
  <cp:revision>113</cp:revision>
  <dcterms:created xsi:type="dcterms:W3CDTF">2017-12-08T11:41:00Z</dcterms:created>
  <dcterms:modified xsi:type="dcterms:W3CDTF">2018-10-08T08:33:00Z</dcterms:modified>
</cp:coreProperties>
</file>