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F772" w14:textId="77777777" w:rsidR="004B27EF" w:rsidRPr="00EE48DE" w:rsidRDefault="004B27EF" w:rsidP="00CF45ED">
      <w:pPr>
        <w:tabs>
          <w:tab w:val="left" w:pos="4230"/>
          <w:tab w:val="left" w:pos="4320"/>
        </w:tabs>
        <w:spacing w:after="200" w:line="276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Ref433643576"/>
      <w:bookmarkStart w:id="1" w:name="_Toc440372856"/>
      <w:bookmarkStart w:id="2" w:name="_Toc435019561"/>
      <w:bookmarkStart w:id="3" w:name="_Toc440372139"/>
      <w:bookmarkStart w:id="4" w:name="_GoBack"/>
      <w:bookmarkEnd w:id="4"/>
    </w:p>
    <w:p w14:paraId="68C5C5D3" w14:textId="77777777" w:rsidR="004B27EF" w:rsidRPr="00EE48DE" w:rsidRDefault="004B27EF" w:rsidP="004B27EF">
      <w:pPr>
        <w:spacing w:after="200"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D0400F3" w14:textId="4215D1FF" w:rsidR="004B27EF" w:rsidRPr="00EE48DE" w:rsidRDefault="00893F21" w:rsidP="004B27EF">
      <w:pPr>
        <w:spacing w:after="200"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EE48DE">
        <w:rPr>
          <w:rFonts w:ascii="Tahoma" w:hAnsi="Tahoma" w:cs="Tahoma"/>
          <w:b/>
          <w:sz w:val="28"/>
          <w:szCs w:val="28"/>
        </w:rPr>
        <w:t>Supplementary Materia</w:t>
      </w:r>
      <w:r w:rsidR="00E0268B" w:rsidRPr="00EE48DE">
        <w:rPr>
          <w:rFonts w:ascii="Tahoma" w:hAnsi="Tahoma" w:cs="Tahoma"/>
          <w:b/>
          <w:sz w:val="28"/>
          <w:szCs w:val="28"/>
        </w:rPr>
        <w:t>l</w:t>
      </w:r>
    </w:p>
    <w:p w14:paraId="4D79180A" w14:textId="77777777" w:rsidR="00566E00" w:rsidRPr="00EE48DE" w:rsidRDefault="00566E00" w:rsidP="004B27EF">
      <w:pPr>
        <w:spacing w:after="200"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6877BE7" w14:textId="77777777" w:rsidR="00566E00" w:rsidRPr="00683621" w:rsidRDefault="00566E00" w:rsidP="00566E00">
      <w:pPr>
        <w:rPr>
          <w:rFonts w:ascii="Tahoma" w:hAnsi="Tahoma" w:cs="Tahoma"/>
          <w:b/>
          <w:color w:val="262626" w:themeColor="text1" w:themeTint="D9"/>
          <w:sz w:val="28"/>
          <w:szCs w:val="28"/>
        </w:rPr>
      </w:pPr>
      <w:r w:rsidRPr="00683621">
        <w:rPr>
          <w:rFonts w:ascii="Tahoma" w:hAnsi="Tahoma" w:cs="Tahoma"/>
          <w:b/>
          <w:color w:val="262626" w:themeColor="text1" w:themeTint="D9"/>
          <w:sz w:val="28"/>
          <w:szCs w:val="28"/>
        </w:rPr>
        <w:t>Cost-effectiveness Analysis of Secukinumab in Ankylosing Spondylitis from the Canadian Perspective</w:t>
      </w:r>
    </w:p>
    <w:p w14:paraId="06A912D4" w14:textId="77777777" w:rsidR="00566E00" w:rsidRPr="00EE48DE" w:rsidRDefault="00566E00" w:rsidP="00566E00">
      <w:pPr>
        <w:rPr>
          <w:rFonts w:ascii="Tahoma" w:hAnsi="Tahoma" w:cs="Tahoma"/>
          <w:color w:val="262626" w:themeColor="text1" w:themeTint="D9"/>
        </w:rPr>
      </w:pPr>
    </w:p>
    <w:p w14:paraId="65858FB8" w14:textId="77777777" w:rsidR="003118A8" w:rsidRPr="00EE48DE" w:rsidRDefault="003118A8" w:rsidP="003118A8">
      <w:pPr>
        <w:autoSpaceDE w:val="0"/>
        <w:autoSpaceDN w:val="0"/>
        <w:adjustRightInd w:val="0"/>
        <w:rPr>
          <w:rFonts w:ascii="Tahoma" w:hAnsi="Tahoma" w:cs="Tahoma"/>
          <w:color w:val="262626" w:themeColor="text1" w:themeTint="D9"/>
          <w:sz w:val="20"/>
          <w:vertAlign w:val="superscript"/>
        </w:rPr>
      </w:pPr>
      <w:r w:rsidRPr="00EE48DE">
        <w:rPr>
          <w:rFonts w:ascii="Tahoma" w:hAnsi="Tahoma" w:cs="Tahoma"/>
          <w:color w:val="262626" w:themeColor="text1" w:themeTint="D9"/>
          <w:sz w:val="20"/>
        </w:rPr>
        <w:t>Ron Goeree</w:t>
      </w:r>
      <w:r w:rsidRPr="00EE48DE">
        <w:rPr>
          <w:rFonts w:ascii="Tahoma" w:hAnsi="Tahoma" w:cs="Tahoma"/>
          <w:color w:val="262626" w:themeColor="text1" w:themeTint="D9"/>
          <w:sz w:val="20"/>
          <w:vertAlign w:val="superscript"/>
        </w:rPr>
        <w:t>1</w:t>
      </w:r>
      <w:r w:rsidRPr="00EE48DE">
        <w:rPr>
          <w:rFonts w:ascii="Tahoma" w:hAnsi="Tahoma" w:cs="Tahoma"/>
          <w:color w:val="262626" w:themeColor="text1" w:themeTint="D9"/>
          <w:sz w:val="20"/>
        </w:rPr>
        <w:t>, Sima Chiva-Razavi</w:t>
      </w:r>
      <w:r w:rsidRPr="00EE48DE">
        <w:rPr>
          <w:rFonts w:ascii="Tahoma" w:hAnsi="Tahoma" w:cs="Tahoma"/>
          <w:color w:val="262626" w:themeColor="text1" w:themeTint="D9"/>
          <w:sz w:val="20"/>
          <w:vertAlign w:val="superscript"/>
        </w:rPr>
        <w:t>2</w:t>
      </w:r>
      <w:r w:rsidRPr="00EE48DE">
        <w:rPr>
          <w:rFonts w:ascii="Tahoma" w:hAnsi="Tahoma" w:cs="Tahoma"/>
          <w:color w:val="262626" w:themeColor="text1" w:themeTint="D9"/>
          <w:sz w:val="20"/>
        </w:rPr>
        <w:t>, Praveen Gunda</w:t>
      </w:r>
      <w:r w:rsidRPr="00EE48DE">
        <w:rPr>
          <w:rFonts w:ascii="Tahoma" w:hAnsi="Tahoma" w:cs="Tahoma"/>
          <w:color w:val="262626" w:themeColor="text1" w:themeTint="D9"/>
          <w:sz w:val="20"/>
          <w:vertAlign w:val="superscript"/>
        </w:rPr>
        <w:t>3</w:t>
      </w:r>
      <w:r w:rsidRPr="00EE48DE">
        <w:rPr>
          <w:rFonts w:ascii="Tahoma" w:hAnsi="Tahoma" w:cs="Tahoma"/>
          <w:color w:val="262626" w:themeColor="text1" w:themeTint="D9"/>
          <w:sz w:val="20"/>
        </w:rPr>
        <w:t xml:space="preserve">, </w:t>
      </w:r>
      <w:proofErr w:type="spellStart"/>
      <w:r w:rsidRPr="00EE48DE">
        <w:rPr>
          <w:rFonts w:ascii="Tahoma" w:hAnsi="Tahoma" w:cs="Tahoma"/>
          <w:color w:val="262626" w:themeColor="text1" w:themeTint="D9"/>
          <w:sz w:val="20"/>
        </w:rPr>
        <w:t>Minal</w:t>
      </w:r>
      <w:proofErr w:type="spellEnd"/>
      <w:r w:rsidRPr="00EE48DE">
        <w:rPr>
          <w:rFonts w:ascii="Tahoma" w:hAnsi="Tahoma" w:cs="Tahoma"/>
          <w:color w:val="262626" w:themeColor="text1" w:themeTint="D9"/>
          <w:sz w:val="20"/>
        </w:rPr>
        <w:t xml:space="preserve"> Jain</w:t>
      </w:r>
      <w:r w:rsidRPr="00EE48DE">
        <w:rPr>
          <w:rFonts w:ascii="Tahoma" w:hAnsi="Tahoma" w:cs="Tahoma"/>
          <w:color w:val="262626" w:themeColor="text1" w:themeTint="D9"/>
          <w:sz w:val="20"/>
          <w:vertAlign w:val="superscript"/>
        </w:rPr>
        <w:t>3</w:t>
      </w:r>
      <w:r w:rsidRPr="00EE48DE">
        <w:rPr>
          <w:rFonts w:ascii="Tahoma" w:hAnsi="Tahoma" w:cs="Tahoma"/>
          <w:color w:val="262626" w:themeColor="text1" w:themeTint="D9"/>
          <w:sz w:val="20"/>
        </w:rPr>
        <w:t>, Steffen M. Jugl</w:t>
      </w:r>
      <w:r w:rsidRPr="00EE48DE">
        <w:rPr>
          <w:rFonts w:ascii="Tahoma" w:hAnsi="Tahoma" w:cs="Tahoma"/>
          <w:color w:val="262626" w:themeColor="text1" w:themeTint="D9"/>
          <w:sz w:val="20"/>
          <w:vertAlign w:val="superscript"/>
        </w:rPr>
        <w:t>4</w:t>
      </w:r>
    </w:p>
    <w:p w14:paraId="4FE77B41" w14:textId="77777777" w:rsidR="003118A8" w:rsidRPr="00EE48DE" w:rsidRDefault="003118A8" w:rsidP="003118A8">
      <w:pPr>
        <w:autoSpaceDE w:val="0"/>
        <w:autoSpaceDN w:val="0"/>
        <w:adjustRightInd w:val="0"/>
        <w:rPr>
          <w:rFonts w:ascii="Tahoma" w:hAnsi="Tahoma" w:cs="Tahoma"/>
          <w:color w:val="262626" w:themeColor="text1" w:themeTint="D9"/>
          <w:sz w:val="18"/>
          <w:szCs w:val="18"/>
        </w:rPr>
      </w:pPr>
    </w:p>
    <w:p w14:paraId="3A5D3774" w14:textId="2B1D24E7" w:rsidR="00566E00" w:rsidRPr="00EE48DE" w:rsidRDefault="003118A8" w:rsidP="00566E00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de-DE"/>
        </w:rPr>
      </w:pPr>
      <w:r w:rsidRPr="00EE48DE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1</w:t>
      </w:r>
      <w:r w:rsidRPr="00EE48DE">
        <w:rPr>
          <w:rFonts w:ascii="Tahoma" w:hAnsi="Tahoma" w:cs="Tahoma"/>
          <w:color w:val="000000" w:themeColor="text1"/>
          <w:sz w:val="16"/>
          <w:szCs w:val="16"/>
        </w:rPr>
        <w:t>Goeree Consulting Ltd and Professor Emeritus, McMaster University, Hamilton, Canada</w:t>
      </w:r>
      <w:r w:rsidRPr="00EE48DE">
        <w:rPr>
          <w:rFonts w:ascii="Tahoma" w:hAnsi="Tahoma" w:cs="Tahoma"/>
          <w:color w:val="000000"/>
          <w:sz w:val="16"/>
          <w:szCs w:val="16"/>
          <w:lang w:eastAsia="de-DE"/>
        </w:rPr>
        <w:t xml:space="preserve">; </w:t>
      </w:r>
      <w:r w:rsidRPr="00EE48DE">
        <w:rPr>
          <w:rFonts w:ascii="Tahoma" w:hAnsi="Tahoma" w:cs="Tahoma"/>
          <w:color w:val="000000"/>
          <w:sz w:val="16"/>
          <w:szCs w:val="16"/>
          <w:vertAlign w:val="superscript"/>
          <w:lang w:eastAsia="de-DE"/>
        </w:rPr>
        <w:t>2</w:t>
      </w:r>
      <w:r w:rsidRPr="00EE48DE">
        <w:rPr>
          <w:rFonts w:ascii="Tahoma" w:hAnsi="Tahoma" w:cs="Tahoma"/>
          <w:color w:val="000000"/>
          <w:sz w:val="16"/>
          <w:szCs w:val="16"/>
          <w:lang w:eastAsia="de-DE"/>
        </w:rPr>
        <w:t xml:space="preserve">Novartis Pharmaceuticals Canada Inc., Dorval, Quebec, Canada; </w:t>
      </w:r>
      <w:r w:rsidRPr="00EE48DE">
        <w:rPr>
          <w:rFonts w:ascii="Tahoma" w:hAnsi="Tahoma" w:cs="Tahoma"/>
          <w:color w:val="000000"/>
          <w:sz w:val="16"/>
          <w:szCs w:val="16"/>
          <w:vertAlign w:val="superscript"/>
          <w:lang w:eastAsia="de-DE"/>
        </w:rPr>
        <w:t>3</w:t>
      </w:r>
      <w:r w:rsidRPr="00EE48DE">
        <w:rPr>
          <w:rFonts w:ascii="Tahoma" w:hAnsi="Tahoma" w:cs="Tahoma"/>
          <w:color w:val="000000"/>
          <w:sz w:val="16"/>
          <w:szCs w:val="16"/>
          <w:lang w:eastAsia="de-DE"/>
        </w:rPr>
        <w:t xml:space="preserve">Novartis Product Life Cycle Services-NBS, Novartis Healthcare Private Limited, Hyderabad, India;  </w:t>
      </w:r>
      <w:r w:rsidRPr="00EE48DE">
        <w:rPr>
          <w:rFonts w:ascii="Tahoma" w:hAnsi="Tahoma" w:cs="Tahoma"/>
          <w:color w:val="000000"/>
          <w:sz w:val="16"/>
          <w:szCs w:val="16"/>
          <w:vertAlign w:val="superscript"/>
          <w:lang w:eastAsia="de-DE"/>
        </w:rPr>
        <w:t>4</w:t>
      </w:r>
      <w:r w:rsidRPr="00EE48DE">
        <w:rPr>
          <w:rFonts w:ascii="Tahoma" w:hAnsi="Tahoma" w:cs="Tahoma"/>
          <w:color w:val="000000"/>
          <w:sz w:val="16"/>
          <w:szCs w:val="16"/>
          <w:lang w:eastAsia="de-DE"/>
        </w:rPr>
        <w:t>Novartis Pharma AG, Basel, Switzerland</w:t>
      </w:r>
    </w:p>
    <w:p w14:paraId="399C26C1" w14:textId="77777777" w:rsidR="00566E00" w:rsidRPr="00EE48DE" w:rsidRDefault="00566E00" w:rsidP="004B27EF">
      <w:pPr>
        <w:spacing w:after="200"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41BBBA0" w14:textId="77777777" w:rsidR="004B27EF" w:rsidRPr="00EE48DE" w:rsidRDefault="004B27EF">
      <w:pPr>
        <w:spacing w:after="200" w:line="276" w:lineRule="auto"/>
        <w:rPr>
          <w:rFonts w:ascii="Tahoma" w:hAnsi="Tahoma" w:cs="Tahoma"/>
          <w:szCs w:val="24"/>
        </w:rPr>
      </w:pPr>
      <w:r w:rsidRPr="00EE48DE">
        <w:rPr>
          <w:rFonts w:ascii="Tahoma" w:hAnsi="Tahoma" w:cs="Tahoma"/>
          <w:szCs w:val="24"/>
        </w:rPr>
        <w:br w:type="page"/>
      </w:r>
    </w:p>
    <w:p w14:paraId="7C4955F2" w14:textId="174DA5E1" w:rsidR="001C4422" w:rsidRPr="00EE48DE" w:rsidRDefault="001C4422" w:rsidP="00102892">
      <w:pPr>
        <w:pStyle w:val="Caption"/>
        <w:spacing w:after="0"/>
        <w:rPr>
          <w:rFonts w:ascii="Tahoma" w:hAnsi="Tahoma" w:cs="Tahoma"/>
          <w:color w:val="auto"/>
          <w:sz w:val="22"/>
          <w:szCs w:val="22"/>
        </w:rPr>
      </w:pPr>
      <w:bookmarkStart w:id="5" w:name="_Ref500147379"/>
      <w:bookmarkEnd w:id="0"/>
      <w:bookmarkEnd w:id="1"/>
      <w:bookmarkEnd w:id="2"/>
      <w:bookmarkEnd w:id="3"/>
      <w:r w:rsidRPr="00EE48DE">
        <w:rPr>
          <w:rFonts w:ascii="Tahoma" w:hAnsi="Tahoma" w:cs="Tahoma"/>
          <w:color w:val="auto"/>
          <w:sz w:val="22"/>
          <w:szCs w:val="22"/>
        </w:rPr>
        <w:lastRenderedPageBreak/>
        <w:t>Table S</w:t>
      </w:r>
      <w:r w:rsidR="00475F68" w:rsidRPr="00EE48DE">
        <w:rPr>
          <w:rFonts w:ascii="Tahoma" w:hAnsi="Tahoma" w:cs="Tahoma"/>
          <w:noProof/>
          <w:color w:val="auto"/>
          <w:sz w:val="22"/>
          <w:szCs w:val="22"/>
        </w:rPr>
        <w:t>1</w:t>
      </w:r>
      <w:bookmarkEnd w:id="5"/>
      <w:r w:rsidRPr="00EE48DE">
        <w:rPr>
          <w:rFonts w:ascii="Tahoma" w:hAnsi="Tahoma" w:cs="Tahoma"/>
          <w:color w:val="auto"/>
          <w:sz w:val="22"/>
          <w:szCs w:val="22"/>
        </w:rPr>
        <w:t xml:space="preserve"> Population inputs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 xml:space="preserve"> to define baseline characteristics</w:t>
      </w:r>
      <w:r w:rsidRPr="00EE48DE">
        <w:rPr>
          <w:rFonts w:ascii="Tahoma" w:hAnsi="Tahoma" w:cs="Tahoma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880"/>
        <w:gridCol w:w="2700"/>
      </w:tblGrid>
      <w:tr w:rsidR="001C4422" w:rsidRPr="00EE48DE" w14:paraId="1F301336" w14:textId="77777777" w:rsidTr="001C4422">
        <w:trPr>
          <w:trHeight w:val="87"/>
        </w:trPr>
        <w:tc>
          <w:tcPr>
            <w:tcW w:w="1885" w:type="dxa"/>
            <w:shd w:val="clear" w:color="auto" w:fill="D9D9D9"/>
          </w:tcPr>
          <w:p w14:paraId="24730EF1" w14:textId="77777777" w:rsidR="001C4422" w:rsidRPr="00EE48DE" w:rsidRDefault="001C4422" w:rsidP="001C4422">
            <w:pPr>
              <w:autoSpaceDE w:val="0"/>
              <w:autoSpaceDN w:val="0"/>
              <w:adjustRightInd w:val="0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b/>
                <w:bCs/>
                <w:color w:val="000000"/>
                <w:sz w:val="16"/>
                <w:szCs w:val="16"/>
              </w:rPr>
              <w:t xml:space="preserve">Input </w:t>
            </w:r>
          </w:p>
        </w:tc>
        <w:tc>
          <w:tcPr>
            <w:tcW w:w="2880" w:type="dxa"/>
            <w:shd w:val="clear" w:color="auto" w:fill="D9D9D9"/>
          </w:tcPr>
          <w:p w14:paraId="6D10E7EC" w14:textId="77777777" w:rsidR="001C4422" w:rsidRPr="00EE48DE" w:rsidRDefault="001C4422" w:rsidP="001C4422">
            <w:pPr>
              <w:autoSpaceDE w:val="0"/>
              <w:autoSpaceDN w:val="0"/>
              <w:adjustRightInd w:val="0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2700" w:type="dxa"/>
            <w:shd w:val="clear" w:color="auto" w:fill="D9D9D9"/>
          </w:tcPr>
          <w:p w14:paraId="3C9E47AA" w14:textId="77777777" w:rsidR="001C4422" w:rsidRPr="00EE48DE" w:rsidRDefault="001C4422" w:rsidP="001C4422">
            <w:pPr>
              <w:autoSpaceDE w:val="0"/>
              <w:autoSpaceDN w:val="0"/>
              <w:adjustRightInd w:val="0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b/>
                <w:bCs/>
                <w:sz w:val="16"/>
                <w:szCs w:val="16"/>
              </w:rPr>
              <w:t>SD</w:t>
            </w:r>
          </w:p>
        </w:tc>
      </w:tr>
      <w:tr w:rsidR="001C4422" w:rsidRPr="00EE48DE" w14:paraId="7B0CF884" w14:textId="77777777" w:rsidTr="001C4422">
        <w:trPr>
          <w:trHeight w:val="87"/>
        </w:trPr>
        <w:tc>
          <w:tcPr>
            <w:tcW w:w="1885" w:type="dxa"/>
          </w:tcPr>
          <w:p w14:paraId="125DB8EA" w14:textId="77777777" w:rsidR="001C4422" w:rsidRPr="00EE48DE" w:rsidRDefault="001C4422" w:rsidP="001C4422">
            <w:pPr>
              <w:autoSpaceDE w:val="0"/>
              <w:autoSpaceDN w:val="0"/>
              <w:adjustRightInd w:val="0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Percentage male </w:t>
            </w:r>
          </w:p>
        </w:tc>
        <w:tc>
          <w:tcPr>
            <w:tcW w:w="2880" w:type="dxa"/>
          </w:tcPr>
          <w:p w14:paraId="308BA8A0" w14:textId="77777777" w:rsidR="001C4422" w:rsidRPr="00EE48DE" w:rsidRDefault="001C4422" w:rsidP="001C4422">
            <w:pPr>
              <w:autoSpaceDE w:val="0"/>
              <w:autoSpaceDN w:val="0"/>
              <w:adjustRightInd w:val="0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69.5%</w:t>
            </w:r>
          </w:p>
        </w:tc>
        <w:tc>
          <w:tcPr>
            <w:tcW w:w="2700" w:type="dxa"/>
          </w:tcPr>
          <w:p w14:paraId="78D0BDC4" w14:textId="77777777" w:rsidR="001C4422" w:rsidRPr="00EE48DE" w:rsidRDefault="001C4422" w:rsidP="001C4422">
            <w:pPr>
              <w:autoSpaceDE w:val="0"/>
              <w:autoSpaceDN w:val="0"/>
              <w:adjustRightInd w:val="0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N/A</w:t>
            </w:r>
          </w:p>
        </w:tc>
      </w:tr>
      <w:tr w:rsidR="001C4422" w:rsidRPr="00EE48DE" w14:paraId="49BA6378" w14:textId="77777777" w:rsidTr="001C4422">
        <w:trPr>
          <w:trHeight w:val="87"/>
        </w:trPr>
        <w:tc>
          <w:tcPr>
            <w:tcW w:w="1885" w:type="dxa"/>
          </w:tcPr>
          <w:p w14:paraId="3BA6EAF2" w14:textId="2F6C8E97" w:rsidR="001C4422" w:rsidRPr="00EE48DE" w:rsidRDefault="001C4422" w:rsidP="002C1377">
            <w:pPr>
              <w:autoSpaceDE w:val="0"/>
              <w:autoSpaceDN w:val="0"/>
              <w:adjustRightInd w:val="0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2880" w:type="dxa"/>
          </w:tcPr>
          <w:p w14:paraId="0D901DA9" w14:textId="77777777" w:rsidR="001C4422" w:rsidRPr="00EE48DE" w:rsidRDefault="001C4422" w:rsidP="001C4422">
            <w:pPr>
              <w:autoSpaceDE w:val="0"/>
              <w:autoSpaceDN w:val="0"/>
              <w:adjustRightInd w:val="0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42.37</w:t>
            </w:r>
          </w:p>
        </w:tc>
        <w:tc>
          <w:tcPr>
            <w:tcW w:w="2700" w:type="dxa"/>
          </w:tcPr>
          <w:p w14:paraId="6CCE8467" w14:textId="77777777" w:rsidR="001C4422" w:rsidRPr="00EE48DE" w:rsidRDefault="001C4422" w:rsidP="001C4422">
            <w:pPr>
              <w:autoSpaceDE w:val="0"/>
              <w:autoSpaceDN w:val="0"/>
              <w:adjustRightInd w:val="0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N/A</w:t>
            </w:r>
          </w:p>
        </w:tc>
      </w:tr>
      <w:tr w:rsidR="001C4422" w:rsidRPr="00EE48DE" w14:paraId="70FF3DF8" w14:textId="77777777" w:rsidTr="001C4422">
        <w:trPr>
          <w:trHeight w:val="87"/>
        </w:trPr>
        <w:tc>
          <w:tcPr>
            <w:tcW w:w="1885" w:type="dxa"/>
          </w:tcPr>
          <w:p w14:paraId="0E86DCC5" w14:textId="0AF0F41A" w:rsidR="001C4422" w:rsidRPr="00EE48DE" w:rsidRDefault="001C4422" w:rsidP="002C1377">
            <w:pPr>
              <w:autoSpaceDE w:val="0"/>
              <w:autoSpaceDN w:val="0"/>
              <w:adjustRightInd w:val="0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Weight (kg) </w:t>
            </w:r>
          </w:p>
        </w:tc>
        <w:tc>
          <w:tcPr>
            <w:tcW w:w="2880" w:type="dxa"/>
          </w:tcPr>
          <w:p w14:paraId="66D033CD" w14:textId="77777777" w:rsidR="001C4422" w:rsidRPr="00EE48DE" w:rsidRDefault="001C4422" w:rsidP="001C4422">
            <w:pPr>
              <w:autoSpaceDE w:val="0"/>
              <w:autoSpaceDN w:val="0"/>
              <w:adjustRightInd w:val="0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78.20</w:t>
            </w:r>
          </w:p>
        </w:tc>
        <w:tc>
          <w:tcPr>
            <w:tcW w:w="2700" w:type="dxa"/>
          </w:tcPr>
          <w:p w14:paraId="5C602F30" w14:textId="77777777" w:rsidR="001C4422" w:rsidRPr="00EE48DE" w:rsidRDefault="001C4422" w:rsidP="001C4422">
            <w:pPr>
              <w:autoSpaceDE w:val="0"/>
              <w:autoSpaceDN w:val="0"/>
              <w:adjustRightInd w:val="0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16.882</w:t>
            </w:r>
          </w:p>
        </w:tc>
      </w:tr>
    </w:tbl>
    <w:p w14:paraId="71279FC5" w14:textId="3C56E230" w:rsidR="00D86B66" w:rsidRPr="00EE48DE" w:rsidRDefault="001C4422" w:rsidP="00D86B66">
      <w:pPr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>N/A= not applicable; SD=standard deviation</w:t>
      </w:r>
    </w:p>
    <w:p w14:paraId="03BDFF0E" w14:textId="69FAB904" w:rsidR="00E03F4C" w:rsidRPr="00EE48DE" w:rsidRDefault="00E03F4C" w:rsidP="00D86B66">
      <w:pPr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>Source: MEASURE 1 and MEASURE 2 study pooled trial data (data not published).</w:t>
      </w:r>
    </w:p>
    <w:p w14:paraId="1463624B" w14:textId="77777777" w:rsidR="007564FA" w:rsidRPr="00EE48DE" w:rsidRDefault="007564FA" w:rsidP="00D86B66">
      <w:pPr>
        <w:rPr>
          <w:rFonts w:ascii="Tahoma" w:hAnsi="Tahoma" w:cs="Tahoma"/>
          <w:sz w:val="20"/>
        </w:rPr>
      </w:pPr>
    </w:p>
    <w:p w14:paraId="08E831CE" w14:textId="09645407" w:rsidR="00857A5D" w:rsidRPr="00EE48DE" w:rsidRDefault="00857A5D" w:rsidP="00102892">
      <w:pPr>
        <w:pStyle w:val="Caption"/>
        <w:keepNext/>
        <w:spacing w:after="0"/>
        <w:rPr>
          <w:rFonts w:ascii="Tahoma" w:hAnsi="Tahoma" w:cs="Tahoma"/>
          <w:color w:val="auto"/>
          <w:sz w:val="22"/>
          <w:szCs w:val="22"/>
        </w:rPr>
      </w:pPr>
      <w:bookmarkStart w:id="6" w:name="_Ref488660584"/>
      <w:r w:rsidRPr="00EE48DE">
        <w:rPr>
          <w:rFonts w:ascii="Tahoma" w:hAnsi="Tahoma" w:cs="Tahoma"/>
          <w:color w:val="auto"/>
          <w:sz w:val="22"/>
          <w:szCs w:val="22"/>
        </w:rPr>
        <w:t>Table S</w:t>
      </w:r>
      <w:r w:rsidR="00475F68" w:rsidRPr="00EE48DE">
        <w:rPr>
          <w:rFonts w:ascii="Tahoma" w:hAnsi="Tahoma" w:cs="Tahoma"/>
          <w:noProof/>
          <w:color w:val="auto"/>
          <w:sz w:val="22"/>
          <w:szCs w:val="22"/>
        </w:rPr>
        <w:t>2</w:t>
      </w:r>
      <w:bookmarkEnd w:id="6"/>
      <w:r w:rsidRPr="00EE48DE">
        <w:rPr>
          <w:rFonts w:ascii="Tahoma" w:hAnsi="Tahoma" w:cs="Tahoma"/>
          <w:color w:val="auto"/>
          <w:sz w:val="22"/>
          <w:szCs w:val="22"/>
        </w:rPr>
        <w:t xml:space="preserve"> Drug dosing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>, mode of</w:t>
      </w:r>
      <w:r w:rsidRPr="00EE48DE">
        <w:rPr>
          <w:rFonts w:ascii="Tahoma" w:hAnsi="Tahoma" w:cs="Tahoma"/>
          <w:color w:val="auto"/>
          <w:sz w:val="22"/>
          <w:szCs w:val="22"/>
        </w:rPr>
        <w:t xml:space="preserve"> administration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 xml:space="preserve"> and number of doses in each treatment period</w:t>
      </w:r>
      <w:r w:rsidR="00C4676C" w:rsidRPr="00EE48DE">
        <w:rPr>
          <w:rFonts w:ascii="Tahoma" w:hAnsi="Tahoma" w:cs="Tahoma"/>
          <w:color w:val="auto"/>
          <w:sz w:val="22"/>
          <w:szCs w:val="22"/>
        </w:rPr>
        <w:t xml:space="preserve"> in AS patients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789"/>
        <w:gridCol w:w="1879"/>
        <w:gridCol w:w="1130"/>
        <w:gridCol w:w="1567"/>
        <w:gridCol w:w="1277"/>
        <w:gridCol w:w="2094"/>
      </w:tblGrid>
      <w:tr w:rsidR="00857A5D" w:rsidRPr="00EE48DE" w14:paraId="2F267CE5" w14:textId="77777777" w:rsidTr="00D86B66">
        <w:trPr>
          <w:trHeight w:val="296"/>
        </w:trPr>
        <w:tc>
          <w:tcPr>
            <w:tcW w:w="1789" w:type="dxa"/>
          </w:tcPr>
          <w:p w14:paraId="4ECB6EBF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79" w:type="dxa"/>
            <w:noWrap/>
            <w:hideMark/>
          </w:tcPr>
          <w:p w14:paraId="6D647717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30" w:type="dxa"/>
            <w:noWrap/>
            <w:hideMark/>
          </w:tcPr>
          <w:p w14:paraId="4239A82A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4938" w:type="dxa"/>
            <w:gridSpan w:val="3"/>
            <w:noWrap/>
            <w:hideMark/>
          </w:tcPr>
          <w:p w14:paraId="38F52202" w14:textId="77777777" w:rsidR="00857A5D" w:rsidRPr="00EE48DE" w:rsidRDefault="00857A5D" w:rsidP="00ED5275">
            <w:pPr>
              <w:pStyle w:val="Caption"/>
              <w:keepNext/>
              <w:spacing w:after="0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Number of Doses</w:t>
            </w:r>
          </w:p>
        </w:tc>
      </w:tr>
      <w:tr w:rsidR="00857A5D" w:rsidRPr="00EE48DE" w14:paraId="2ED8192A" w14:textId="77777777" w:rsidTr="00D86B66">
        <w:trPr>
          <w:trHeight w:val="455"/>
        </w:trPr>
        <w:tc>
          <w:tcPr>
            <w:tcW w:w="1789" w:type="dxa"/>
          </w:tcPr>
          <w:p w14:paraId="729232AF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Administration</w:t>
            </w:r>
          </w:p>
        </w:tc>
        <w:tc>
          <w:tcPr>
            <w:tcW w:w="1879" w:type="dxa"/>
            <w:noWrap/>
            <w:hideMark/>
          </w:tcPr>
          <w:p w14:paraId="6DAF4714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Drug</w:t>
            </w:r>
          </w:p>
        </w:tc>
        <w:tc>
          <w:tcPr>
            <w:tcW w:w="1130" w:type="dxa"/>
            <w:noWrap/>
            <w:hideMark/>
          </w:tcPr>
          <w:p w14:paraId="7846AC7E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Dose</w:t>
            </w:r>
          </w:p>
        </w:tc>
        <w:tc>
          <w:tcPr>
            <w:tcW w:w="1567" w:type="dxa"/>
            <w:hideMark/>
          </w:tcPr>
          <w:p w14:paraId="4A546312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First 3 Months</w:t>
            </w:r>
          </w:p>
        </w:tc>
        <w:tc>
          <w:tcPr>
            <w:tcW w:w="1277" w:type="dxa"/>
            <w:hideMark/>
          </w:tcPr>
          <w:p w14:paraId="226988C6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Months 4-6</w:t>
            </w:r>
          </w:p>
        </w:tc>
        <w:tc>
          <w:tcPr>
            <w:tcW w:w="2094" w:type="dxa"/>
            <w:hideMark/>
          </w:tcPr>
          <w:p w14:paraId="45B0E899" w14:textId="5FBF5317" w:rsidR="00857A5D" w:rsidRPr="00EE48DE" w:rsidRDefault="00D86B66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 xml:space="preserve">Subsequent </w:t>
            </w:r>
            <w:r w:rsidR="00857A5D" w:rsidRPr="00EE48DE">
              <w:rPr>
                <w:rFonts w:ascii="Tahoma" w:hAnsi="Tahoma" w:cs="Tahoma"/>
                <w:color w:val="auto"/>
                <w:sz w:val="16"/>
                <w:szCs w:val="16"/>
              </w:rPr>
              <w:t>3-month Periods</w:t>
            </w:r>
          </w:p>
        </w:tc>
      </w:tr>
      <w:tr w:rsidR="00857A5D" w:rsidRPr="00EE48DE" w14:paraId="6CAADF07" w14:textId="77777777" w:rsidTr="00D86B66">
        <w:trPr>
          <w:trHeight w:val="296"/>
        </w:trPr>
        <w:tc>
          <w:tcPr>
            <w:tcW w:w="1789" w:type="dxa"/>
            <w:vMerge w:val="restart"/>
          </w:tcPr>
          <w:p w14:paraId="334A2318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Subcutaneous</w:t>
            </w:r>
          </w:p>
        </w:tc>
        <w:tc>
          <w:tcPr>
            <w:tcW w:w="1879" w:type="dxa"/>
            <w:noWrap/>
            <w:hideMark/>
          </w:tcPr>
          <w:p w14:paraId="3E312A75" w14:textId="2984272A" w:rsidR="00857A5D" w:rsidRPr="00EE48DE" w:rsidRDefault="00857A5D" w:rsidP="009F5A18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S</w:t>
            </w:r>
            <w:r w:rsidR="009E3101"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ecukinumab</w:t>
            </w:r>
            <w:r w:rsidR="009F5A18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7F36A311" w14:textId="219314C5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150</w:t>
            </w:r>
            <w:r w:rsidR="00D86B66"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 xml:space="preserve"> </w:t>
            </w: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mg</w:t>
            </w:r>
          </w:p>
        </w:tc>
        <w:tc>
          <w:tcPr>
            <w:tcW w:w="1567" w:type="dxa"/>
            <w:noWrap/>
            <w:hideMark/>
          </w:tcPr>
          <w:p w14:paraId="6E1AB7D6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7.00</w:t>
            </w:r>
          </w:p>
        </w:tc>
        <w:tc>
          <w:tcPr>
            <w:tcW w:w="1277" w:type="dxa"/>
            <w:noWrap/>
            <w:hideMark/>
          </w:tcPr>
          <w:p w14:paraId="120B85E8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3.00</w:t>
            </w:r>
          </w:p>
        </w:tc>
        <w:tc>
          <w:tcPr>
            <w:tcW w:w="2094" w:type="dxa"/>
            <w:noWrap/>
            <w:hideMark/>
          </w:tcPr>
          <w:p w14:paraId="5F1CBDD1" w14:textId="77777777" w:rsidR="00857A5D" w:rsidRPr="00EE48DE" w:rsidRDefault="00857A5D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3.00</w:t>
            </w:r>
          </w:p>
        </w:tc>
      </w:tr>
      <w:tr w:rsidR="0002129F" w:rsidRPr="00EE48DE" w14:paraId="654E871C" w14:textId="77777777" w:rsidTr="00D86B66">
        <w:trPr>
          <w:trHeight w:val="296"/>
        </w:trPr>
        <w:tc>
          <w:tcPr>
            <w:tcW w:w="1789" w:type="dxa"/>
            <w:vMerge/>
          </w:tcPr>
          <w:p w14:paraId="2447128E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14:paraId="559F9672" w14:textId="6DC193E1" w:rsidR="0002129F" w:rsidRPr="00EE48DE" w:rsidRDefault="0002129F" w:rsidP="009F5A18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Adalimumab</w:t>
            </w:r>
            <w:r w:rsidR="009F5A18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0" w:type="dxa"/>
            <w:noWrap/>
          </w:tcPr>
          <w:p w14:paraId="665B6A7B" w14:textId="64C98228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40</w:t>
            </w:r>
            <w:r w:rsidR="00D86B66"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 xml:space="preserve"> </w:t>
            </w: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mg</w:t>
            </w:r>
          </w:p>
        </w:tc>
        <w:tc>
          <w:tcPr>
            <w:tcW w:w="1567" w:type="dxa"/>
            <w:noWrap/>
          </w:tcPr>
          <w:p w14:paraId="5C10CD12" w14:textId="5E56F8B8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7.00</w:t>
            </w:r>
          </w:p>
        </w:tc>
        <w:tc>
          <w:tcPr>
            <w:tcW w:w="1277" w:type="dxa"/>
            <w:noWrap/>
          </w:tcPr>
          <w:p w14:paraId="0B9803F5" w14:textId="499084FB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6.00</w:t>
            </w:r>
          </w:p>
        </w:tc>
        <w:tc>
          <w:tcPr>
            <w:tcW w:w="2094" w:type="dxa"/>
            <w:noWrap/>
          </w:tcPr>
          <w:p w14:paraId="61DC8E5E" w14:textId="484A7EBB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6.52</w:t>
            </w:r>
          </w:p>
        </w:tc>
      </w:tr>
      <w:tr w:rsidR="0002129F" w:rsidRPr="00EE48DE" w14:paraId="3C06C23A" w14:textId="77777777" w:rsidTr="00D86B66">
        <w:trPr>
          <w:trHeight w:val="296"/>
        </w:trPr>
        <w:tc>
          <w:tcPr>
            <w:tcW w:w="1789" w:type="dxa"/>
            <w:vMerge/>
          </w:tcPr>
          <w:p w14:paraId="723B0328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79" w:type="dxa"/>
            <w:noWrap/>
            <w:hideMark/>
          </w:tcPr>
          <w:p w14:paraId="5CF4F9DC" w14:textId="2C410FB8" w:rsidR="0002129F" w:rsidRPr="00EE48DE" w:rsidRDefault="0002129F" w:rsidP="009F5A18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Certolizumab pegol</w:t>
            </w:r>
            <w:r w:rsidR="009F5A18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3D224F27" w14:textId="7F25B624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200</w:t>
            </w:r>
            <w:r w:rsidR="00D86B66"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 xml:space="preserve"> </w:t>
            </w: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mg</w:t>
            </w:r>
          </w:p>
        </w:tc>
        <w:tc>
          <w:tcPr>
            <w:tcW w:w="1567" w:type="dxa"/>
            <w:noWrap/>
            <w:hideMark/>
          </w:tcPr>
          <w:p w14:paraId="68436A06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10.00</w:t>
            </w:r>
          </w:p>
        </w:tc>
        <w:tc>
          <w:tcPr>
            <w:tcW w:w="1277" w:type="dxa"/>
            <w:noWrap/>
            <w:hideMark/>
          </w:tcPr>
          <w:p w14:paraId="7D4766BB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6.00</w:t>
            </w:r>
          </w:p>
        </w:tc>
        <w:tc>
          <w:tcPr>
            <w:tcW w:w="2094" w:type="dxa"/>
            <w:noWrap/>
            <w:hideMark/>
          </w:tcPr>
          <w:p w14:paraId="373D0C1F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6.52</w:t>
            </w:r>
          </w:p>
        </w:tc>
      </w:tr>
      <w:tr w:rsidR="0002129F" w:rsidRPr="00EE48DE" w14:paraId="42C8EA12" w14:textId="77777777" w:rsidTr="00D86B66">
        <w:trPr>
          <w:trHeight w:val="296"/>
        </w:trPr>
        <w:tc>
          <w:tcPr>
            <w:tcW w:w="1789" w:type="dxa"/>
            <w:vMerge/>
          </w:tcPr>
          <w:p w14:paraId="6A55F10D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79" w:type="dxa"/>
            <w:noWrap/>
            <w:hideMark/>
          </w:tcPr>
          <w:p w14:paraId="7E0D7296" w14:textId="1EF5D148" w:rsidR="0002129F" w:rsidRPr="00EE48DE" w:rsidRDefault="0002129F" w:rsidP="009F5A18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Etanercept</w:t>
            </w:r>
            <w:r w:rsidR="009F5A18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0" w:type="dxa"/>
            <w:noWrap/>
            <w:hideMark/>
          </w:tcPr>
          <w:p w14:paraId="64F1CFCA" w14:textId="15EEA46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50</w:t>
            </w:r>
            <w:r w:rsidR="00D86B66"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 xml:space="preserve"> </w:t>
            </w: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mg</w:t>
            </w:r>
          </w:p>
        </w:tc>
        <w:tc>
          <w:tcPr>
            <w:tcW w:w="1567" w:type="dxa"/>
            <w:noWrap/>
            <w:hideMark/>
          </w:tcPr>
          <w:p w14:paraId="2BBD566B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13.00</w:t>
            </w:r>
          </w:p>
        </w:tc>
        <w:tc>
          <w:tcPr>
            <w:tcW w:w="1277" w:type="dxa"/>
            <w:noWrap/>
            <w:hideMark/>
          </w:tcPr>
          <w:p w14:paraId="19A91F24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13.00</w:t>
            </w:r>
          </w:p>
        </w:tc>
        <w:tc>
          <w:tcPr>
            <w:tcW w:w="2094" w:type="dxa"/>
            <w:noWrap/>
            <w:hideMark/>
          </w:tcPr>
          <w:p w14:paraId="081C5A82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13.04</w:t>
            </w:r>
          </w:p>
        </w:tc>
      </w:tr>
      <w:tr w:rsidR="0002129F" w:rsidRPr="00EE48DE" w14:paraId="266997B6" w14:textId="77777777" w:rsidTr="00D86B66">
        <w:trPr>
          <w:trHeight w:val="296"/>
        </w:trPr>
        <w:tc>
          <w:tcPr>
            <w:tcW w:w="1789" w:type="dxa"/>
            <w:vMerge/>
          </w:tcPr>
          <w:p w14:paraId="30C87AE6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14:paraId="161F928A" w14:textId="7AA7DEAD" w:rsidR="0002129F" w:rsidRPr="00EE48DE" w:rsidRDefault="0002129F" w:rsidP="009F5A18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Golimumab</w:t>
            </w:r>
            <w:r w:rsidR="009F5A18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0" w:type="dxa"/>
            <w:noWrap/>
          </w:tcPr>
          <w:p w14:paraId="54456876" w14:textId="03DB7A4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50</w:t>
            </w:r>
            <w:r w:rsidR="00D86B66"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 xml:space="preserve"> </w:t>
            </w: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mg</w:t>
            </w:r>
          </w:p>
        </w:tc>
        <w:tc>
          <w:tcPr>
            <w:tcW w:w="1567" w:type="dxa"/>
            <w:noWrap/>
          </w:tcPr>
          <w:p w14:paraId="05C556C7" w14:textId="297BD67A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3.00</w:t>
            </w:r>
          </w:p>
        </w:tc>
        <w:tc>
          <w:tcPr>
            <w:tcW w:w="1277" w:type="dxa"/>
            <w:noWrap/>
          </w:tcPr>
          <w:p w14:paraId="7E9ED6F2" w14:textId="0EDFC7D0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3.00</w:t>
            </w:r>
          </w:p>
        </w:tc>
        <w:tc>
          <w:tcPr>
            <w:tcW w:w="2094" w:type="dxa"/>
            <w:noWrap/>
          </w:tcPr>
          <w:p w14:paraId="2EA90D22" w14:textId="3A012099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3.00</w:t>
            </w:r>
          </w:p>
        </w:tc>
      </w:tr>
      <w:tr w:rsidR="0002129F" w:rsidRPr="00EE48DE" w14:paraId="3C3F1877" w14:textId="77777777" w:rsidTr="00D86B66">
        <w:trPr>
          <w:trHeight w:val="296"/>
        </w:trPr>
        <w:tc>
          <w:tcPr>
            <w:tcW w:w="1789" w:type="dxa"/>
          </w:tcPr>
          <w:p w14:paraId="73A062CD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Intravenous</w:t>
            </w:r>
          </w:p>
        </w:tc>
        <w:tc>
          <w:tcPr>
            <w:tcW w:w="1879" w:type="dxa"/>
            <w:noWrap/>
            <w:hideMark/>
          </w:tcPr>
          <w:p w14:paraId="6AFB57FE" w14:textId="270519B6" w:rsidR="0002129F" w:rsidRPr="00EE48DE" w:rsidRDefault="0002129F" w:rsidP="009F5A18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Infliximab</w:t>
            </w:r>
            <w:r w:rsidR="009F5A18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0" w:type="dxa"/>
            <w:noWrap/>
            <w:hideMark/>
          </w:tcPr>
          <w:p w14:paraId="476B9F7D" w14:textId="3803C64E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5</w:t>
            </w:r>
            <w:r w:rsidR="00D86B66"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 xml:space="preserve"> </w:t>
            </w: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mg/kg</w:t>
            </w:r>
          </w:p>
        </w:tc>
        <w:tc>
          <w:tcPr>
            <w:tcW w:w="1567" w:type="dxa"/>
            <w:noWrap/>
            <w:hideMark/>
          </w:tcPr>
          <w:p w14:paraId="06D24DC3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3.00</w:t>
            </w:r>
          </w:p>
        </w:tc>
        <w:tc>
          <w:tcPr>
            <w:tcW w:w="1277" w:type="dxa"/>
            <w:noWrap/>
            <w:hideMark/>
          </w:tcPr>
          <w:p w14:paraId="4CFDF307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2.00</w:t>
            </w:r>
          </w:p>
        </w:tc>
        <w:tc>
          <w:tcPr>
            <w:tcW w:w="2094" w:type="dxa"/>
            <w:noWrap/>
            <w:hideMark/>
          </w:tcPr>
          <w:p w14:paraId="45612E6E" w14:textId="77777777" w:rsidR="0002129F" w:rsidRPr="00EE48DE" w:rsidRDefault="0002129F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1.63</w:t>
            </w:r>
          </w:p>
        </w:tc>
      </w:tr>
    </w:tbl>
    <w:p w14:paraId="5B9A5349" w14:textId="6C301E9B" w:rsidR="00857A5D" w:rsidRPr="00EE48DE" w:rsidRDefault="004C14D0" w:rsidP="00857A5D">
      <w:pPr>
        <w:pStyle w:val="Caption"/>
        <w:keepNext/>
        <w:jc w:val="both"/>
        <w:rPr>
          <w:rFonts w:ascii="Tahoma" w:hAnsi="Tahoma" w:cs="Tahoma"/>
          <w:b w:val="0"/>
          <w:noProof/>
          <w:color w:val="auto"/>
          <w:sz w:val="12"/>
          <w:szCs w:val="12"/>
        </w:rPr>
      </w:pPr>
      <w:r w:rsidRPr="00EE48DE">
        <w:rPr>
          <w:rFonts w:ascii="Tahoma" w:hAnsi="Tahoma" w:cs="Tahoma"/>
          <w:b w:val="0"/>
          <w:noProof/>
          <w:color w:val="auto"/>
          <w:sz w:val="12"/>
          <w:szCs w:val="12"/>
        </w:rPr>
        <w:t>AS: Ankylosing spondylitis</w:t>
      </w:r>
      <w:r w:rsidRPr="00EE48DE">
        <w:rPr>
          <w:rFonts w:ascii="Tahoma" w:hAnsi="Tahoma" w:cs="Tahoma"/>
          <w:sz w:val="12"/>
          <w:szCs w:val="12"/>
        </w:rPr>
        <w:t xml:space="preserve">; </w:t>
      </w:r>
      <w:r w:rsidR="00E00ADE" w:rsidRPr="00EE48DE">
        <w:rPr>
          <w:rFonts w:ascii="Tahoma" w:hAnsi="Tahoma" w:cs="Tahoma"/>
          <w:b w:val="0"/>
          <w:noProof/>
          <w:color w:val="auto"/>
          <w:sz w:val="12"/>
          <w:szCs w:val="12"/>
        </w:rPr>
        <w:t>mg:milligrams</w:t>
      </w:r>
    </w:p>
    <w:p w14:paraId="08A361AF" w14:textId="0003FB5E" w:rsidR="00185F6D" w:rsidRPr="00EE48DE" w:rsidRDefault="00185F6D" w:rsidP="00185F6D">
      <w:pPr>
        <w:pStyle w:val="Caption"/>
        <w:rPr>
          <w:rFonts w:ascii="Tahoma" w:hAnsi="Tahoma" w:cs="Tahoma"/>
          <w:color w:val="000000" w:themeColor="text1"/>
          <w:sz w:val="22"/>
          <w:szCs w:val="22"/>
        </w:rPr>
      </w:pPr>
      <w:bookmarkStart w:id="7" w:name="_Ref500331675"/>
      <w:r w:rsidRPr="00EE48DE">
        <w:rPr>
          <w:rFonts w:ascii="Tahoma" w:hAnsi="Tahoma" w:cs="Tahoma"/>
          <w:color w:val="000000" w:themeColor="text1"/>
          <w:sz w:val="22"/>
          <w:szCs w:val="22"/>
        </w:rPr>
        <w:t>Table S3</w:t>
      </w:r>
      <w:bookmarkEnd w:id="7"/>
      <w:r w:rsidRPr="00EE48DE">
        <w:rPr>
          <w:rFonts w:ascii="Tahoma" w:hAnsi="Tahoma" w:cs="Tahoma"/>
          <w:color w:val="000000" w:themeColor="text1"/>
          <w:sz w:val="22"/>
          <w:szCs w:val="22"/>
        </w:rPr>
        <w:t xml:space="preserve"> BASDAI 50 Response at 3 Months for biologic-naïve </w:t>
      </w:r>
      <w:r w:rsidR="004C14D0" w:rsidRPr="00EE48DE">
        <w:rPr>
          <w:rFonts w:ascii="Tahoma" w:hAnsi="Tahoma" w:cs="Tahoma"/>
          <w:color w:val="000000" w:themeColor="text1"/>
          <w:sz w:val="22"/>
          <w:szCs w:val="22"/>
        </w:rPr>
        <w:t xml:space="preserve">AS </w:t>
      </w:r>
      <w:r w:rsidRPr="00EE48DE">
        <w:rPr>
          <w:rFonts w:ascii="Tahoma" w:hAnsi="Tahoma" w:cs="Tahoma"/>
          <w:color w:val="000000" w:themeColor="text1"/>
          <w:sz w:val="22"/>
          <w:szCs w:val="22"/>
        </w:rPr>
        <w:t>patients</w:t>
      </w:r>
      <w:r w:rsidR="009F5A18" w:rsidRPr="00EE48DE">
        <w:rPr>
          <w:rFonts w:ascii="Tahoma" w:hAnsi="Tahoma" w:cs="Tahoma"/>
          <w:noProof/>
          <w:color w:val="000000" w:themeColor="text1"/>
          <w:sz w:val="22"/>
          <w:szCs w:val="22"/>
          <w:vertAlign w:val="superscript"/>
        </w:rPr>
        <w:t>7</w:t>
      </w:r>
      <w:r w:rsidRPr="00EE48D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3620" w:type="pct"/>
        <w:tblLook w:val="0000" w:firstRow="0" w:lastRow="0" w:firstColumn="0" w:lastColumn="0" w:noHBand="0" w:noVBand="0"/>
      </w:tblPr>
      <w:tblGrid>
        <w:gridCol w:w="1908"/>
        <w:gridCol w:w="2228"/>
        <w:gridCol w:w="2633"/>
      </w:tblGrid>
      <w:tr w:rsidR="00185F6D" w:rsidRPr="00EE48DE" w14:paraId="60FE3895" w14:textId="77777777" w:rsidTr="004C14D0">
        <w:trPr>
          <w:trHeight w:val="90"/>
        </w:trPr>
        <w:tc>
          <w:tcPr>
            <w:tcW w:w="1409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E73104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Administration</w:t>
            </w:r>
          </w:p>
        </w:tc>
        <w:tc>
          <w:tcPr>
            <w:tcW w:w="164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6505A5F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Treatment </w:t>
            </w:r>
          </w:p>
        </w:tc>
        <w:tc>
          <w:tcPr>
            <w:tcW w:w="194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3A7A1FD" w14:textId="377A4D82" w:rsidR="00185F6D" w:rsidRPr="00EE48DE" w:rsidRDefault="00185F6D" w:rsidP="0034391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BASDAI 50 Response</w:t>
            </w:r>
          </w:p>
        </w:tc>
      </w:tr>
      <w:tr w:rsidR="00185F6D" w:rsidRPr="00EE48DE" w14:paraId="4178B83A" w14:textId="77777777" w:rsidTr="004C14D0">
        <w:trPr>
          <w:trHeight w:val="76"/>
        </w:trPr>
        <w:tc>
          <w:tcPr>
            <w:tcW w:w="1409" w:type="pct"/>
            <w:vMerge w:val="restart"/>
          </w:tcPr>
          <w:p w14:paraId="13CD8585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Subcutaneous</w:t>
            </w:r>
          </w:p>
        </w:tc>
        <w:tc>
          <w:tcPr>
            <w:tcW w:w="1646" w:type="pct"/>
          </w:tcPr>
          <w:p w14:paraId="4E880D8A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Secukinumab</w:t>
            </w:r>
          </w:p>
        </w:tc>
        <w:tc>
          <w:tcPr>
            <w:tcW w:w="1945" w:type="pct"/>
            <w:vAlign w:val="bottom"/>
          </w:tcPr>
          <w:p w14:paraId="547C593F" w14:textId="77777777" w:rsidR="00185F6D" w:rsidRPr="00EE48DE" w:rsidRDefault="00185F6D" w:rsidP="00530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41.53%</w:t>
            </w:r>
          </w:p>
        </w:tc>
      </w:tr>
      <w:tr w:rsidR="00185F6D" w:rsidRPr="00EE48DE" w14:paraId="57C5A549" w14:textId="77777777" w:rsidTr="004C14D0">
        <w:trPr>
          <w:trHeight w:val="76"/>
        </w:trPr>
        <w:tc>
          <w:tcPr>
            <w:tcW w:w="1409" w:type="pct"/>
            <w:vMerge/>
          </w:tcPr>
          <w:p w14:paraId="4F4069F4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6" w:type="pct"/>
          </w:tcPr>
          <w:p w14:paraId="752D8A28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Certolizumab pegol</w:t>
            </w:r>
          </w:p>
        </w:tc>
        <w:tc>
          <w:tcPr>
            <w:tcW w:w="1945" w:type="pct"/>
            <w:vAlign w:val="bottom"/>
          </w:tcPr>
          <w:p w14:paraId="6F1A1C89" w14:textId="77777777" w:rsidR="00185F6D" w:rsidRPr="00EE48DE" w:rsidRDefault="00185F6D" w:rsidP="00530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44.20%</w:t>
            </w:r>
          </w:p>
        </w:tc>
      </w:tr>
      <w:tr w:rsidR="00185F6D" w:rsidRPr="00EE48DE" w14:paraId="17ECD7F1" w14:textId="77777777" w:rsidTr="004C14D0">
        <w:trPr>
          <w:trHeight w:val="76"/>
        </w:trPr>
        <w:tc>
          <w:tcPr>
            <w:tcW w:w="1409" w:type="pct"/>
            <w:vMerge/>
          </w:tcPr>
          <w:p w14:paraId="5462C28D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6" w:type="pct"/>
          </w:tcPr>
          <w:p w14:paraId="6BCE7DAD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Etanercept</w:t>
            </w:r>
          </w:p>
        </w:tc>
        <w:tc>
          <w:tcPr>
            <w:tcW w:w="1945" w:type="pct"/>
            <w:vAlign w:val="bottom"/>
          </w:tcPr>
          <w:p w14:paraId="6BB8499C" w14:textId="77777777" w:rsidR="00185F6D" w:rsidRPr="00EE48DE" w:rsidRDefault="00185F6D" w:rsidP="00530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36.80%</w:t>
            </w:r>
          </w:p>
        </w:tc>
      </w:tr>
      <w:tr w:rsidR="00185F6D" w:rsidRPr="00EE48DE" w14:paraId="57A8F024" w14:textId="77777777" w:rsidTr="004C14D0">
        <w:trPr>
          <w:trHeight w:val="76"/>
        </w:trPr>
        <w:tc>
          <w:tcPr>
            <w:tcW w:w="1409" w:type="pct"/>
            <w:vMerge/>
          </w:tcPr>
          <w:p w14:paraId="7424EC2C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6" w:type="pct"/>
          </w:tcPr>
          <w:p w14:paraId="478559F5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Adalimumab</w:t>
            </w:r>
          </w:p>
        </w:tc>
        <w:tc>
          <w:tcPr>
            <w:tcW w:w="1945" w:type="pct"/>
            <w:vAlign w:val="bottom"/>
          </w:tcPr>
          <w:p w14:paraId="61D8DD26" w14:textId="77777777" w:rsidR="00185F6D" w:rsidRPr="00EE48DE" w:rsidRDefault="00185F6D" w:rsidP="00530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48.85%</w:t>
            </w:r>
          </w:p>
        </w:tc>
      </w:tr>
      <w:tr w:rsidR="00185F6D" w:rsidRPr="00EE48DE" w14:paraId="7E6D0CD3" w14:textId="77777777" w:rsidTr="004C14D0">
        <w:trPr>
          <w:trHeight w:val="76"/>
        </w:trPr>
        <w:tc>
          <w:tcPr>
            <w:tcW w:w="1409" w:type="pct"/>
            <w:vMerge/>
          </w:tcPr>
          <w:p w14:paraId="07118028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6" w:type="pct"/>
          </w:tcPr>
          <w:p w14:paraId="456E214C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Golimumab</w:t>
            </w:r>
          </w:p>
        </w:tc>
        <w:tc>
          <w:tcPr>
            <w:tcW w:w="1945" w:type="pct"/>
            <w:vAlign w:val="bottom"/>
          </w:tcPr>
          <w:p w14:paraId="2D00453D" w14:textId="77777777" w:rsidR="00185F6D" w:rsidRPr="00EE48DE" w:rsidRDefault="00185F6D" w:rsidP="00530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47.20%</w:t>
            </w:r>
          </w:p>
        </w:tc>
      </w:tr>
      <w:tr w:rsidR="00185F6D" w:rsidRPr="00EE48DE" w14:paraId="467491E3" w14:textId="77777777" w:rsidTr="004C14D0">
        <w:trPr>
          <w:trHeight w:val="76"/>
        </w:trPr>
        <w:tc>
          <w:tcPr>
            <w:tcW w:w="1409" w:type="pct"/>
          </w:tcPr>
          <w:p w14:paraId="3891E86C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Intravenous</w:t>
            </w:r>
          </w:p>
        </w:tc>
        <w:tc>
          <w:tcPr>
            <w:tcW w:w="1646" w:type="pct"/>
          </w:tcPr>
          <w:p w14:paraId="508E551E" w14:textId="77777777" w:rsidR="00185F6D" w:rsidRPr="00EE48DE" w:rsidRDefault="00185F6D" w:rsidP="00530A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Infliximab</w:t>
            </w:r>
          </w:p>
        </w:tc>
        <w:tc>
          <w:tcPr>
            <w:tcW w:w="1945" w:type="pct"/>
            <w:vAlign w:val="bottom"/>
          </w:tcPr>
          <w:p w14:paraId="7F645096" w14:textId="77777777" w:rsidR="00185F6D" w:rsidRPr="00EE48DE" w:rsidRDefault="00185F6D" w:rsidP="00530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44.20%</w:t>
            </w:r>
          </w:p>
        </w:tc>
      </w:tr>
    </w:tbl>
    <w:p w14:paraId="36F2A99F" w14:textId="2C677DCC" w:rsidR="00E00ADE" w:rsidRPr="00EE48DE" w:rsidRDefault="004C14D0" w:rsidP="00185F6D">
      <w:pPr>
        <w:pStyle w:val="tabfignote"/>
        <w:spacing w:before="0" w:line="240" w:lineRule="auto"/>
        <w:jc w:val="both"/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 xml:space="preserve">AS: Ankylosing spondylitis; </w:t>
      </w:r>
      <w:r w:rsidR="00E00ADE" w:rsidRPr="00EE48DE">
        <w:rPr>
          <w:rFonts w:ascii="Tahoma" w:hAnsi="Tahoma" w:cs="Tahoma"/>
          <w:sz w:val="12"/>
          <w:szCs w:val="12"/>
        </w:rPr>
        <w:t xml:space="preserve">BASDAI = Bath Ankylosing Spondylitis Disease Activity Index; </w:t>
      </w:r>
    </w:p>
    <w:p w14:paraId="010D9400" w14:textId="6B6B6B09" w:rsidR="00185F6D" w:rsidRPr="00EE48DE" w:rsidRDefault="00185F6D" w:rsidP="00185F6D">
      <w:pPr>
        <w:pStyle w:val="tabfignote"/>
        <w:spacing w:before="0" w:line="240" w:lineRule="auto"/>
        <w:jc w:val="both"/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 xml:space="preserve">Data for Certolizumab </w:t>
      </w:r>
      <w:r w:rsidR="00655A4C" w:rsidRPr="00EE48DE">
        <w:rPr>
          <w:rFonts w:ascii="Tahoma" w:hAnsi="Tahoma" w:cs="Tahoma"/>
          <w:sz w:val="12"/>
          <w:szCs w:val="12"/>
        </w:rPr>
        <w:t>pegol</w:t>
      </w:r>
      <w:r w:rsidR="00655A4C" w:rsidRPr="00EE48DE" w:rsidDel="00201440">
        <w:rPr>
          <w:rFonts w:ascii="Tahoma" w:hAnsi="Tahoma" w:cs="Tahoma"/>
          <w:sz w:val="12"/>
          <w:szCs w:val="12"/>
        </w:rPr>
        <w:t xml:space="preserve"> </w:t>
      </w:r>
      <w:r w:rsidR="00655A4C" w:rsidRPr="00EE48DE">
        <w:rPr>
          <w:rFonts w:ascii="Tahoma" w:hAnsi="Tahoma" w:cs="Tahoma"/>
          <w:sz w:val="12"/>
          <w:szCs w:val="12"/>
        </w:rPr>
        <w:t>and</w:t>
      </w:r>
      <w:r w:rsidRPr="00EE48DE">
        <w:rPr>
          <w:rFonts w:ascii="Tahoma" w:hAnsi="Tahoma" w:cs="Tahoma"/>
          <w:sz w:val="12"/>
          <w:szCs w:val="12"/>
        </w:rPr>
        <w:t xml:space="preserve"> infliximab were not available and were assumed equivalent to the lowest biologic in the network meta-analysis </w:t>
      </w:r>
    </w:p>
    <w:p w14:paraId="2C63B855" w14:textId="77777777" w:rsidR="00185F6D" w:rsidRPr="00EE48DE" w:rsidRDefault="00185F6D" w:rsidP="00343910">
      <w:pPr>
        <w:rPr>
          <w:rFonts w:ascii="Tahoma" w:hAnsi="Tahoma" w:cs="Tahoma"/>
          <w:b/>
        </w:rPr>
      </w:pPr>
    </w:p>
    <w:p w14:paraId="694A554B" w14:textId="77777777" w:rsidR="001B67D8" w:rsidRPr="00EE48DE" w:rsidRDefault="001B67D8">
      <w:pPr>
        <w:spacing w:after="200" w:line="276" w:lineRule="auto"/>
        <w:rPr>
          <w:rFonts w:ascii="Tahoma" w:eastAsiaTheme="minorHAnsi" w:hAnsi="Tahoma" w:cs="Tahoma"/>
          <w:b/>
          <w:bCs/>
          <w:szCs w:val="24"/>
        </w:rPr>
      </w:pPr>
      <w:r w:rsidRPr="00EE48DE">
        <w:rPr>
          <w:rFonts w:ascii="Tahoma" w:hAnsi="Tahoma" w:cs="Tahoma"/>
          <w:szCs w:val="24"/>
        </w:rPr>
        <w:br w:type="page"/>
      </w:r>
    </w:p>
    <w:p w14:paraId="6A2FC14E" w14:textId="3FF07CD1" w:rsidR="00CC6035" w:rsidRPr="00EE48DE" w:rsidRDefault="00CC6035" w:rsidP="00102892">
      <w:pPr>
        <w:pStyle w:val="Caption"/>
        <w:keepNext/>
        <w:spacing w:after="0"/>
        <w:rPr>
          <w:rFonts w:ascii="Tahoma" w:hAnsi="Tahoma" w:cs="Tahoma"/>
          <w:color w:val="auto"/>
          <w:sz w:val="22"/>
          <w:szCs w:val="22"/>
        </w:rPr>
      </w:pPr>
      <w:r w:rsidRPr="00EE48DE">
        <w:rPr>
          <w:rFonts w:ascii="Tahoma" w:hAnsi="Tahoma" w:cs="Tahoma"/>
          <w:color w:val="auto"/>
          <w:sz w:val="22"/>
          <w:szCs w:val="22"/>
        </w:rPr>
        <w:lastRenderedPageBreak/>
        <w:t xml:space="preserve">Table </w:t>
      </w:r>
      <w:r w:rsidR="00185F6D" w:rsidRPr="00EE48DE">
        <w:rPr>
          <w:rFonts w:ascii="Tahoma" w:hAnsi="Tahoma" w:cs="Tahoma"/>
          <w:color w:val="auto"/>
          <w:sz w:val="22"/>
          <w:szCs w:val="22"/>
        </w:rPr>
        <w:t xml:space="preserve">S4 </w:t>
      </w:r>
      <w:r w:rsidRPr="00EE48DE">
        <w:rPr>
          <w:rFonts w:ascii="Tahoma" w:hAnsi="Tahoma" w:cs="Tahoma"/>
          <w:color w:val="auto"/>
          <w:sz w:val="22"/>
          <w:szCs w:val="22"/>
        </w:rPr>
        <w:t>Short-term changes in BASDAI and BASFI</w:t>
      </w:r>
      <w:r w:rsidR="00764ECD" w:rsidRPr="00EE48DE">
        <w:rPr>
          <w:rFonts w:ascii="Tahoma" w:hAnsi="Tahoma" w:cs="Tahoma"/>
          <w:color w:val="auto"/>
          <w:sz w:val="22"/>
          <w:szCs w:val="22"/>
        </w:rPr>
        <w:t xml:space="preserve"> at 3 months</w:t>
      </w:r>
      <w:r w:rsidR="00392302" w:rsidRPr="00EE48DE">
        <w:rPr>
          <w:rFonts w:ascii="Tahoma" w:hAnsi="Tahoma" w:cs="Tahoma"/>
          <w:color w:val="auto"/>
          <w:sz w:val="22"/>
          <w:szCs w:val="22"/>
        </w:rPr>
        <w:t xml:space="preserve"> 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>in</w:t>
      </w:r>
      <w:r w:rsidR="00392302" w:rsidRPr="00EE48DE">
        <w:rPr>
          <w:rFonts w:ascii="Tahoma" w:hAnsi="Tahoma" w:cs="Tahoma"/>
          <w:color w:val="auto"/>
          <w:sz w:val="22"/>
          <w:szCs w:val="22"/>
        </w:rPr>
        <w:t xml:space="preserve"> Biologic-naïve </w:t>
      </w:r>
      <w:r w:rsidR="004C14D0" w:rsidRPr="00EE48DE">
        <w:rPr>
          <w:rFonts w:ascii="Tahoma" w:hAnsi="Tahoma" w:cs="Tahoma"/>
          <w:color w:val="auto"/>
          <w:sz w:val="22"/>
          <w:szCs w:val="22"/>
        </w:rPr>
        <w:t xml:space="preserve">AS </w:t>
      </w:r>
      <w:r w:rsidR="00392302" w:rsidRPr="00EE48DE">
        <w:rPr>
          <w:rFonts w:ascii="Tahoma" w:hAnsi="Tahoma" w:cs="Tahoma"/>
          <w:color w:val="auto"/>
          <w:sz w:val="22"/>
          <w:szCs w:val="22"/>
        </w:rPr>
        <w:t>patients</w:t>
      </w:r>
      <w:r w:rsidR="004E67D3" w:rsidRPr="00EE48DE">
        <w:rPr>
          <w:rFonts w:ascii="Tahoma" w:hAnsi="Tahoma" w:cs="Tahoma"/>
          <w:color w:val="auto"/>
          <w:sz w:val="22"/>
          <w:szCs w:val="22"/>
        </w:rPr>
        <w:t xml:space="preserve"> </w:t>
      </w:r>
    </w:p>
    <w:tbl>
      <w:tblPr>
        <w:tblStyle w:val="TableGrid1"/>
        <w:tblW w:w="9440" w:type="dxa"/>
        <w:tblLayout w:type="fixed"/>
        <w:tblLook w:val="04A0" w:firstRow="1" w:lastRow="0" w:firstColumn="1" w:lastColumn="0" w:noHBand="0" w:noVBand="1"/>
      </w:tblPr>
      <w:tblGrid>
        <w:gridCol w:w="1023"/>
        <w:gridCol w:w="1132"/>
        <w:gridCol w:w="1306"/>
        <w:gridCol w:w="1330"/>
        <w:gridCol w:w="1153"/>
        <w:gridCol w:w="1242"/>
        <w:gridCol w:w="1101"/>
        <w:gridCol w:w="1153"/>
      </w:tblGrid>
      <w:tr w:rsidR="002C1377" w:rsidRPr="00EE48DE" w14:paraId="2D51604F" w14:textId="77777777" w:rsidTr="003A36E0">
        <w:trPr>
          <w:trHeight w:val="387"/>
        </w:trPr>
        <w:tc>
          <w:tcPr>
            <w:tcW w:w="1023" w:type="dxa"/>
          </w:tcPr>
          <w:p w14:paraId="0D1C797B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</w:tcPr>
          <w:p w14:paraId="186D2433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vAlign w:val="bottom"/>
          </w:tcPr>
          <w:p w14:paraId="2E127B11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sz w:val="16"/>
                <w:szCs w:val="16"/>
              </w:rPr>
              <w:t>Secukinumab</w:t>
            </w:r>
          </w:p>
        </w:tc>
        <w:tc>
          <w:tcPr>
            <w:tcW w:w="1330" w:type="dxa"/>
            <w:vAlign w:val="bottom"/>
          </w:tcPr>
          <w:p w14:paraId="1607FA0B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Certolizumab pegol</w:t>
            </w:r>
          </w:p>
        </w:tc>
        <w:tc>
          <w:tcPr>
            <w:tcW w:w="1153" w:type="dxa"/>
            <w:vAlign w:val="bottom"/>
          </w:tcPr>
          <w:p w14:paraId="4B103AAF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Etanercept</w:t>
            </w:r>
          </w:p>
        </w:tc>
        <w:tc>
          <w:tcPr>
            <w:tcW w:w="1242" w:type="dxa"/>
            <w:vAlign w:val="bottom"/>
          </w:tcPr>
          <w:p w14:paraId="48A81860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Adalimumab</w:t>
            </w:r>
          </w:p>
        </w:tc>
        <w:tc>
          <w:tcPr>
            <w:tcW w:w="1101" w:type="dxa"/>
            <w:vAlign w:val="bottom"/>
          </w:tcPr>
          <w:p w14:paraId="73BBFBAE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sz w:val="16"/>
                <w:szCs w:val="16"/>
              </w:rPr>
              <w:t>Infliximab</w:t>
            </w:r>
          </w:p>
        </w:tc>
        <w:tc>
          <w:tcPr>
            <w:tcW w:w="1153" w:type="dxa"/>
            <w:vAlign w:val="bottom"/>
          </w:tcPr>
          <w:p w14:paraId="0DB33621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sz w:val="16"/>
                <w:szCs w:val="16"/>
              </w:rPr>
              <w:t>Golimumab</w:t>
            </w:r>
          </w:p>
        </w:tc>
      </w:tr>
      <w:tr w:rsidR="002C1377" w:rsidRPr="00EE48DE" w14:paraId="67D80A5E" w14:textId="77777777" w:rsidTr="003A36E0">
        <w:trPr>
          <w:trHeight w:val="831"/>
        </w:trPr>
        <w:tc>
          <w:tcPr>
            <w:tcW w:w="1023" w:type="dxa"/>
            <w:vMerge w:val="restart"/>
          </w:tcPr>
          <w:p w14:paraId="25E884ED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Change in BASDAI</w:t>
            </w:r>
          </w:p>
        </w:tc>
        <w:tc>
          <w:tcPr>
            <w:tcW w:w="1132" w:type="dxa"/>
          </w:tcPr>
          <w:p w14:paraId="644043D9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Responders</w:t>
            </w:r>
            <w:r w:rsidRPr="00EE48DE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06" w:type="dxa"/>
            <w:vAlign w:val="bottom"/>
          </w:tcPr>
          <w:p w14:paraId="1077CE2D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-4.60</w:t>
            </w:r>
          </w:p>
        </w:tc>
        <w:tc>
          <w:tcPr>
            <w:tcW w:w="1330" w:type="dxa"/>
            <w:vAlign w:val="bottom"/>
          </w:tcPr>
          <w:p w14:paraId="5F2D4EDD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-5.57</w:t>
            </w:r>
          </w:p>
        </w:tc>
        <w:tc>
          <w:tcPr>
            <w:tcW w:w="1153" w:type="dxa"/>
            <w:vAlign w:val="bottom"/>
          </w:tcPr>
          <w:p w14:paraId="68376F2A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-4.47</w:t>
            </w:r>
          </w:p>
        </w:tc>
        <w:tc>
          <w:tcPr>
            <w:tcW w:w="1242" w:type="dxa"/>
            <w:vAlign w:val="bottom"/>
          </w:tcPr>
          <w:p w14:paraId="31B09A44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-4.56</w:t>
            </w:r>
          </w:p>
        </w:tc>
        <w:tc>
          <w:tcPr>
            <w:tcW w:w="1101" w:type="dxa"/>
            <w:vAlign w:val="bottom"/>
          </w:tcPr>
          <w:p w14:paraId="5F1AEDC8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-7.94</w:t>
            </w:r>
          </w:p>
        </w:tc>
        <w:tc>
          <w:tcPr>
            <w:tcW w:w="1153" w:type="dxa"/>
            <w:vAlign w:val="bottom"/>
          </w:tcPr>
          <w:p w14:paraId="2720EBA6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-5.32</w:t>
            </w:r>
          </w:p>
        </w:tc>
      </w:tr>
      <w:tr w:rsidR="002C1377" w:rsidRPr="00EE48DE" w14:paraId="0C96F7B1" w14:textId="77777777" w:rsidTr="003A36E0">
        <w:trPr>
          <w:trHeight w:val="831"/>
        </w:trPr>
        <w:tc>
          <w:tcPr>
            <w:tcW w:w="1023" w:type="dxa"/>
            <w:vMerge/>
          </w:tcPr>
          <w:p w14:paraId="6612AD7C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</w:tcPr>
          <w:p w14:paraId="7596591E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Non responders</w:t>
            </w:r>
          </w:p>
        </w:tc>
        <w:tc>
          <w:tcPr>
            <w:tcW w:w="1306" w:type="dxa"/>
            <w:vAlign w:val="bottom"/>
          </w:tcPr>
          <w:p w14:paraId="23E5C365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-1.01</w:t>
            </w:r>
          </w:p>
        </w:tc>
        <w:tc>
          <w:tcPr>
            <w:tcW w:w="1330" w:type="dxa"/>
            <w:vAlign w:val="bottom"/>
          </w:tcPr>
          <w:p w14:paraId="4085B7F5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-1.28</w:t>
            </w:r>
          </w:p>
        </w:tc>
        <w:tc>
          <w:tcPr>
            <w:tcW w:w="1153" w:type="dxa"/>
            <w:vAlign w:val="bottom"/>
          </w:tcPr>
          <w:p w14:paraId="64EF09AB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-1.02</w:t>
            </w:r>
          </w:p>
        </w:tc>
        <w:tc>
          <w:tcPr>
            <w:tcW w:w="1242" w:type="dxa"/>
            <w:vAlign w:val="bottom"/>
          </w:tcPr>
          <w:p w14:paraId="4152D2E4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-0.81</w:t>
            </w:r>
          </w:p>
        </w:tc>
        <w:tc>
          <w:tcPr>
            <w:tcW w:w="1101" w:type="dxa"/>
            <w:vAlign w:val="bottom"/>
          </w:tcPr>
          <w:p w14:paraId="217152A4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-1.82</w:t>
            </w:r>
          </w:p>
        </w:tc>
        <w:tc>
          <w:tcPr>
            <w:tcW w:w="1153" w:type="dxa"/>
            <w:vAlign w:val="bottom"/>
          </w:tcPr>
          <w:p w14:paraId="137C20F1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-1.37</w:t>
            </w:r>
          </w:p>
        </w:tc>
      </w:tr>
      <w:tr w:rsidR="002C1377" w:rsidRPr="00EE48DE" w14:paraId="4D94F545" w14:textId="77777777" w:rsidTr="003A36E0">
        <w:trPr>
          <w:trHeight w:val="831"/>
        </w:trPr>
        <w:tc>
          <w:tcPr>
            <w:tcW w:w="1023" w:type="dxa"/>
            <w:vMerge w:val="restart"/>
          </w:tcPr>
          <w:p w14:paraId="16A8EBDD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Change in BASFI</w:t>
            </w:r>
          </w:p>
        </w:tc>
        <w:tc>
          <w:tcPr>
            <w:tcW w:w="1132" w:type="dxa"/>
          </w:tcPr>
          <w:p w14:paraId="696D375A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Responders</w:t>
            </w:r>
          </w:p>
        </w:tc>
        <w:tc>
          <w:tcPr>
            <w:tcW w:w="1306" w:type="dxa"/>
            <w:vAlign w:val="bottom"/>
          </w:tcPr>
          <w:p w14:paraId="1DF16F22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-3.75</w:t>
            </w:r>
          </w:p>
        </w:tc>
        <w:tc>
          <w:tcPr>
            <w:tcW w:w="1330" w:type="dxa"/>
            <w:vAlign w:val="bottom"/>
          </w:tcPr>
          <w:p w14:paraId="5241335B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-3.59</w:t>
            </w:r>
          </w:p>
        </w:tc>
        <w:tc>
          <w:tcPr>
            <w:tcW w:w="1153" w:type="dxa"/>
            <w:vAlign w:val="bottom"/>
          </w:tcPr>
          <w:p w14:paraId="2A5C1941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-3.44</w:t>
            </w:r>
          </w:p>
        </w:tc>
        <w:tc>
          <w:tcPr>
            <w:tcW w:w="1242" w:type="dxa"/>
            <w:vAlign w:val="bottom"/>
          </w:tcPr>
          <w:p w14:paraId="2A419B5F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-3.15</w:t>
            </w:r>
          </w:p>
        </w:tc>
        <w:tc>
          <w:tcPr>
            <w:tcW w:w="1101" w:type="dxa"/>
            <w:vAlign w:val="bottom"/>
          </w:tcPr>
          <w:p w14:paraId="31F24D4D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-3.96</w:t>
            </w:r>
          </w:p>
        </w:tc>
        <w:tc>
          <w:tcPr>
            <w:tcW w:w="1153" w:type="dxa"/>
            <w:vAlign w:val="bottom"/>
          </w:tcPr>
          <w:p w14:paraId="378C48E2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-4.07</w:t>
            </w:r>
          </w:p>
        </w:tc>
      </w:tr>
      <w:tr w:rsidR="002C1377" w:rsidRPr="00EE48DE" w14:paraId="6276E94B" w14:textId="77777777" w:rsidTr="003A36E0">
        <w:trPr>
          <w:trHeight w:val="831"/>
        </w:trPr>
        <w:tc>
          <w:tcPr>
            <w:tcW w:w="1023" w:type="dxa"/>
            <w:vMerge/>
          </w:tcPr>
          <w:p w14:paraId="669235BA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</w:tcPr>
          <w:p w14:paraId="1223FC5C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Non responders</w:t>
            </w:r>
          </w:p>
        </w:tc>
        <w:tc>
          <w:tcPr>
            <w:tcW w:w="1306" w:type="dxa"/>
            <w:vAlign w:val="bottom"/>
          </w:tcPr>
          <w:p w14:paraId="09951C75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-1.17</w:t>
            </w:r>
          </w:p>
        </w:tc>
        <w:tc>
          <w:tcPr>
            <w:tcW w:w="1330" w:type="dxa"/>
            <w:vAlign w:val="bottom"/>
          </w:tcPr>
          <w:p w14:paraId="38716F79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-0.89</w:t>
            </w:r>
          </w:p>
        </w:tc>
        <w:tc>
          <w:tcPr>
            <w:tcW w:w="1153" w:type="dxa"/>
            <w:vAlign w:val="bottom"/>
          </w:tcPr>
          <w:p w14:paraId="72CE4CEC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-0.85</w:t>
            </w:r>
          </w:p>
        </w:tc>
        <w:tc>
          <w:tcPr>
            <w:tcW w:w="1242" w:type="dxa"/>
            <w:vAlign w:val="bottom"/>
          </w:tcPr>
          <w:p w14:paraId="6F69DD03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-0.78</w:t>
            </w:r>
          </w:p>
        </w:tc>
        <w:tc>
          <w:tcPr>
            <w:tcW w:w="1101" w:type="dxa"/>
            <w:vAlign w:val="bottom"/>
          </w:tcPr>
          <w:p w14:paraId="4B50AFDB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-0.98</w:t>
            </w:r>
          </w:p>
        </w:tc>
        <w:tc>
          <w:tcPr>
            <w:tcW w:w="1153" w:type="dxa"/>
            <w:vAlign w:val="bottom"/>
          </w:tcPr>
          <w:p w14:paraId="71773075" w14:textId="77777777" w:rsidR="002C1377" w:rsidRPr="00EE48DE" w:rsidRDefault="002C1377" w:rsidP="00102892">
            <w:pPr>
              <w:keepLines/>
              <w:spacing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sz w:val="16"/>
                <w:szCs w:val="16"/>
              </w:rPr>
              <w:t>-0.71</w:t>
            </w:r>
          </w:p>
        </w:tc>
      </w:tr>
    </w:tbl>
    <w:p w14:paraId="2798B1CF" w14:textId="07F13AC4" w:rsidR="00764ECD" w:rsidRPr="00EE48DE" w:rsidRDefault="004C14D0" w:rsidP="00CC6035">
      <w:pPr>
        <w:pStyle w:val="tabfignote"/>
        <w:spacing w:before="0" w:line="240" w:lineRule="auto"/>
        <w:jc w:val="both"/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 xml:space="preserve">AS: Ankylosing spondylitis; </w:t>
      </w:r>
      <w:r w:rsidR="00CC6035" w:rsidRPr="00EE48DE">
        <w:rPr>
          <w:rFonts w:ascii="Tahoma" w:hAnsi="Tahoma" w:cs="Tahoma"/>
          <w:sz w:val="12"/>
          <w:szCs w:val="12"/>
        </w:rPr>
        <w:t xml:space="preserve">BASDAI = Bath Ankylosing Spondylitis Disease Activity Index; BASFI = Bath Ankylosing Spondylitis Functional Index. </w:t>
      </w:r>
      <w:r w:rsidR="00764ECD" w:rsidRPr="00EE48DE">
        <w:rPr>
          <w:rFonts w:ascii="Tahoma" w:hAnsi="Tahoma" w:cs="Tahoma"/>
          <w:sz w:val="12"/>
          <w:szCs w:val="12"/>
        </w:rPr>
        <w:t xml:space="preserve">*Responders are those that showed BASDAI 50 response </w:t>
      </w:r>
      <w:r w:rsidR="00D51294" w:rsidRPr="00EE48DE">
        <w:rPr>
          <w:rFonts w:ascii="Tahoma" w:eastAsia="Arial" w:hAnsi="Tahoma" w:cs="Tahoma"/>
          <w:sz w:val="12"/>
          <w:szCs w:val="12"/>
        </w:rPr>
        <w:t>at 3 month.</w:t>
      </w:r>
    </w:p>
    <w:p w14:paraId="301D467E" w14:textId="1BECFA8B" w:rsidR="00FA39FC" w:rsidRPr="00EE48DE" w:rsidRDefault="00FA39FC" w:rsidP="00FA39FC">
      <w:pPr>
        <w:pStyle w:val="tabfignote"/>
        <w:spacing w:before="0" w:line="240" w:lineRule="auto"/>
        <w:jc w:val="both"/>
        <w:rPr>
          <w:rFonts w:ascii="Tahoma" w:eastAsia="Arial" w:hAnsi="Tahoma" w:cs="Tahoma"/>
          <w:sz w:val="12"/>
          <w:szCs w:val="12"/>
        </w:rPr>
      </w:pPr>
      <w:r w:rsidRPr="00EE48DE">
        <w:rPr>
          <w:rFonts w:ascii="Tahoma" w:eastAsia="Arial" w:hAnsi="Tahoma" w:cs="Tahoma"/>
          <w:sz w:val="12"/>
          <w:szCs w:val="12"/>
        </w:rPr>
        <w:t>Source: Biologic-naïve change in BASDAI data were not available for SEC and CER P and were assumed equivalent to the average of other biologics in the network meta-analysis. Biologic-naïve change in BASFI data for CER P was not available and were assumed equivalent to the average of other biologics in the network meta-analysis (excluding secukinumab).</w:t>
      </w:r>
    </w:p>
    <w:p w14:paraId="29119EFA" w14:textId="3BC5EAD3" w:rsidR="00CC6035" w:rsidRPr="00EE48DE" w:rsidRDefault="00CC6035" w:rsidP="00CC6035">
      <w:pPr>
        <w:pStyle w:val="tabfignote"/>
        <w:spacing w:before="0" w:line="240" w:lineRule="auto"/>
        <w:jc w:val="both"/>
        <w:rPr>
          <w:rFonts w:ascii="Tahoma" w:hAnsi="Tahoma" w:cs="Tahoma"/>
          <w:sz w:val="20"/>
        </w:rPr>
      </w:pPr>
    </w:p>
    <w:p w14:paraId="235CC2EB" w14:textId="139CA867" w:rsidR="00CC6035" w:rsidRPr="00EE48DE" w:rsidRDefault="00CC6035" w:rsidP="00102892">
      <w:pPr>
        <w:pStyle w:val="Caption"/>
        <w:keepNext/>
        <w:spacing w:after="0"/>
        <w:rPr>
          <w:rFonts w:ascii="Tahoma" w:hAnsi="Tahoma" w:cs="Tahoma"/>
          <w:color w:val="auto"/>
          <w:sz w:val="22"/>
          <w:szCs w:val="22"/>
        </w:rPr>
      </w:pPr>
      <w:r w:rsidRPr="00EE48DE">
        <w:rPr>
          <w:rFonts w:ascii="Tahoma" w:hAnsi="Tahoma" w:cs="Tahoma"/>
          <w:color w:val="auto"/>
          <w:sz w:val="22"/>
          <w:szCs w:val="22"/>
        </w:rPr>
        <w:t xml:space="preserve">Table </w:t>
      </w:r>
      <w:r w:rsidR="00185F6D" w:rsidRPr="00EE48DE">
        <w:rPr>
          <w:rFonts w:ascii="Tahoma" w:hAnsi="Tahoma" w:cs="Tahoma"/>
          <w:color w:val="auto"/>
          <w:sz w:val="22"/>
          <w:szCs w:val="22"/>
        </w:rPr>
        <w:t xml:space="preserve">S5 </w:t>
      </w:r>
      <w:r w:rsidR="001320E6" w:rsidRPr="00EE48DE">
        <w:rPr>
          <w:rFonts w:ascii="Tahoma" w:hAnsi="Tahoma" w:cs="Tahoma"/>
          <w:color w:val="auto"/>
          <w:sz w:val="22"/>
          <w:szCs w:val="22"/>
        </w:rPr>
        <w:t>Long-term c</w:t>
      </w:r>
      <w:r w:rsidRPr="00EE48DE">
        <w:rPr>
          <w:rFonts w:ascii="Tahoma" w:hAnsi="Tahoma" w:cs="Tahoma"/>
          <w:color w:val="auto"/>
          <w:sz w:val="22"/>
          <w:szCs w:val="22"/>
        </w:rPr>
        <w:t>hanges in BASFI</w:t>
      </w:r>
      <w:r w:rsidR="00392302" w:rsidRPr="00EE48DE">
        <w:rPr>
          <w:rFonts w:ascii="Tahoma" w:hAnsi="Tahoma" w:cs="Tahoma"/>
          <w:color w:val="auto"/>
          <w:sz w:val="22"/>
          <w:szCs w:val="22"/>
        </w:rPr>
        <w:t xml:space="preserve"> for </w:t>
      </w:r>
      <w:r w:rsidR="004C14D0" w:rsidRPr="00EE48DE">
        <w:rPr>
          <w:rFonts w:ascii="Tahoma" w:hAnsi="Tahoma" w:cs="Tahoma"/>
          <w:color w:val="auto"/>
          <w:sz w:val="22"/>
          <w:szCs w:val="22"/>
        </w:rPr>
        <w:t>secukinumab and comparators in b</w:t>
      </w:r>
      <w:r w:rsidR="00392302" w:rsidRPr="00EE48DE">
        <w:rPr>
          <w:rFonts w:ascii="Tahoma" w:hAnsi="Tahoma" w:cs="Tahoma"/>
          <w:color w:val="auto"/>
          <w:sz w:val="22"/>
          <w:szCs w:val="22"/>
        </w:rPr>
        <w:t xml:space="preserve">iologic-naïve </w:t>
      </w:r>
      <w:r w:rsidR="004C14D0" w:rsidRPr="00EE48DE">
        <w:rPr>
          <w:rFonts w:ascii="Tahoma" w:hAnsi="Tahoma" w:cs="Tahoma"/>
          <w:color w:val="auto"/>
          <w:sz w:val="22"/>
          <w:szCs w:val="22"/>
        </w:rPr>
        <w:t xml:space="preserve">AS </w:t>
      </w:r>
      <w:r w:rsidR="00392302" w:rsidRPr="00EE48DE">
        <w:rPr>
          <w:rFonts w:ascii="Tahoma" w:hAnsi="Tahoma" w:cs="Tahoma"/>
          <w:color w:val="auto"/>
          <w:sz w:val="22"/>
          <w:szCs w:val="22"/>
        </w:rPr>
        <w:t>patients</w:t>
      </w:r>
    </w:p>
    <w:tbl>
      <w:tblPr>
        <w:tblStyle w:val="TableGrid"/>
        <w:tblW w:w="3584" w:type="pct"/>
        <w:tblLook w:val="0000" w:firstRow="0" w:lastRow="0" w:firstColumn="0" w:lastColumn="0" w:noHBand="0" w:noVBand="0"/>
      </w:tblPr>
      <w:tblGrid>
        <w:gridCol w:w="5789"/>
        <w:gridCol w:w="913"/>
      </w:tblGrid>
      <w:tr w:rsidR="00BA6AD7" w:rsidRPr="00EE48DE" w14:paraId="25913181" w14:textId="77777777" w:rsidTr="00BA6AD7">
        <w:trPr>
          <w:trHeight w:val="87"/>
        </w:trPr>
        <w:tc>
          <w:tcPr>
            <w:tcW w:w="4319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77BB9F" w14:textId="77777777" w:rsidR="00BA6AD7" w:rsidRPr="00EE48DE" w:rsidRDefault="00BA6AD7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8" w:name="_Ref488064695"/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Input </w:t>
            </w: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3659077" w14:textId="77777777" w:rsidR="00BA6AD7" w:rsidRPr="00EE48DE" w:rsidRDefault="00BA6AD7" w:rsidP="000C5A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Mean</w:t>
            </w:r>
          </w:p>
        </w:tc>
      </w:tr>
      <w:tr w:rsidR="00BA6AD7" w:rsidRPr="00EE48DE" w14:paraId="50DCDA43" w14:textId="77777777" w:rsidTr="00BA6AD7">
        <w:trPr>
          <w:trHeight w:val="87"/>
        </w:trPr>
        <w:tc>
          <w:tcPr>
            <w:tcW w:w="4319" w:type="pct"/>
          </w:tcPr>
          <w:p w14:paraId="4E24D9C2" w14:textId="1A294617" w:rsidR="00BA6AD7" w:rsidRPr="00EE48DE" w:rsidRDefault="00BA6AD7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Annual rate of </w:t>
            </w:r>
            <w:proofErr w:type="spellStart"/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mSASSS</w:t>
            </w:r>
            <w:proofErr w:type="spellEnd"/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change for </w:t>
            </w:r>
            <w:proofErr w:type="spellStart"/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mSASSS</w:t>
            </w:r>
            <w:proofErr w:type="spellEnd"/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≥ 10 </w:t>
            </w:r>
            <w:r w:rsidR="00EF7925" w:rsidRPr="00EE48DE">
              <w:rPr>
                <w:rFonts w:ascii="Tahoma" w:hAnsi="Tahoma" w:cs="Tahoma"/>
                <w:sz w:val="16"/>
                <w:szCs w:val="16"/>
              </w:rPr>
              <w:t>for all biologics</w:t>
            </w:r>
          </w:p>
        </w:tc>
        <w:tc>
          <w:tcPr>
            <w:tcW w:w="681" w:type="pct"/>
          </w:tcPr>
          <w:p w14:paraId="76C2D4A5" w14:textId="409435B2" w:rsidR="00BA6AD7" w:rsidRPr="00EE48DE" w:rsidRDefault="00BA6AD7" w:rsidP="00FA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1.440</w:t>
            </w:r>
            <w:r w:rsidR="00FA39FC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  <w:lang w:val="fr-FR"/>
              </w:rPr>
              <w:t>8</w:t>
            </w:r>
          </w:p>
        </w:tc>
      </w:tr>
      <w:tr w:rsidR="00BA6AD7" w:rsidRPr="00EE48DE" w14:paraId="07E86102" w14:textId="77777777" w:rsidTr="00BA6AD7">
        <w:trPr>
          <w:trHeight w:val="87"/>
        </w:trPr>
        <w:tc>
          <w:tcPr>
            <w:tcW w:w="4319" w:type="pct"/>
          </w:tcPr>
          <w:p w14:paraId="43AE1E7F" w14:textId="77777777" w:rsidR="00BA6AD7" w:rsidRPr="00EE48DE" w:rsidRDefault="00BA6AD7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BASFI change associated with 1 unit change in </w:t>
            </w:r>
            <w:proofErr w:type="spellStart"/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mSASSS</w:t>
            </w:r>
            <w:proofErr w:type="spellEnd"/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</w:tcPr>
          <w:p w14:paraId="09D4C608" w14:textId="0E450ABF" w:rsidR="00BA6AD7" w:rsidRPr="00EE48DE" w:rsidRDefault="00BA6AD7" w:rsidP="00FA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0.057</w:t>
            </w:r>
            <w:r w:rsidR="00FA39FC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  <w:lang w:val="fr-FR"/>
              </w:rPr>
              <w:t>8</w:t>
            </w:r>
          </w:p>
        </w:tc>
      </w:tr>
      <w:tr w:rsidR="00BA6AD7" w:rsidRPr="00EE48DE" w14:paraId="20DF0B84" w14:textId="77777777" w:rsidTr="00BA6AD7">
        <w:trPr>
          <w:trHeight w:val="87"/>
        </w:trPr>
        <w:tc>
          <w:tcPr>
            <w:tcW w:w="4319" w:type="pct"/>
          </w:tcPr>
          <w:p w14:paraId="78DE4E35" w14:textId="4602E731" w:rsidR="00BA6AD7" w:rsidRPr="00EE48DE" w:rsidRDefault="00BA6AD7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Biologic treatment effect on </w:t>
            </w:r>
            <w:proofErr w:type="spellStart"/>
            <w:r w:rsidR="00EF7925" w:rsidRPr="00EE48DE">
              <w:rPr>
                <w:rFonts w:ascii="Tahoma" w:hAnsi="Tahoma" w:cs="Tahoma"/>
                <w:sz w:val="16"/>
                <w:szCs w:val="16"/>
              </w:rPr>
              <w:t>mSASSS</w:t>
            </w:r>
            <w:proofErr w:type="spellEnd"/>
            <w:r w:rsidR="00EF7925" w:rsidRPr="00EE48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progression for comparators</w:t>
            </w:r>
          </w:p>
        </w:tc>
        <w:tc>
          <w:tcPr>
            <w:tcW w:w="681" w:type="pct"/>
          </w:tcPr>
          <w:p w14:paraId="036B4836" w14:textId="4B061A98" w:rsidR="00BA6AD7" w:rsidRPr="00EE48DE" w:rsidRDefault="00BA6AD7" w:rsidP="00FA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0.420</w:t>
            </w:r>
            <w:r w:rsidR="00FA39FC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  <w:lang w:val="fr-FR"/>
              </w:rPr>
              <w:t>8</w:t>
            </w:r>
          </w:p>
        </w:tc>
      </w:tr>
      <w:tr w:rsidR="00BA6AD7" w:rsidRPr="00EE48DE" w14:paraId="1E5AD733" w14:textId="77777777" w:rsidTr="00BA6AD7">
        <w:trPr>
          <w:trHeight w:val="87"/>
        </w:trPr>
        <w:tc>
          <w:tcPr>
            <w:tcW w:w="4319" w:type="pct"/>
          </w:tcPr>
          <w:p w14:paraId="27C994CE" w14:textId="2FD7D6B3" w:rsidR="00BA6AD7" w:rsidRPr="00EE48DE" w:rsidRDefault="00BA6AD7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Biologic treatment effect on </w:t>
            </w:r>
            <w:proofErr w:type="spellStart"/>
            <w:r w:rsidR="00EF7925" w:rsidRPr="00EE48DE">
              <w:rPr>
                <w:rFonts w:ascii="Tahoma" w:hAnsi="Tahoma" w:cs="Tahoma"/>
                <w:sz w:val="16"/>
                <w:szCs w:val="16"/>
              </w:rPr>
              <w:t>mSASSS</w:t>
            </w:r>
            <w:proofErr w:type="spellEnd"/>
            <w:r w:rsidR="00EF7925" w:rsidRPr="00EE48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progression for secukinumab </w:t>
            </w:r>
            <w:r w:rsidRPr="00EE48DE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81" w:type="pct"/>
          </w:tcPr>
          <w:p w14:paraId="7B5E721B" w14:textId="0C08B00D" w:rsidR="00BA6AD7" w:rsidRPr="00EE48DE" w:rsidRDefault="00BA6AD7" w:rsidP="00FA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0.153</w:t>
            </w:r>
            <w:r w:rsidR="00FA39FC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9</w:t>
            </w:r>
          </w:p>
        </w:tc>
      </w:tr>
      <w:tr w:rsidR="00BA6AD7" w:rsidRPr="00EE48DE" w14:paraId="5EBA16EF" w14:textId="77777777" w:rsidTr="00BA6AD7">
        <w:trPr>
          <w:trHeight w:val="87"/>
        </w:trPr>
        <w:tc>
          <w:tcPr>
            <w:tcW w:w="4319" w:type="pct"/>
            <w:tcBorders>
              <w:bottom w:val="single" w:sz="12" w:space="0" w:color="auto"/>
            </w:tcBorders>
          </w:tcPr>
          <w:p w14:paraId="1DFE8656" w14:textId="77777777" w:rsidR="00BA6AD7" w:rsidRPr="00EE48DE" w:rsidRDefault="00BA6AD7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Time to treatment effect (years) </w:t>
            </w:r>
          </w:p>
        </w:tc>
        <w:tc>
          <w:tcPr>
            <w:tcW w:w="681" w:type="pct"/>
            <w:tcBorders>
              <w:bottom w:val="single" w:sz="12" w:space="0" w:color="auto"/>
            </w:tcBorders>
          </w:tcPr>
          <w:p w14:paraId="48745DAB" w14:textId="360AFE0D" w:rsidR="00BA6AD7" w:rsidRPr="00EE48DE" w:rsidRDefault="00BA6AD7" w:rsidP="000C5A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</w:t>
            </w:r>
            <w:r w:rsidRPr="00EE48DE">
              <w:rPr>
                <w:rFonts w:ascii="Tahoma" w:hAnsi="Tahoma" w:cs="Tahoma"/>
                <w:sz w:val="16"/>
                <w:szCs w:val="16"/>
                <w:vertAlign w:val="superscript"/>
              </w:rPr>
              <w:t>b</w:t>
            </w:r>
          </w:p>
        </w:tc>
      </w:tr>
    </w:tbl>
    <w:p w14:paraId="68A52D53" w14:textId="3CA6B244" w:rsidR="00CC6035" w:rsidRPr="00EE48DE" w:rsidRDefault="004C14D0" w:rsidP="00CC6035">
      <w:pPr>
        <w:pStyle w:val="Caption"/>
        <w:keepNext/>
        <w:spacing w:after="0"/>
        <w:rPr>
          <w:rFonts w:ascii="Tahoma" w:hAnsi="Tahoma" w:cs="Tahoma"/>
          <w:b w:val="0"/>
          <w:color w:val="auto"/>
          <w:sz w:val="12"/>
          <w:szCs w:val="12"/>
        </w:rPr>
      </w:pPr>
      <w:r w:rsidRPr="00EE48DE">
        <w:rPr>
          <w:rFonts w:ascii="Tahoma" w:hAnsi="Tahoma" w:cs="Tahoma"/>
          <w:b w:val="0"/>
          <w:color w:val="auto"/>
          <w:sz w:val="12"/>
          <w:szCs w:val="12"/>
        </w:rPr>
        <w:t xml:space="preserve">AS: Ankylosing spondylitis; </w:t>
      </w:r>
      <w:r w:rsidR="00CC6035" w:rsidRPr="00EE48DE">
        <w:rPr>
          <w:rFonts w:ascii="Tahoma" w:hAnsi="Tahoma" w:cs="Tahoma"/>
          <w:b w:val="0"/>
          <w:color w:val="auto"/>
          <w:sz w:val="12"/>
          <w:szCs w:val="12"/>
        </w:rPr>
        <w:t xml:space="preserve">BASFI = Bath Ankylosing Spondylitis Functional Index; </w:t>
      </w:r>
      <w:proofErr w:type="spellStart"/>
      <w:r w:rsidR="00CC6035" w:rsidRPr="00EE48DE">
        <w:rPr>
          <w:rFonts w:ascii="Tahoma" w:hAnsi="Tahoma" w:cs="Tahoma"/>
          <w:b w:val="0"/>
          <w:color w:val="auto"/>
          <w:sz w:val="12"/>
          <w:szCs w:val="12"/>
        </w:rPr>
        <w:t>mSASSS</w:t>
      </w:r>
      <w:proofErr w:type="spellEnd"/>
      <w:r w:rsidR="00CC6035" w:rsidRPr="00EE48DE">
        <w:rPr>
          <w:rFonts w:ascii="Tahoma" w:hAnsi="Tahoma" w:cs="Tahoma"/>
          <w:b w:val="0"/>
          <w:color w:val="auto"/>
          <w:sz w:val="12"/>
          <w:szCs w:val="12"/>
        </w:rPr>
        <w:t xml:space="preserve"> = modified Stoke Ankylosing Spondylitis Spine Score.</w:t>
      </w:r>
    </w:p>
    <w:p w14:paraId="596C1572" w14:textId="6CB92BB9" w:rsidR="00CC6035" w:rsidRPr="00EE48DE" w:rsidRDefault="00CC6035" w:rsidP="00BA6AD7">
      <w:pPr>
        <w:pStyle w:val="Caption"/>
        <w:keepNext/>
        <w:spacing w:after="0"/>
        <w:rPr>
          <w:rFonts w:ascii="Tahoma" w:hAnsi="Tahoma" w:cs="Tahoma"/>
          <w:b w:val="0"/>
          <w:color w:val="auto"/>
          <w:sz w:val="12"/>
          <w:szCs w:val="12"/>
        </w:rPr>
      </w:pPr>
      <w:proofErr w:type="spellStart"/>
      <w:r w:rsidRPr="00EE48DE">
        <w:rPr>
          <w:rFonts w:ascii="Tahoma" w:hAnsi="Tahoma" w:cs="Tahoma"/>
          <w:b w:val="0"/>
          <w:color w:val="auto"/>
          <w:sz w:val="12"/>
          <w:szCs w:val="12"/>
        </w:rPr>
        <w:t>a</w:t>
      </w:r>
      <w:proofErr w:type="spellEnd"/>
      <w:r w:rsidRPr="00EE48DE">
        <w:rPr>
          <w:rFonts w:ascii="Tahoma" w:hAnsi="Tahoma" w:cs="Tahoma"/>
          <w:b w:val="0"/>
          <w:color w:val="auto"/>
          <w:sz w:val="12"/>
          <w:szCs w:val="12"/>
        </w:rPr>
        <w:t xml:space="preserve"> Th</w:t>
      </w:r>
      <w:r w:rsidR="005B5367" w:rsidRPr="00EE48DE">
        <w:rPr>
          <w:rFonts w:ascii="Tahoma" w:hAnsi="Tahoma" w:cs="Tahoma"/>
          <w:b w:val="0"/>
          <w:color w:val="auto"/>
          <w:sz w:val="12"/>
          <w:szCs w:val="12"/>
        </w:rPr>
        <w:t xml:space="preserve">is figure was calculated using </w:t>
      </w:r>
      <w:r w:rsidRPr="00EE48DE">
        <w:rPr>
          <w:rFonts w:ascii="Tahoma" w:hAnsi="Tahoma" w:cs="Tahoma"/>
          <w:b w:val="0"/>
          <w:color w:val="auto"/>
          <w:sz w:val="12"/>
          <w:szCs w:val="12"/>
        </w:rPr>
        <w:t>the overall background progression rate of 0.98 units/year from</w:t>
      </w:r>
      <w:r w:rsidR="004E67D3" w:rsidRPr="00EE48DE">
        <w:rPr>
          <w:rFonts w:ascii="Tahoma" w:hAnsi="Tahoma" w:cs="Tahoma"/>
          <w:b w:val="0"/>
          <w:color w:val="auto"/>
          <w:sz w:val="12"/>
          <w:szCs w:val="12"/>
        </w:rPr>
        <w:t xml:space="preserve"> Ramiro,2013</w:t>
      </w:r>
      <w:r w:rsidRPr="00EE48DE">
        <w:rPr>
          <w:rFonts w:ascii="Tahoma" w:hAnsi="Tahoma" w:cs="Tahoma"/>
          <w:b w:val="0"/>
          <w:color w:val="auto"/>
          <w:sz w:val="12"/>
          <w:szCs w:val="12"/>
        </w:rPr>
        <w:t xml:space="preserve"> </w:t>
      </w:r>
      <w:r w:rsidR="004E67D3" w:rsidRPr="00EE48DE">
        <w:rPr>
          <w:rFonts w:ascii="Tahoma" w:hAnsi="Tahoma" w:cs="Tahoma"/>
          <w:b w:val="0"/>
          <w:color w:val="auto"/>
          <w:sz w:val="12"/>
          <w:szCs w:val="12"/>
        </w:rPr>
        <w:t>study</w:t>
      </w:r>
      <w:r w:rsidR="00FA39FC" w:rsidRPr="00EE48DE">
        <w:rPr>
          <w:rFonts w:ascii="Tahoma" w:hAnsi="Tahoma" w:cs="Tahoma"/>
          <w:b w:val="0"/>
          <w:noProof/>
          <w:color w:val="auto"/>
          <w:sz w:val="12"/>
          <w:szCs w:val="12"/>
          <w:vertAlign w:val="superscript"/>
        </w:rPr>
        <w:t>9</w:t>
      </w:r>
      <w:r w:rsidRPr="00EE48DE">
        <w:rPr>
          <w:rFonts w:ascii="Tahoma" w:hAnsi="Tahoma" w:cs="Tahoma"/>
          <w:b w:val="0"/>
          <w:color w:val="auto"/>
          <w:sz w:val="12"/>
          <w:szCs w:val="12"/>
        </w:rPr>
        <w:t xml:space="preserve"> and MEASURE 1 week 104 </w:t>
      </w:r>
      <w:proofErr w:type="spellStart"/>
      <w:r w:rsidRPr="00EE48DE">
        <w:rPr>
          <w:rFonts w:ascii="Tahoma" w:hAnsi="Tahoma" w:cs="Tahoma"/>
          <w:b w:val="0"/>
          <w:color w:val="auto"/>
          <w:sz w:val="12"/>
          <w:szCs w:val="12"/>
        </w:rPr>
        <w:t>mSASSS</w:t>
      </w:r>
      <w:proofErr w:type="spellEnd"/>
      <w:r w:rsidRPr="00EE48DE">
        <w:rPr>
          <w:rFonts w:ascii="Tahoma" w:hAnsi="Tahoma" w:cs="Tahoma"/>
          <w:b w:val="0"/>
          <w:color w:val="auto"/>
          <w:sz w:val="12"/>
          <w:szCs w:val="12"/>
        </w:rPr>
        <w:t xml:space="preserve"> progression figure of 0.3.</w:t>
      </w:r>
      <w:r w:rsidR="009525E9" w:rsidRPr="00EE48DE">
        <w:rPr>
          <w:rFonts w:ascii="Tahoma" w:hAnsi="Tahoma" w:cs="Tahoma"/>
          <w:b w:val="0"/>
          <w:noProof/>
          <w:color w:val="auto"/>
          <w:sz w:val="12"/>
          <w:szCs w:val="12"/>
          <w:vertAlign w:val="superscript"/>
        </w:rPr>
        <w:t>8</w:t>
      </w:r>
    </w:p>
    <w:p w14:paraId="14D51E34" w14:textId="795622F1" w:rsidR="00BA6AD7" w:rsidRPr="00EE48DE" w:rsidRDefault="00BA6AD7" w:rsidP="00BA6AD7">
      <w:pPr>
        <w:pStyle w:val="Caption"/>
        <w:keepNext/>
        <w:rPr>
          <w:rFonts w:ascii="Tahoma" w:hAnsi="Tahoma" w:cs="Tahoma"/>
          <w:b w:val="0"/>
          <w:color w:val="auto"/>
          <w:sz w:val="16"/>
          <w:szCs w:val="16"/>
        </w:rPr>
      </w:pPr>
      <w:proofErr w:type="gramStart"/>
      <w:r w:rsidRPr="00EE48DE">
        <w:rPr>
          <w:rFonts w:ascii="Tahoma" w:hAnsi="Tahoma" w:cs="Tahoma"/>
          <w:b w:val="0"/>
          <w:color w:val="auto"/>
          <w:sz w:val="12"/>
          <w:szCs w:val="12"/>
        </w:rPr>
        <w:t>b</w:t>
      </w:r>
      <w:proofErr w:type="gramEnd"/>
      <w:r w:rsidRPr="00EE48DE">
        <w:rPr>
          <w:rFonts w:ascii="Tahoma" w:hAnsi="Tahoma" w:cs="Tahoma"/>
          <w:b w:val="0"/>
          <w:color w:val="auto"/>
          <w:sz w:val="12"/>
          <w:szCs w:val="12"/>
        </w:rPr>
        <w:t xml:space="preserve"> Based on </w:t>
      </w:r>
      <w:r w:rsidR="00566E00" w:rsidRPr="00EE48DE">
        <w:rPr>
          <w:rFonts w:ascii="Tahoma" w:hAnsi="Tahoma" w:cs="Tahoma"/>
          <w:b w:val="0"/>
          <w:color w:val="auto"/>
          <w:sz w:val="12"/>
          <w:szCs w:val="12"/>
        </w:rPr>
        <w:t>input from clinical expert</w:t>
      </w:r>
      <w:r w:rsidRPr="00EE48DE">
        <w:rPr>
          <w:rFonts w:ascii="Tahoma" w:hAnsi="Tahoma" w:cs="Tahoma"/>
          <w:b w:val="0"/>
          <w:color w:val="auto"/>
          <w:sz w:val="16"/>
          <w:szCs w:val="16"/>
        </w:rPr>
        <w:t>.</w:t>
      </w:r>
    </w:p>
    <w:p w14:paraId="07FD2084" w14:textId="77777777" w:rsidR="00BA6AD7" w:rsidRPr="00EE48DE" w:rsidRDefault="00BA6AD7" w:rsidP="00BA6AD7">
      <w:pPr>
        <w:rPr>
          <w:rFonts w:ascii="Tahoma" w:hAnsi="Tahoma" w:cs="Tahoma"/>
        </w:rPr>
      </w:pPr>
    </w:p>
    <w:p w14:paraId="5FC187BC" w14:textId="0FC00497" w:rsidR="009E3101" w:rsidRPr="00EE48DE" w:rsidRDefault="009E3101" w:rsidP="009E3101">
      <w:pPr>
        <w:pStyle w:val="Caption"/>
        <w:keepNext/>
        <w:spacing w:after="0"/>
        <w:rPr>
          <w:rFonts w:ascii="Tahoma" w:hAnsi="Tahoma" w:cs="Tahoma"/>
          <w:color w:val="auto"/>
          <w:sz w:val="22"/>
          <w:szCs w:val="22"/>
        </w:rPr>
      </w:pPr>
      <w:r w:rsidRPr="00EE48DE">
        <w:rPr>
          <w:rFonts w:ascii="Tahoma" w:hAnsi="Tahoma" w:cs="Tahoma"/>
          <w:color w:val="auto"/>
          <w:sz w:val="22"/>
          <w:szCs w:val="22"/>
        </w:rPr>
        <w:t xml:space="preserve">Table </w:t>
      </w:r>
      <w:bookmarkEnd w:id="8"/>
      <w:r w:rsidR="00185F6D" w:rsidRPr="00EE48DE">
        <w:rPr>
          <w:rFonts w:ascii="Tahoma" w:hAnsi="Tahoma" w:cs="Tahoma"/>
          <w:color w:val="auto"/>
          <w:sz w:val="22"/>
          <w:szCs w:val="22"/>
        </w:rPr>
        <w:t xml:space="preserve">S6 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>Annual treatment specific b</w:t>
      </w:r>
      <w:r w:rsidRPr="00EE48DE">
        <w:rPr>
          <w:rFonts w:ascii="Tahoma" w:hAnsi="Tahoma" w:cs="Tahoma"/>
          <w:color w:val="auto"/>
          <w:sz w:val="22"/>
          <w:szCs w:val="22"/>
        </w:rPr>
        <w:t>iologic withdrawal rates</w:t>
      </w:r>
    </w:p>
    <w:tbl>
      <w:tblPr>
        <w:tblStyle w:val="TableGrid"/>
        <w:tblW w:w="7273" w:type="dxa"/>
        <w:tblLook w:val="04A0" w:firstRow="1" w:lastRow="0" w:firstColumn="1" w:lastColumn="0" w:noHBand="0" w:noVBand="1"/>
      </w:tblPr>
      <w:tblGrid>
        <w:gridCol w:w="2490"/>
        <w:gridCol w:w="2029"/>
        <w:gridCol w:w="1360"/>
        <w:gridCol w:w="1394"/>
      </w:tblGrid>
      <w:tr w:rsidR="004E67D3" w:rsidRPr="00EE48DE" w14:paraId="1C2A909D" w14:textId="008F4A2E" w:rsidTr="009470E5">
        <w:trPr>
          <w:trHeight w:val="443"/>
        </w:trPr>
        <w:tc>
          <w:tcPr>
            <w:tcW w:w="2490" w:type="dxa"/>
          </w:tcPr>
          <w:p w14:paraId="2BFE5026" w14:textId="77777777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Administration</w:t>
            </w:r>
          </w:p>
        </w:tc>
        <w:tc>
          <w:tcPr>
            <w:tcW w:w="2029" w:type="dxa"/>
            <w:noWrap/>
            <w:hideMark/>
          </w:tcPr>
          <w:p w14:paraId="56558D68" w14:textId="77777777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Drug</w:t>
            </w:r>
          </w:p>
        </w:tc>
        <w:tc>
          <w:tcPr>
            <w:tcW w:w="1360" w:type="dxa"/>
            <w:noWrap/>
            <w:hideMark/>
          </w:tcPr>
          <w:p w14:paraId="2B1EB330" w14:textId="5A492069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Year 1</w:t>
            </w:r>
          </w:p>
        </w:tc>
        <w:tc>
          <w:tcPr>
            <w:tcW w:w="1394" w:type="dxa"/>
            <w:hideMark/>
          </w:tcPr>
          <w:p w14:paraId="53CCFB33" w14:textId="6B25796B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Year 2+</w:t>
            </w:r>
          </w:p>
        </w:tc>
      </w:tr>
      <w:tr w:rsidR="004E67D3" w:rsidRPr="00EE48DE" w14:paraId="0ED02FE2" w14:textId="4BE4FE17" w:rsidTr="009470E5">
        <w:trPr>
          <w:trHeight w:val="288"/>
        </w:trPr>
        <w:tc>
          <w:tcPr>
            <w:tcW w:w="2490" w:type="dxa"/>
            <w:vMerge w:val="restart"/>
          </w:tcPr>
          <w:p w14:paraId="27FA8DE2" w14:textId="77777777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Subcutaneous</w:t>
            </w:r>
          </w:p>
        </w:tc>
        <w:tc>
          <w:tcPr>
            <w:tcW w:w="2029" w:type="dxa"/>
            <w:noWrap/>
            <w:hideMark/>
          </w:tcPr>
          <w:p w14:paraId="5221EF71" w14:textId="6076B0F2" w:rsidR="004E67D3" w:rsidRPr="00EE48DE" w:rsidRDefault="004E67D3" w:rsidP="009F5A18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Secukinumab</w:t>
            </w:r>
          </w:p>
        </w:tc>
        <w:tc>
          <w:tcPr>
            <w:tcW w:w="1360" w:type="dxa"/>
            <w:noWrap/>
            <w:hideMark/>
          </w:tcPr>
          <w:p w14:paraId="7AEBA1CE" w14:textId="496F34F4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15.3%</w:t>
            </w:r>
          </w:p>
        </w:tc>
        <w:tc>
          <w:tcPr>
            <w:tcW w:w="1394" w:type="dxa"/>
            <w:noWrap/>
            <w:hideMark/>
          </w:tcPr>
          <w:p w14:paraId="3CAB6149" w14:textId="4F7975EB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1.6%</w:t>
            </w:r>
          </w:p>
        </w:tc>
      </w:tr>
      <w:tr w:rsidR="004E67D3" w:rsidRPr="00EE48DE" w14:paraId="1B653EAA" w14:textId="048F1ED2" w:rsidTr="009470E5">
        <w:trPr>
          <w:trHeight w:val="288"/>
        </w:trPr>
        <w:tc>
          <w:tcPr>
            <w:tcW w:w="2490" w:type="dxa"/>
            <w:vMerge/>
          </w:tcPr>
          <w:p w14:paraId="65C64A0D" w14:textId="77777777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29" w:type="dxa"/>
            <w:noWrap/>
          </w:tcPr>
          <w:p w14:paraId="0313AFC4" w14:textId="6A0CE3BF" w:rsidR="004E67D3" w:rsidRPr="00EE48DE" w:rsidRDefault="004E67D3" w:rsidP="003F4A8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Adalimumab</w:t>
            </w:r>
            <w:r w:rsidR="003F4A85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10, 11</w:t>
            </w:r>
          </w:p>
        </w:tc>
        <w:tc>
          <w:tcPr>
            <w:tcW w:w="1360" w:type="dxa"/>
            <w:noWrap/>
          </w:tcPr>
          <w:p w14:paraId="254A99EB" w14:textId="25DA1350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13.0%</w:t>
            </w:r>
          </w:p>
        </w:tc>
        <w:tc>
          <w:tcPr>
            <w:tcW w:w="1394" w:type="dxa"/>
            <w:noWrap/>
          </w:tcPr>
          <w:p w14:paraId="39FF8A31" w14:textId="3A239C42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9.3%</w:t>
            </w:r>
          </w:p>
        </w:tc>
      </w:tr>
      <w:tr w:rsidR="004E67D3" w:rsidRPr="00EE48DE" w14:paraId="184497B4" w14:textId="278124DC" w:rsidTr="009470E5">
        <w:trPr>
          <w:trHeight w:val="288"/>
        </w:trPr>
        <w:tc>
          <w:tcPr>
            <w:tcW w:w="2490" w:type="dxa"/>
            <w:vMerge/>
          </w:tcPr>
          <w:p w14:paraId="63C9ACE5" w14:textId="77777777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29" w:type="dxa"/>
            <w:noWrap/>
            <w:hideMark/>
          </w:tcPr>
          <w:p w14:paraId="4AFAB2BD" w14:textId="4FE59743" w:rsidR="004E67D3" w:rsidRPr="00EE48DE" w:rsidRDefault="004E67D3" w:rsidP="003F4A8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Certolizumab pegol</w:t>
            </w:r>
            <w:r w:rsidR="003F4A85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360" w:type="dxa"/>
            <w:noWrap/>
            <w:hideMark/>
          </w:tcPr>
          <w:p w14:paraId="0EA7D35B" w14:textId="105365CF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12.6%</w:t>
            </w:r>
          </w:p>
        </w:tc>
        <w:tc>
          <w:tcPr>
            <w:tcW w:w="1394" w:type="dxa"/>
            <w:noWrap/>
            <w:hideMark/>
          </w:tcPr>
          <w:p w14:paraId="5764039A" w14:textId="4F4DDAE4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11.0%</w:t>
            </w:r>
          </w:p>
        </w:tc>
      </w:tr>
      <w:tr w:rsidR="004E67D3" w:rsidRPr="00EE48DE" w14:paraId="6D3FDCDD" w14:textId="7E97D4FA" w:rsidTr="009470E5">
        <w:trPr>
          <w:trHeight w:val="288"/>
        </w:trPr>
        <w:tc>
          <w:tcPr>
            <w:tcW w:w="2490" w:type="dxa"/>
            <w:vMerge/>
          </w:tcPr>
          <w:p w14:paraId="1A7C8F70" w14:textId="77777777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29" w:type="dxa"/>
            <w:noWrap/>
            <w:hideMark/>
          </w:tcPr>
          <w:p w14:paraId="37978215" w14:textId="2CE8A3F6" w:rsidR="004E67D3" w:rsidRPr="00EE48DE" w:rsidRDefault="004E67D3" w:rsidP="003F4A8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Etanercept</w:t>
            </w:r>
            <w:r w:rsidR="003F4A85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13</w:t>
            </w:r>
            <w:r w:rsidR="009470E5"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  <w:vertAlign w:val="superscript"/>
              </w:rPr>
              <w:t>,</w:t>
            </w:r>
            <w:r w:rsidR="003F4A85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4A663F46" w14:textId="5EEDB5C2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25.1%</w:t>
            </w:r>
          </w:p>
        </w:tc>
        <w:tc>
          <w:tcPr>
            <w:tcW w:w="1394" w:type="dxa"/>
            <w:noWrap/>
            <w:hideMark/>
          </w:tcPr>
          <w:p w14:paraId="4F964848" w14:textId="04C8790D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25.1%</w:t>
            </w:r>
          </w:p>
        </w:tc>
      </w:tr>
      <w:tr w:rsidR="004E67D3" w:rsidRPr="00EE48DE" w14:paraId="69045E31" w14:textId="229CB8D7" w:rsidTr="009470E5">
        <w:trPr>
          <w:trHeight w:val="288"/>
        </w:trPr>
        <w:tc>
          <w:tcPr>
            <w:tcW w:w="2490" w:type="dxa"/>
            <w:vMerge/>
          </w:tcPr>
          <w:p w14:paraId="10DCB4F7" w14:textId="77777777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29" w:type="dxa"/>
            <w:noWrap/>
          </w:tcPr>
          <w:p w14:paraId="7E172013" w14:textId="5F9AB740" w:rsidR="004E67D3" w:rsidRPr="00EE48DE" w:rsidRDefault="004E67D3" w:rsidP="003F4A8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Golimumab</w:t>
            </w:r>
            <w:r w:rsidR="003F4A85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360" w:type="dxa"/>
            <w:noWrap/>
          </w:tcPr>
          <w:p w14:paraId="58366985" w14:textId="2113BA03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15.1%</w:t>
            </w:r>
          </w:p>
        </w:tc>
        <w:tc>
          <w:tcPr>
            <w:tcW w:w="1394" w:type="dxa"/>
            <w:noWrap/>
          </w:tcPr>
          <w:p w14:paraId="3A7AED75" w14:textId="240F563A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6.2%</w:t>
            </w:r>
          </w:p>
        </w:tc>
      </w:tr>
      <w:tr w:rsidR="004E67D3" w:rsidRPr="00EE48DE" w14:paraId="0CB8EC45" w14:textId="52EF669D" w:rsidTr="009470E5">
        <w:trPr>
          <w:trHeight w:val="288"/>
        </w:trPr>
        <w:tc>
          <w:tcPr>
            <w:tcW w:w="2490" w:type="dxa"/>
          </w:tcPr>
          <w:p w14:paraId="679E61D4" w14:textId="77777777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auto"/>
                <w:sz w:val="16"/>
                <w:szCs w:val="16"/>
              </w:rPr>
              <w:t>Intravenous</w:t>
            </w:r>
          </w:p>
        </w:tc>
        <w:tc>
          <w:tcPr>
            <w:tcW w:w="2029" w:type="dxa"/>
            <w:noWrap/>
            <w:hideMark/>
          </w:tcPr>
          <w:p w14:paraId="421BEEA9" w14:textId="53C04EA5" w:rsidR="004E67D3" w:rsidRPr="00EE48DE" w:rsidRDefault="004E67D3" w:rsidP="003F4A8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Infliximab</w:t>
            </w:r>
            <w:r w:rsidR="003F4A85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  <w:lang w:val="de-DE"/>
              </w:rPr>
              <w:t>11</w:t>
            </w:r>
            <w:r w:rsidR="009470E5"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  <w:vertAlign w:val="superscript"/>
                <w:lang w:val="de-DE"/>
              </w:rPr>
              <w:t>,</w:t>
            </w:r>
            <w:r w:rsidR="003F4A85" w:rsidRPr="00EE48DE">
              <w:rPr>
                <w:rFonts w:ascii="Tahoma" w:hAnsi="Tahoma" w:cs="Tahoma"/>
                <w:b w:val="0"/>
                <w:noProof/>
                <w:color w:val="auto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1360" w:type="dxa"/>
            <w:noWrap/>
            <w:hideMark/>
          </w:tcPr>
          <w:p w14:paraId="449FB1C5" w14:textId="309B6854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2.1%</w:t>
            </w:r>
          </w:p>
        </w:tc>
        <w:tc>
          <w:tcPr>
            <w:tcW w:w="1394" w:type="dxa"/>
            <w:noWrap/>
            <w:hideMark/>
          </w:tcPr>
          <w:p w14:paraId="3D73AD61" w14:textId="241F04B1" w:rsidR="004E67D3" w:rsidRPr="00EE48DE" w:rsidRDefault="004E67D3" w:rsidP="00ED5275">
            <w:pPr>
              <w:pStyle w:val="Caption"/>
              <w:keepNext/>
              <w:spacing w:after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EE48DE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15.7%</w:t>
            </w:r>
          </w:p>
        </w:tc>
      </w:tr>
    </w:tbl>
    <w:p w14:paraId="7FA590E7" w14:textId="1265EAC2" w:rsidR="00D86B66" w:rsidRPr="00EE48DE" w:rsidRDefault="00FA39FC" w:rsidP="00AA7B36">
      <w:pPr>
        <w:pStyle w:val="Caption"/>
        <w:keepNext/>
        <w:spacing w:after="0"/>
        <w:rPr>
          <w:rFonts w:ascii="Tahoma" w:eastAsia="Times New Roman" w:hAnsi="Tahoma" w:cs="Tahoma"/>
          <w:b w:val="0"/>
          <w:bCs w:val="0"/>
          <w:color w:val="auto"/>
          <w:sz w:val="12"/>
          <w:szCs w:val="12"/>
        </w:rPr>
      </w:pPr>
      <w:r w:rsidRPr="00EE48DE">
        <w:rPr>
          <w:rFonts w:ascii="Tahoma" w:eastAsia="Times New Roman" w:hAnsi="Tahoma" w:cs="Tahoma"/>
          <w:b w:val="0"/>
          <w:bCs w:val="0"/>
          <w:color w:val="auto"/>
          <w:sz w:val="12"/>
          <w:szCs w:val="12"/>
        </w:rPr>
        <w:t xml:space="preserve">Source: Secukinumab from MEASURE 1 and MEASURE 2 </w:t>
      </w:r>
      <w:r w:rsidR="003F4A85" w:rsidRPr="00EE48DE">
        <w:rPr>
          <w:rFonts w:ascii="Tahoma" w:eastAsia="Times New Roman" w:hAnsi="Tahoma" w:cs="Tahoma"/>
          <w:b w:val="0"/>
          <w:bCs w:val="0"/>
          <w:color w:val="auto"/>
          <w:sz w:val="12"/>
          <w:szCs w:val="12"/>
        </w:rPr>
        <w:t>c</w:t>
      </w:r>
      <w:r w:rsidRPr="00EE48DE">
        <w:rPr>
          <w:rFonts w:ascii="Tahoma" w:eastAsia="Times New Roman" w:hAnsi="Tahoma" w:cs="Tahoma"/>
          <w:b w:val="0"/>
          <w:bCs w:val="0"/>
          <w:color w:val="auto"/>
          <w:sz w:val="12"/>
          <w:szCs w:val="12"/>
        </w:rPr>
        <w:t xml:space="preserve">linical </w:t>
      </w:r>
      <w:r w:rsidR="003F4A85" w:rsidRPr="00EE48DE">
        <w:rPr>
          <w:rFonts w:ascii="Tahoma" w:eastAsia="Times New Roman" w:hAnsi="Tahoma" w:cs="Tahoma"/>
          <w:b w:val="0"/>
          <w:bCs w:val="0"/>
          <w:color w:val="auto"/>
          <w:sz w:val="12"/>
          <w:szCs w:val="12"/>
        </w:rPr>
        <w:t>s</w:t>
      </w:r>
      <w:r w:rsidRPr="00EE48DE">
        <w:rPr>
          <w:rFonts w:ascii="Tahoma" w:eastAsia="Times New Roman" w:hAnsi="Tahoma" w:cs="Tahoma"/>
          <w:b w:val="0"/>
          <w:bCs w:val="0"/>
          <w:color w:val="auto"/>
          <w:sz w:val="12"/>
          <w:szCs w:val="12"/>
        </w:rPr>
        <w:t xml:space="preserve">tudy </w:t>
      </w:r>
      <w:r w:rsidR="003F4A85" w:rsidRPr="00EE48DE">
        <w:rPr>
          <w:rFonts w:ascii="Tahoma" w:eastAsia="Times New Roman" w:hAnsi="Tahoma" w:cs="Tahoma"/>
          <w:b w:val="0"/>
          <w:bCs w:val="0"/>
          <w:color w:val="auto"/>
          <w:sz w:val="12"/>
          <w:szCs w:val="12"/>
        </w:rPr>
        <w:t>r</w:t>
      </w:r>
      <w:r w:rsidRPr="00EE48DE">
        <w:rPr>
          <w:rFonts w:ascii="Tahoma" w:eastAsia="Times New Roman" w:hAnsi="Tahoma" w:cs="Tahoma"/>
          <w:b w:val="0"/>
          <w:bCs w:val="0"/>
          <w:color w:val="auto"/>
          <w:sz w:val="12"/>
          <w:szCs w:val="12"/>
        </w:rPr>
        <w:t>eport (data not published)</w:t>
      </w:r>
      <w:r w:rsidR="004C14D0" w:rsidRPr="00EE48DE">
        <w:rPr>
          <w:rFonts w:ascii="Tahoma" w:eastAsia="Times New Roman" w:hAnsi="Tahoma" w:cs="Tahoma"/>
          <w:b w:val="0"/>
          <w:bCs w:val="0"/>
          <w:color w:val="auto"/>
          <w:sz w:val="12"/>
          <w:szCs w:val="12"/>
        </w:rPr>
        <w:t xml:space="preserve"> </w:t>
      </w:r>
    </w:p>
    <w:p w14:paraId="065456B7" w14:textId="77777777" w:rsidR="00EF7925" w:rsidRPr="00EE48DE" w:rsidRDefault="00EF7925" w:rsidP="00CC6B36">
      <w:pPr>
        <w:pStyle w:val="Caption"/>
        <w:keepNext/>
        <w:spacing w:after="0"/>
        <w:rPr>
          <w:rFonts w:ascii="Tahoma" w:hAnsi="Tahoma" w:cs="Tahoma"/>
          <w:color w:val="auto"/>
          <w:sz w:val="24"/>
          <w:szCs w:val="24"/>
        </w:rPr>
      </w:pPr>
    </w:p>
    <w:p w14:paraId="6C8F5B1B" w14:textId="77777777" w:rsidR="00EF7925" w:rsidRPr="00EE48DE" w:rsidRDefault="00EF7925" w:rsidP="00CC6B36">
      <w:pPr>
        <w:pStyle w:val="Caption"/>
        <w:keepNext/>
        <w:spacing w:after="0"/>
        <w:rPr>
          <w:rFonts w:ascii="Tahoma" w:hAnsi="Tahoma" w:cs="Tahoma"/>
          <w:color w:val="auto"/>
          <w:sz w:val="24"/>
          <w:szCs w:val="24"/>
        </w:rPr>
      </w:pPr>
    </w:p>
    <w:p w14:paraId="52A71697" w14:textId="77777777" w:rsidR="00EF7925" w:rsidRPr="00EE48DE" w:rsidRDefault="00EF7925" w:rsidP="00CC6B36">
      <w:pPr>
        <w:pStyle w:val="Caption"/>
        <w:keepNext/>
        <w:spacing w:after="0"/>
        <w:rPr>
          <w:rFonts w:ascii="Tahoma" w:hAnsi="Tahoma" w:cs="Tahoma"/>
          <w:color w:val="auto"/>
          <w:sz w:val="24"/>
          <w:szCs w:val="24"/>
        </w:rPr>
      </w:pPr>
    </w:p>
    <w:p w14:paraId="1122CF4A" w14:textId="0AFC3C84" w:rsidR="00CC6B36" w:rsidRPr="00EE48DE" w:rsidRDefault="00CC6B36" w:rsidP="00CC6B36">
      <w:pPr>
        <w:pStyle w:val="Caption"/>
        <w:keepNext/>
        <w:spacing w:after="0"/>
        <w:rPr>
          <w:rFonts w:ascii="Tahoma" w:hAnsi="Tahoma" w:cs="Tahoma"/>
          <w:color w:val="auto"/>
          <w:sz w:val="22"/>
          <w:szCs w:val="22"/>
        </w:rPr>
      </w:pPr>
      <w:r w:rsidRPr="00EE48DE">
        <w:rPr>
          <w:rFonts w:ascii="Tahoma" w:hAnsi="Tahoma" w:cs="Tahoma"/>
          <w:color w:val="auto"/>
          <w:sz w:val="22"/>
          <w:szCs w:val="22"/>
        </w:rPr>
        <w:t xml:space="preserve">Table </w:t>
      </w:r>
      <w:r w:rsidR="00185F6D" w:rsidRPr="00EE48DE">
        <w:rPr>
          <w:rFonts w:ascii="Tahoma" w:hAnsi="Tahoma" w:cs="Tahoma"/>
          <w:color w:val="auto"/>
          <w:sz w:val="22"/>
          <w:szCs w:val="22"/>
        </w:rPr>
        <w:t xml:space="preserve">S7 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>Outpatient m</w:t>
      </w:r>
      <w:r w:rsidRPr="00EE48DE">
        <w:rPr>
          <w:rFonts w:ascii="Tahoma" w:hAnsi="Tahoma" w:cs="Tahoma"/>
          <w:color w:val="auto"/>
          <w:sz w:val="22"/>
          <w:szCs w:val="22"/>
        </w:rPr>
        <w:t xml:space="preserve">edical </w:t>
      </w:r>
      <w:r w:rsidR="001320E6" w:rsidRPr="00EE48DE">
        <w:rPr>
          <w:rFonts w:ascii="Tahoma" w:hAnsi="Tahoma" w:cs="Tahoma"/>
          <w:color w:val="auto"/>
          <w:sz w:val="22"/>
          <w:szCs w:val="22"/>
        </w:rPr>
        <w:t>s</w:t>
      </w:r>
      <w:r w:rsidRPr="00EE48DE">
        <w:rPr>
          <w:rFonts w:ascii="Tahoma" w:hAnsi="Tahoma" w:cs="Tahoma"/>
          <w:color w:val="auto"/>
          <w:sz w:val="22"/>
          <w:szCs w:val="22"/>
        </w:rPr>
        <w:t xml:space="preserve">upport </w:t>
      </w:r>
      <w:r w:rsidR="001320E6" w:rsidRPr="00EE48DE">
        <w:rPr>
          <w:rFonts w:ascii="Tahoma" w:hAnsi="Tahoma" w:cs="Tahoma"/>
          <w:color w:val="auto"/>
          <w:sz w:val="22"/>
          <w:szCs w:val="22"/>
        </w:rPr>
        <w:t>c</w:t>
      </w:r>
      <w:r w:rsidRPr="00EE48DE">
        <w:rPr>
          <w:rFonts w:ascii="Tahoma" w:hAnsi="Tahoma" w:cs="Tahoma"/>
          <w:color w:val="auto"/>
          <w:sz w:val="22"/>
          <w:szCs w:val="22"/>
        </w:rPr>
        <w:t>osts</w:t>
      </w:r>
      <w:r w:rsidR="004C14D0" w:rsidRPr="00EE48DE">
        <w:rPr>
          <w:rFonts w:ascii="Tahoma" w:hAnsi="Tahoma" w:cs="Tahoma"/>
          <w:color w:val="auto"/>
          <w:sz w:val="22"/>
          <w:szCs w:val="22"/>
        </w:rPr>
        <w:t xml:space="preserve"> for all biologics</w:t>
      </w:r>
    </w:p>
    <w:tbl>
      <w:tblPr>
        <w:tblStyle w:val="TableGrid3"/>
        <w:tblW w:w="566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1530"/>
        <w:gridCol w:w="990"/>
      </w:tblGrid>
      <w:tr w:rsidR="006110C5" w:rsidRPr="00EE48DE" w14:paraId="7028682C" w14:textId="77777777" w:rsidTr="00343910">
        <w:trPr>
          <w:trHeight w:val="87"/>
        </w:trPr>
        <w:tc>
          <w:tcPr>
            <w:tcW w:w="3145" w:type="dxa"/>
            <w:shd w:val="clear" w:color="auto" w:fill="D9D9D9"/>
          </w:tcPr>
          <w:p w14:paraId="35CEB274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="Arial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b/>
                <w:bCs/>
                <w:sz w:val="16"/>
                <w:szCs w:val="16"/>
              </w:rPr>
              <w:t xml:space="preserve">Input </w:t>
            </w:r>
          </w:p>
        </w:tc>
        <w:tc>
          <w:tcPr>
            <w:tcW w:w="1530" w:type="dxa"/>
            <w:shd w:val="clear" w:color="auto" w:fill="D9D9D9"/>
          </w:tcPr>
          <w:p w14:paraId="55A0E288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Arial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990" w:type="dxa"/>
            <w:shd w:val="clear" w:color="auto" w:fill="D9D9D9"/>
          </w:tcPr>
          <w:p w14:paraId="181F65CF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Arial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b/>
                <w:bCs/>
                <w:sz w:val="16"/>
                <w:szCs w:val="16"/>
              </w:rPr>
              <w:t>Unit</w:t>
            </w:r>
          </w:p>
        </w:tc>
      </w:tr>
      <w:tr w:rsidR="006110C5" w:rsidRPr="00EE48DE" w14:paraId="6D232468" w14:textId="77777777" w:rsidTr="00343910">
        <w:trPr>
          <w:trHeight w:val="207"/>
        </w:trPr>
        <w:tc>
          <w:tcPr>
            <w:tcW w:w="3145" w:type="dxa"/>
          </w:tcPr>
          <w:p w14:paraId="2514C686" w14:textId="625D3EEF" w:rsidR="006110C5" w:rsidRPr="00EE48DE" w:rsidRDefault="006110C5" w:rsidP="003F4A85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Specialist visit</w:t>
            </w:r>
            <w:r w:rsidR="003F4A85" w:rsidRPr="00EE48DE">
              <w:rPr>
                <w:rFonts w:ascii="Tahoma" w:eastAsia="Arial" w:hAnsi="Tahoma" w:cs="Tahoma"/>
                <w:noProof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530" w:type="dxa"/>
            <w:vAlign w:val="bottom"/>
          </w:tcPr>
          <w:p w14:paraId="2910D76D" w14:textId="1B35353C" w:rsidR="006110C5" w:rsidRPr="00EE48DE" w:rsidRDefault="006110C5" w:rsidP="00CC6B36">
            <w:pPr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CAD 22.56</w:t>
            </w:r>
          </w:p>
        </w:tc>
        <w:tc>
          <w:tcPr>
            <w:tcW w:w="990" w:type="dxa"/>
          </w:tcPr>
          <w:p w14:paraId="062534C9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Per visit</w:t>
            </w:r>
          </w:p>
        </w:tc>
      </w:tr>
      <w:tr w:rsidR="006110C5" w:rsidRPr="00EE48DE" w14:paraId="1D3E521E" w14:textId="77777777" w:rsidTr="00343910">
        <w:trPr>
          <w:trHeight w:val="207"/>
        </w:trPr>
        <w:tc>
          <w:tcPr>
            <w:tcW w:w="3145" w:type="dxa"/>
          </w:tcPr>
          <w:p w14:paraId="3D3D76AD" w14:textId="1255A33B" w:rsidR="006110C5" w:rsidRPr="00EE48DE" w:rsidRDefault="006110C5" w:rsidP="003F4A85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lastRenderedPageBreak/>
              <w:t>Full blood count</w:t>
            </w:r>
            <w:r w:rsidR="003F4A85" w:rsidRPr="00EE48DE">
              <w:rPr>
                <w:rFonts w:ascii="Tahoma" w:eastAsia="Arial" w:hAnsi="Tahoma" w:cs="Tahoma"/>
                <w:noProof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530" w:type="dxa"/>
            <w:vAlign w:val="bottom"/>
          </w:tcPr>
          <w:p w14:paraId="79FEAA4E" w14:textId="6347F604" w:rsidR="006110C5" w:rsidRPr="00EE48DE" w:rsidRDefault="006110C5" w:rsidP="00CC6B36">
            <w:pPr>
              <w:spacing w:line="240" w:lineRule="auto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CAD 9.26</w:t>
            </w:r>
          </w:p>
        </w:tc>
        <w:tc>
          <w:tcPr>
            <w:tcW w:w="990" w:type="dxa"/>
          </w:tcPr>
          <w:p w14:paraId="39D85BE9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Per test</w:t>
            </w:r>
          </w:p>
        </w:tc>
      </w:tr>
      <w:tr w:rsidR="006110C5" w:rsidRPr="00EE48DE" w14:paraId="0E2DBDE3" w14:textId="77777777" w:rsidTr="00343910">
        <w:trPr>
          <w:trHeight w:val="220"/>
        </w:trPr>
        <w:tc>
          <w:tcPr>
            <w:tcW w:w="3145" w:type="dxa"/>
          </w:tcPr>
          <w:p w14:paraId="7AE114F3" w14:textId="3FF3D5CD" w:rsidR="006110C5" w:rsidRPr="00EE48DE" w:rsidRDefault="006110C5" w:rsidP="003F4A85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Erythrocyte sedimentation rate</w:t>
            </w:r>
            <w:r w:rsidR="003F4A85" w:rsidRPr="00EE48DE">
              <w:rPr>
                <w:rFonts w:ascii="Tahoma" w:eastAsia="Arial" w:hAnsi="Tahoma" w:cs="Tahoma"/>
                <w:noProof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1530" w:type="dxa"/>
            <w:vAlign w:val="bottom"/>
          </w:tcPr>
          <w:p w14:paraId="27ED9621" w14:textId="5AB5F2A2" w:rsidR="006110C5" w:rsidRPr="00EE48DE" w:rsidRDefault="006110C5" w:rsidP="00CC6B36">
            <w:pPr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CAD 10.93</w:t>
            </w:r>
          </w:p>
        </w:tc>
        <w:tc>
          <w:tcPr>
            <w:tcW w:w="990" w:type="dxa"/>
          </w:tcPr>
          <w:p w14:paraId="60A54089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Per test</w:t>
            </w:r>
          </w:p>
        </w:tc>
      </w:tr>
      <w:tr w:rsidR="006110C5" w:rsidRPr="00EE48DE" w14:paraId="4BAFE555" w14:textId="77777777" w:rsidTr="00343910">
        <w:trPr>
          <w:trHeight w:val="207"/>
        </w:trPr>
        <w:tc>
          <w:tcPr>
            <w:tcW w:w="3145" w:type="dxa"/>
          </w:tcPr>
          <w:p w14:paraId="0BDA739A" w14:textId="75503A4F" w:rsidR="006110C5" w:rsidRPr="00EE48DE" w:rsidRDefault="006110C5" w:rsidP="003F4A85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Liver function test</w:t>
            </w:r>
            <w:r w:rsidR="003F4A85" w:rsidRPr="00EE48DE">
              <w:rPr>
                <w:rFonts w:ascii="Tahoma" w:eastAsia="Arial" w:hAnsi="Tahoma" w:cs="Tahoma"/>
                <w:noProof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530" w:type="dxa"/>
            <w:vAlign w:val="bottom"/>
          </w:tcPr>
          <w:p w14:paraId="56918F05" w14:textId="112A225F" w:rsidR="006110C5" w:rsidRPr="00EE48DE" w:rsidRDefault="006110C5" w:rsidP="00CC6B36">
            <w:pPr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CAD 14.63</w:t>
            </w:r>
          </w:p>
        </w:tc>
        <w:tc>
          <w:tcPr>
            <w:tcW w:w="990" w:type="dxa"/>
          </w:tcPr>
          <w:p w14:paraId="292895E0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Per test</w:t>
            </w:r>
          </w:p>
        </w:tc>
      </w:tr>
      <w:tr w:rsidR="006110C5" w:rsidRPr="00EE48DE" w14:paraId="0A33A4BB" w14:textId="77777777" w:rsidTr="00343910">
        <w:trPr>
          <w:trHeight w:val="207"/>
        </w:trPr>
        <w:tc>
          <w:tcPr>
            <w:tcW w:w="3145" w:type="dxa"/>
          </w:tcPr>
          <w:p w14:paraId="35FDC3D3" w14:textId="2A136345" w:rsidR="006110C5" w:rsidRPr="00EE48DE" w:rsidRDefault="006110C5" w:rsidP="003F4A85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Urea and electrolytes</w:t>
            </w:r>
            <w:r w:rsidR="003F4A85" w:rsidRPr="00EE48DE">
              <w:rPr>
                <w:rFonts w:ascii="Tahoma" w:eastAsia="Arial" w:hAnsi="Tahoma" w:cs="Tahoma"/>
                <w:noProof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530" w:type="dxa"/>
            <w:vAlign w:val="bottom"/>
          </w:tcPr>
          <w:p w14:paraId="634E363D" w14:textId="1875511C" w:rsidR="006110C5" w:rsidRPr="00EE48DE" w:rsidRDefault="006110C5" w:rsidP="00CC6B36">
            <w:pPr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CAD 6.00</w:t>
            </w:r>
          </w:p>
        </w:tc>
        <w:tc>
          <w:tcPr>
            <w:tcW w:w="990" w:type="dxa"/>
          </w:tcPr>
          <w:p w14:paraId="4A83B207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Per test</w:t>
            </w:r>
          </w:p>
        </w:tc>
      </w:tr>
      <w:tr w:rsidR="006110C5" w:rsidRPr="00EE48DE" w14:paraId="3626FAB1" w14:textId="77777777" w:rsidTr="00343910">
        <w:trPr>
          <w:trHeight w:val="206"/>
        </w:trPr>
        <w:tc>
          <w:tcPr>
            <w:tcW w:w="3145" w:type="dxa"/>
          </w:tcPr>
          <w:p w14:paraId="7A436336" w14:textId="7D6E4354" w:rsidR="006110C5" w:rsidRPr="00EE48DE" w:rsidRDefault="006110C5" w:rsidP="003F4A85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Chest radiograph</w:t>
            </w:r>
            <w:r w:rsidR="003F4A85" w:rsidRPr="00EE48DE">
              <w:rPr>
                <w:rFonts w:ascii="Tahoma" w:eastAsia="Arial" w:hAnsi="Tahoma" w:cs="Tahoma"/>
                <w:noProof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  <w:vAlign w:val="bottom"/>
          </w:tcPr>
          <w:p w14:paraId="06420130" w14:textId="67B5544B" w:rsidR="006110C5" w:rsidRPr="00EE48DE" w:rsidRDefault="006110C5" w:rsidP="00CC6B36">
            <w:pPr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CAD 40.11</w:t>
            </w:r>
          </w:p>
        </w:tc>
        <w:tc>
          <w:tcPr>
            <w:tcW w:w="990" w:type="dxa"/>
          </w:tcPr>
          <w:p w14:paraId="2D343793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Per test</w:t>
            </w:r>
          </w:p>
        </w:tc>
      </w:tr>
      <w:tr w:rsidR="006110C5" w:rsidRPr="00EE48DE" w14:paraId="281D9437" w14:textId="77777777" w:rsidTr="00343910">
        <w:trPr>
          <w:trHeight w:val="229"/>
        </w:trPr>
        <w:tc>
          <w:tcPr>
            <w:tcW w:w="3145" w:type="dxa"/>
          </w:tcPr>
          <w:p w14:paraId="106C1931" w14:textId="4E598BD6" w:rsidR="006110C5" w:rsidRPr="00EE48DE" w:rsidRDefault="006110C5" w:rsidP="003F4A85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 xml:space="preserve">Tuberculosis </w:t>
            </w:r>
            <w:proofErr w:type="spellStart"/>
            <w:r w:rsidRPr="00EE48DE">
              <w:rPr>
                <w:rFonts w:ascii="Tahoma" w:eastAsia="Arial" w:hAnsi="Tahoma" w:cs="Tahoma"/>
                <w:sz w:val="16"/>
                <w:szCs w:val="16"/>
              </w:rPr>
              <w:t>Heaf</w:t>
            </w:r>
            <w:proofErr w:type="spellEnd"/>
            <w:r w:rsidRPr="00EE48DE">
              <w:rPr>
                <w:rFonts w:ascii="Tahoma" w:eastAsia="Arial" w:hAnsi="Tahoma" w:cs="Tahoma"/>
                <w:sz w:val="16"/>
                <w:szCs w:val="16"/>
              </w:rPr>
              <w:t xml:space="preserve"> test </w:t>
            </w:r>
            <w:r w:rsidR="003F4A85" w:rsidRPr="00EE48DE">
              <w:rPr>
                <w:rFonts w:ascii="Tahoma" w:eastAsia="Arial" w:hAnsi="Tahoma" w:cs="Tahoma"/>
                <w:noProof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1530" w:type="dxa"/>
            <w:vAlign w:val="bottom"/>
          </w:tcPr>
          <w:p w14:paraId="1E0F2BD1" w14:textId="326FB922" w:rsidR="006110C5" w:rsidRPr="00EE48DE" w:rsidRDefault="006110C5" w:rsidP="00CC6B36">
            <w:pPr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CAD 16.44</w:t>
            </w:r>
          </w:p>
        </w:tc>
        <w:tc>
          <w:tcPr>
            <w:tcW w:w="990" w:type="dxa"/>
          </w:tcPr>
          <w:p w14:paraId="4710C18C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Per test</w:t>
            </w:r>
          </w:p>
        </w:tc>
      </w:tr>
      <w:tr w:rsidR="006110C5" w:rsidRPr="00EE48DE" w14:paraId="125B35F2" w14:textId="77777777" w:rsidTr="00343910">
        <w:trPr>
          <w:trHeight w:val="206"/>
        </w:trPr>
        <w:tc>
          <w:tcPr>
            <w:tcW w:w="3145" w:type="dxa"/>
          </w:tcPr>
          <w:p w14:paraId="11CBC87E" w14:textId="52D3C51B" w:rsidR="006110C5" w:rsidRPr="00EE48DE" w:rsidRDefault="006110C5" w:rsidP="003F4A85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Antinuclear antibodies</w:t>
            </w:r>
            <w:r w:rsidR="003F4A85" w:rsidRPr="00EE48DE">
              <w:rPr>
                <w:rFonts w:ascii="Tahoma" w:eastAsia="Arial" w:hAnsi="Tahoma" w:cs="Tahoma"/>
                <w:noProof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1530" w:type="dxa"/>
            <w:vAlign w:val="bottom"/>
          </w:tcPr>
          <w:p w14:paraId="51D73A54" w14:textId="031E18CF" w:rsidR="006110C5" w:rsidRPr="00EE48DE" w:rsidRDefault="006110C5" w:rsidP="00CC6B36">
            <w:pPr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CAD 24.53</w:t>
            </w:r>
          </w:p>
        </w:tc>
        <w:tc>
          <w:tcPr>
            <w:tcW w:w="990" w:type="dxa"/>
          </w:tcPr>
          <w:p w14:paraId="48E576F7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Per test</w:t>
            </w:r>
          </w:p>
        </w:tc>
      </w:tr>
      <w:tr w:rsidR="006110C5" w:rsidRPr="00EE48DE" w14:paraId="572F478F" w14:textId="77777777" w:rsidTr="00343910">
        <w:trPr>
          <w:trHeight w:val="207"/>
        </w:trPr>
        <w:tc>
          <w:tcPr>
            <w:tcW w:w="3145" w:type="dxa"/>
          </w:tcPr>
          <w:p w14:paraId="5031408E" w14:textId="510822DD" w:rsidR="006110C5" w:rsidRPr="00EE48DE" w:rsidRDefault="006110C5" w:rsidP="003F4A85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DNA test</w:t>
            </w:r>
            <w:r w:rsidR="003F4A85" w:rsidRPr="00EE48DE">
              <w:rPr>
                <w:rFonts w:ascii="Tahoma" w:eastAsia="Arial" w:hAnsi="Tahoma" w:cs="Tahoma"/>
                <w:noProof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1530" w:type="dxa"/>
            <w:vAlign w:val="bottom"/>
          </w:tcPr>
          <w:p w14:paraId="0C8677E8" w14:textId="34AA6D4E" w:rsidR="006110C5" w:rsidRPr="00EE48DE" w:rsidRDefault="006110C5" w:rsidP="00CC6B36">
            <w:pPr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CAD 20.83</w:t>
            </w:r>
          </w:p>
        </w:tc>
        <w:tc>
          <w:tcPr>
            <w:tcW w:w="990" w:type="dxa"/>
          </w:tcPr>
          <w:p w14:paraId="1DB2BD79" w14:textId="77777777" w:rsidR="006110C5" w:rsidRPr="00EE48DE" w:rsidRDefault="006110C5" w:rsidP="00CC6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EE48DE">
              <w:rPr>
                <w:rFonts w:ascii="Tahoma" w:eastAsia="Arial" w:hAnsi="Tahoma" w:cs="Tahoma"/>
                <w:sz w:val="16"/>
                <w:szCs w:val="16"/>
              </w:rPr>
              <w:t>Per test</w:t>
            </w:r>
          </w:p>
        </w:tc>
      </w:tr>
    </w:tbl>
    <w:p w14:paraId="3CA23605" w14:textId="6FF5386E" w:rsidR="00CC6B36" w:rsidRPr="00EE48DE" w:rsidRDefault="00CC6B36" w:rsidP="00CC6B36">
      <w:pPr>
        <w:rPr>
          <w:rFonts w:ascii="Tahoma" w:hAnsi="Tahoma" w:cs="Tahoma"/>
          <w:sz w:val="12"/>
          <w:szCs w:val="12"/>
          <w:highlight w:val="yellow"/>
        </w:rPr>
      </w:pPr>
      <w:r w:rsidRPr="00EE48DE">
        <w:rPr>
          <w:rFonts w:ascii="Tahoma" w:hAnsi="Tahoma" w:cs="Tahoma"/>
          <w:sz w:val="12"/>
          <w:szCs w:val="12"/>
        </w:rPr>
        <w:t>DNA = deoxyribonucleic acid;</w:t>
      </w:r>
      <w:r w:rsidR="00532E3D" w:rsidRPr="00EE48DE">
        <w:rPr>
          <w:rFonts w:ascii="Tahoma" w:hAnsi="Tahoma" w:cs="Tahoma"/>
          <w:sz w:val="12"/>
          <w:szCs w:val="12"/>
        </w:rPr>
        <w:t xml:space="preserve"> CAD=Canadian Dollar</w:t>
      </w:r>
    </w:p>
    <w:p w14:paraId="7EE01D9B" w14:textId="77777777" w:rsidR="00210B9F" w:rsidRPr="00EE48DE" w:rsidRDefault="00210B9F" w:rsidP="00CC6B36">
      <w:pPr>
        <w:pStyle w:val="Caption"/>
        <w:keepNext/>
        <w:rPr>
          <w:rFonts w:ascii="Tahoma" w:hAnsi="Tahoma" w:cs="Tahoma"/>
          <w:color w:val="auto"/>
          <w:sz w:val="24"/>
          <w:szCs w:val="24"/>
        </w:rPr>
      </w:pPr>
    </w:p>
    <w:p w14:paraId="0C42C16A" w14:textId="77777777" w:rsidR="00210B9F" w:rsidRPr="00EE48DE" w:rsidRDefault="00210B9F">
      <w:pPr>
        <w:spacing w:after="200" w:line="276" w:lineRule="auto"/>
        <w:rPr>
          <w:rFonts w:ascii="Tahoma" w:eastAsiaTheme="minorHAnsi" w:hAnsi="Tahoma" w:cs="Tahoma"/>
          <w:b/>
          <w:bCs/>
          <w:szCs w:val="24"/>
        </w:rPr>
      </w:pPr>
      <w:r w:rsidRPr="00EE48DE">
        <w:rPr>
          <w:rFonts w:ascii="Tahoma" w:hAnsi="Tahoma" w:cs="Tahoma"/>
          <w:szCs w:val="24"/>
        </w:rPr>
        <w:br w:type="page"/>
      </w:r>
    </w:p>
    <w:p w14:paraId="446699CC" w14:textId="76DCB619" w:rsidR="00CC6B36" w:rsidRPr="00EE48DE" w:rsidRDefault="00CC6B36" w:rsidP="001320E6">
      <w:pPr>
        <w:pStyle w:val="Caption"/>
        <w:keepNext/>
        <w:spacing w:after="0"/>
        <w:rPr>
          <w:rFonts w:ascii="Tahoma" w:hAnsi="Tahoma" w:cs="Tahoma"/>
          <w:color w:val="auto"/>
          <w:sz w:val="22"/>
          <w:szCs w:val="22"/>
        </w:rPr>
      </w:pPr>
      <w:r w:rsidRPr="00EE48DE">
        <w:rPr>
          <w:rFonts w:ascii="Tahoma" w:hAnsi="Tahoma" w:cs="Tahoma"/>
          <w:color w:val="auto"/>
          <w:sz w:val="22"/>
          <w:szCs w:val="22"/>
        </w:rPr>
        <w:lastRenderedPageBreak/>
        <w:t xml:space="preserve">Table </w:t>
      </w:r>
      <w:r w:rsidR="00185F6D" w:rsidRPr="00EE48DE">
        <w:rPr>
          <w:rFonts w:ascii="Tahoma" w:hAnsi="Tahoma" w:cs="Tahoma"/>
          <w:color w:val="auto"/>
          <w:sz w:val="22"/>
          <w:szCs w:val="22"/>
        </w:rPr>
        <w:t xml:space="preserve">S8 </w:t>
      </w:r>
      <w:r w:rsidRPr="00EE48DE">
        <w:rPr>
          <w:rFonts w:ascii="Tahoma" w:hAnsi="Tahoma" w:cs="Tahoma"/>
          <w:color w:val="auto"/>
          <w:sz w:val="22"/>
          <w:szCs w:val="22"/>
        </w:rPr>
        <w:t>Adverse event rates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 xml:space="preserve"> over a 3-month period</w:t>
      </w:r>
    </w:p>
    <w:tbl>
      <w:tblPr>
        <w:tblStyle w:val="TableGrid"/>
        <w:tblW w:w="4487" w:type="pct"/>
        <w:tblLook w:val="0000" w:firstRow="0" w:lastRow="0" w:firstColumn="0" w:lastColumn="0" w:noHBand="0" w:noVBand="0"/>
      </w:tblPr>
      <w:tblGrid>
        <w:gridCol w:w="1629"/>
        <w:gridCol w:w="3682"/>
        <w:gridCol w:w="1764"/>
        <w:gridCol w:w="1316"/>
      </w:tblGrid>
      <w:tr w:rsidR="009470E5" w:rsidRPr="00EE48DE" w14:paraId="62F283F2" w14:textId="289F5F03" w:rsidTr="009470E5">
        <w:trPr>
          <w:trHeight w:val="88"/>
        </w:trPr>
        <w:tc>
          <w:tcPr>
            <w:tcW w:w="971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E67E2AF" w14:textId="1CC05558" w:rsidR="006110C5" w:rsidRPr="00EE48DE" w:rsidRDefault="006110C5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Administration</w:t>
            </w:r>
          </w:p>
        </w:tc>
        <w:tc>
          <w:tcPr>
            <w:tcW w:w="2194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DD548FB" w14:textId="2EAA82C7" w:rsidR="006110C5" w:rsidRPr="00EE48DE" w:rsidRDefault="006110C5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Drug </w:t>
            </w:r>
          </w:p>
        </w:tc>
        <w:tc>
          <w:tcPr>
            <w:tcW w:w="1051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5DA4F2" w14:textId="77777777" w:rsidR="006110C5" w:rsidRPr="00EE48DE" w:rsidRDefault="006110C5" w:rsidP="000C5A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Serious Infection</w:t>
            </w:r>
          </w:p>
        </w:tc>
        <w:tc>
          <w:tcPr>
            <w:tcW w:w="784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58D90A3" w14:textId="77777777" w:rsidR="006110C5" w:rsidRPr="00EE48DE" w:rsidRDefault="006110C5" w:rsidP="000C5A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Malignancy</w:t>
            </w:r>
          </w:p>
        </w:tc>
      </w:tr>
      <w:tr w:rsidR="006110C5" w:rsidRPr="00EE48DE" w14:paraId="21B1BC09" w14:textId="5691DAA4" w:rsidTr="009470E5">
        <w:trPr>
          <w:trHeight w:val="88"/>
        </w:trPr>
        <w:tc>
          <w:tcPr>
            <w:tcW w:w="971" w:type="pct"/>
            <w:vMerge w:val="restart"/>
          </w:tcPr>
          <w:p w14:paraId="37065099" w14:textId="1996D1B6" w:rsidR="006110C5" w:rsidRPr="00EE48DE" w:rsidRDefault="006110C5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Subcutaneous</w:t>
            </w:r>
          </w:p>
        </w:tc>
        <w:tc>
          <w:tcPr>
            <w:tcW w:w="2194" w:type="pct"/>
          </w:tcPr>
          <w:p w14:paraId="0CBCC6BD" w14:textId="4B6A06B0" w:rsidR="006110C5" w:rsidRPr="00EE48DE" w:rsidRDefault="00532E3D" w:rsidP="00FA39F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Secukinumab</w:t>
            </w:r>
            <w:r w:rsidRPr="00EE48DE" w:rsidDel="00532E3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110C5"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(MEASURE 1 &amp; </w:t>
            </w:r>
            <w:r w:rsidR="006110C5" w:rsidRPr="00EE48DE" w:rsidDel="00200594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9470E5"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trial</w:t>
            </w:r>
            <w:r w:rsidR="006110C5" w:rsidRPr="00EE48DE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51" w:type="pct"/>
          </w:tcPr>
          <w:p w14:paraId="412102BF" w14:textId="77777777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0.16%</w:t>
            </w:r>
          </w:p>
        </w:tc>
        <w:tc>
          <w:tcPr>
            <w:tcW w:w="784" w:type="pct"/>
          </w:tcPr>
          <w:p w14:paraId="2A733B2B" w14:textId="77777777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0.0015%</w:t>
            </w:r>
          </w:p>
        </w:tc>
      </w:tr>
      <w:tr w:rsidR="006110C5" w:rsidRPr="00EE48DE" w14:paraId="4BA4FFAE" w14:textId="77777777" w:rsidTr="009470E5">
        <w:trPr>
          <w:trHeight w:val="88"/>
        </w:trPr>
        <w:tc>
          <w:tcPr>
            <w:tcW w:w="971" w:type="pct"/>
            <w:vMerge/>
          </w:tcPr>
          <w:p w14:paraId="24BE507D" w14:textId="77777777" w:rsidR="006110C5" w:rsidRPr="00EE48DE" w:rsidRDefault="006110C5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4" w:type="pct"/>
          </w:tcPr>
          <w:p w14:paraId="34229DAF" w14:textId="17002E82" w:rsidR="006110C5" w:rsidRPr="00EE48DE" w:rsidRDefault="00532E3D" w:rsidP="003F4A8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Adalimumab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1051" w:type="pct"/>
          </w:tcPr>
          <w:p w14:paraId="2F0806FC" w14:textId="0536FA35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0.35%</w:t>
            </w:r>
          </w:p>
        </w:tc>
        <w:tc>
          <w:tcPr>
            <w:tcW w:w="784" w:type="pct"/>
          </w:tcPr>
          <w:p w14:paraId="6200C52A" w14:textId="292978FB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0.12%</w:t>
            </w:r>
          </w:p>
        </w:tc>
      </w:tr>
      <w:tr w:rsidR="006110C5" w:rsidRPr="00EE48DE" w14:paraId="4964ADDB" w14:textId="55815934" w:rsidTr="009470E5">
        <w:trPr>
          <w:trHeight w:val="88"/>
        </w:trPr>
        <w:tc>
          <w:tcPr>
            <w:tcW w:w="971" w:type="pct"/>
            <w:vMerge/>
          </w:tcPr>
          <w:p w14:paraId="55182B7B" w14:textId="77777777" w:rsidR="006110C5" w:rsidRPr="00EE48DE" w:rsidRDefault="006110C5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4" w:type="pct"/>
          </w:tcPr>
          <w:p w14:paraId="3A876FD3" w14:textId="02EEDF28" w:rsidR="006110C5" w:rsidRPr="00EE48DE" w:rsidRDefault="00532E3D" w:rsidP="003F4A8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Certolizumab pegol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051" w:type="pct"/>
          </w:tcPr>
          <w:p w14:paraId="78D9C139" w14:textId="77777777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0.67%</w:t>
            </w:r>
          </w:p>
        </w:tc>
        <w:tc>
          <w:tcPr>
            <w:tcW w:w="784" w:type="pct"/>
          </w:tcPr>
          <w:p w14:paraId="54D6A429" w14:textId="77777777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0.00%</w:t>
            </w:r>
          </w:p>
        </w:tc>
      </w:tr>
      <w:tr w:rsidR="006110C5" w:rsidRPr="00EE48DE" w14:paraId="376A49C2" w14:textId="0921F9AC" w:rsidTr="009470E5">
        <w:trPr>
          <w:trHeight w:val="88"/>
        </w:trPr>
        <w:tc>
          <w:tcPr>
            <w:tcW w:w="971" w:type="pct"/>
            <w:vMerge/>
          </w:tcPr>
          <w:p w14:paraId="58E39A76" w14:textId="77777777" w:rsidR="006110C5" w:rsidRPr="00EE48DE" w:rsidRDefault="006110C5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4" w:type="pct"/>
          </w:tcPr>
          <w:p w14:paraId="366E9927" w14:textId="046140D0" w:rsidR="006110C5" w:rsidRPr="00EE48DE" w:rsidRDefault="00532E3D" w:rsidP="003F4A8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Etanercept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051" w:type="pct"/>
          </w:tcPr>
          <w:p w14:paraId="4BF64AE7" w14:textId="77777777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0.00%</w:t>
            </w:r>
          </w:p>
        </w:tc>
        <w:tc>
          <w:tcPr>
            <w:tcW w:w="784" w:type="pct"/>
          </w:tcPr>
          <w:p w14:paraId="42A462AC" w14:textId="77777777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0.00%</w:t>
            </w:r>
          </w:p>
        </w:tc>
      </w:tr>
      <w:tr w:rsidR="006110C5" w:rsidRPr="00EE48DE" w14:paraId="2CD29F79" w14:textId="34B48FC6" w:rsidTr="009470E5">
        <w:trPr>
          <w:trHeight w:val="88"/>
        </w:trPr>
        <w:tc>
          <w:tcPr>
            <w:tcW w:w="971" w:type="pct"/>
            <w:vMerge/>
          </w:tcPr>
          <w:p w14:paraId="36AFE51C" w14:textId="77777777" w:rsidR="006110C5" w:rsidRPr="00EE48DE" w:rsidRDefault="006110C5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4" w:type="pct"/>
          </w:tcPr>
          <w:p w14:paraId="039C7930" w14:textId="3EF2AB68" w:rsidR="006110C5" w:rsidRPr="00EE48DE" w:rsidRDefault="00532E3D" w:rsidP="003F4A8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Golimumab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51" w:type="pct"/>
          </w:tcPr>
          <w:p w14:paraId="24E1D485" w14:textId="42161577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0.19%</w:t>
            </w:r>
          </w:p>
        </w:tc>
        <w:tc>
          <w:tcPr>
            <w:tcW w:w="784" w:type="pct"/>
          </w:tcPr>
          <w:p w14:paraId="06A2C0FF" w14:textId="6442559D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0.03%</w:t>
            </w:r>
          </w:p>
        </w:tc>
      </w:tr>
      <w:tr w:rsidR="006110C5" w:rsidRPr="00EE48DE" w14:paraId="019DC186" w14:textId="028575B8" w:rsidTr="009470E5">
        <w:trPr>
          <w:trHeight w:val="88"/>
        </w:trPr>
        <w:tc>
          <w:tcPr>
            <w:tcW w:w="971" w:type="pct"/>
          </w:tcPr>
          <w:p w14:paraId="353414CA" w14:textId="49F7E432" w:rsidR="006110C5" w:rsidRPr="00EE48DE" w:rsidRDefault="006110C5" w:rsidP="000C5A7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Intravenous</w:t>
            </w:r>
          </w:p>
        </w:tc>
        <w:tc>
          <w:tcPr>
            <w:tcW w:w="2194" w:type="pct"/>
          </w:tcPr>
          <w:p w14:paraId="654DA123" w14:textId="061D55FC" w:rsidR="006110C5" w:rsidRPr="00EE48DE" w:rsidRDefault="00532E3D" w:rsidP="003F4A85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Infliximab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16</w:t>
            </w:r>
            <w:r w:rsidR="006110C5"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1" w:type="pct"/>
          </w:tcPr>
          <w:p w14:paraId="6E2B9F24" w14:textId="0180BA6F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0.52%</w:t>
            </w:r>
          </w:p>
        </w:tc>
        <w:tc>
          <w:tcPr>
            <w:tcW w:w="784" w:type="pct"/>
          </w:tcPr>
          <w:p w14:paraId="1A8529B5" w14:textId="427CD2E5" w:rsidR="006110C5" w:rsidRPr="00EE48DE" w:rsidRDefault="006110C5" w:rsidP="000C5A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0.13%</w:t>
            </w:r>
          </w:p>
        </w:tc>
      </w:tr>
    </w:tbl>
    <w:p w14:paraId="185518BE" w14:textId="50656963" w:rsidR="00CC6B36" w:rsidRPr="00EE48DE" w:rsidRDefault="00FA39FC" w:rsidP="00CC6B36">
      <w:pPr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>Source: Secukinumab</w:t>
      </w:r>
      <w:r w:rsidR="004C14D0" w:rsidRPr="00EE48DE">
        <w:rPr>
          <w:rFonts w:ascii="Tahoma" w:hAnsi="Tahoma" w:cs="Tahoma"/>
          <w:sz w:val="12"/>
          <w:szCs w:val="12"/>
        </w:rPr>
        <w:t xml:space="preserve"> from</w:t>
      </w:r>
      <w:r w:rsidRPr="00EE48DE">
        <w:rPr>
          <w:rFonts w:ascii="Tahoma" w:hAnsi="Tahoma" w:cs="Tahoma"/>
          <w:sz w:val="12"/>
          <w:szCs w:val="12"/>
        </w:rPr>
        <w:t xml:space="preserve"> Novartis data on file (data not published)</w:t>
      </w:r>
    </w:p>
    <w:p w14:paraId="66733815" w14:textId="77777777" w:rsidR="004C14D0" w:rsidRPr="00EE48DE" w:rsidRDefault="004C14D0" w:rsidP="004C14D0">
      <w:pPr>
        <w:spacing w:line="276" w:lineRule="auto"/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>Serious infections considered included tuberculosis or other serious infection, such as such as septicemia, bronchopneumonia, kidney or unitary tract infection, lower respiratory disease, or bronchitis.</w:t>
      </w:r>
    </w:p>
    <w:p w14:paraId="0E2F8747" w14:textId="77777777" w:rsidR="004C14D0" w:rsidRPr="00EE48DE" w:rsidRDefault="004C14D0" w:rsidP="00CC6B36">
      <w:pPr>
        <w:rPr>
          <w:rFonts w:ascii="Tahoma" w:hAnsi="Tahoma" w:cs="Tahoma"/>
          <w:sz w:val="16"/>
          <w:szCs w:val="16"/>
          <w:highlight w:val="yellow"/>
        </w:rPr>
      </w:pPr>
    </w:p>
    <w:p w14:paraId="71BC7701" w14:textId="38578CAA" w:rsidR="00AA7B36" w:rsidRPr="00EE48DE" w:rsidRDefault="00AA7B36" w:rsidP="00AA7B36">
      <w:pPr>
        <w:pStyle w:val="Caption"/>
        <w:keepNext/>
        <w:spacing w:after="0"/>
        <w:rPr>
          <w:rFonts w:ascii="Tahoma" w:hAnsi="Tahoma" w:cs="Tahoma"/>
          <w:color w:val="auto"/>
          <w:sz w:val="22"/>
          <w:szCs w:val="22"/>
        </w:rPr>
      </w:pPr>
      <w:r w:rsidRPr="00EE48DE">
        <w:rPr>
          <w:rFonts w:ascii="Tahoma" w:hAnsi="Tahoma" w:cs="Tahoma"/>
          <w:color w:val="auto"/>
          <w:sz w:val="22"/>
          <w:szCs w:val="22"/>
        </w:rPr>
        <w:t xml:space="preserve">Table </w:t>
      </w:r>
      <w:r w:rsidR="00185F6D" w:rsidRPr="00EE48DE">
        <w:rPr>
          <w:rFonts w:ascii="Tahoma" w:hAnsi="Tahoma" w:cs="Tahoma"/>
          <w:color w:val="auto"/>
          <w:sz w:val="22"/>
          <w:szCs w:val="22"/>
        </w:rPr>
        <w:t xml:space="preserve">S9 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>Utility weight i</w:t>
      </w:r>
      <w:r w:rsidRPr="00EE48DE">
        <w:rPr>
          <w:rFonts w:ascii="Tahoma" w:hAnsi="Tahoma" w:cs="Tahoma"/>
          <w:color w:val="auto"/>
          <w:sz w:val="22"/>
          <w:szCs w:val="22"/>
        </w:rPr>
        <w:t>nputs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 xml:space="preserve"> used in the model to calculate QALYs</w:t>
      </w:r>
    </w:p>
    <w:tbl>
      <w:tblPr>
        <w:tblStyle w:val="TableGrid"/>
        <w:tblW w:w="6017" w:type="dxa"/>
        <w:tblLook w:val="04A0" w:firstRow="1" w:lastRow="0" w:firstColumn="1" w:lastColumn="0" w:noHBand="0" w:noVBand="1"/>
      </w:tblPr>
      <w:tblGrid>
        <w:gridCol w:w="1966"/>
        <w:gridCol w:w="2521"/>
        <w:gridCol w:w="1530"/>
      </w:tblGrid>
      <w:tr w:rsidR="00392302" w:rsidRPr="00EE48DE" w14:paraId="14B6DCB2" w14:textId="32E7E03C" w:rsidTr="009470E5">
        <w:trPr>
          <w:trHeight w:val="508"/>
        </w:trPr>
        <w:tc>
          <w:tcPr>
            <w:tcW w:w="1966" w:type="dxa"/>
          </w:tcPr>
          <w:p w14:paraId="77D403C3" w14:textId="16C52C75" w:rsidR="00392302" w:rsidRPr="00EE48DE" w:rsidRDefault="00392302" w:rsidP="0039230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Parameter</w:t>
            </w:r>
          </w:p>
        </w:tc>
        <w:tc>
          <w:tcPr>
            <w:tcW w:w="2521" w:type="dxa"/>
          </w:tcPr>
          <w:p w14:paraId="1BA143E8" w14:textId="54F6A7E6" w:rsidR="00392302" w:rsidRPr="00EE48DE" w:rsidRDefault="00392302" w:rsidP="00FA39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MEASURE 1 &amp; </w:t>
            </w:r>
            <w:r w:rsidRPr="00EE48DE" w:rsidDel="0020059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 data</w:t>
            </w:r>
          </w:p>
        </w:tc>
        <w:tc>
          <w:tcPr>
            <w:tcW w:w="1530" w:type="dxa"/>
          </w:tcPr>
          <w:p w14:paraId="5343806F" w14:textId="125999CA" w:rsidR="00392302" w:rsidRPr="00EE48DE" w:rsidRDefault="006110C5" w:rsidP="003F4A8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Mcleod,2007</w:t>
            </w:r>
            <w:r w:rsidR="003F4A85" w:rsidRPr="00EE48DE">
              <w:rPr>
                <w:rFonts w:ascii="Tahoma" w:hAnsi="Tahoma" w:cs="Tahoma"/>
                <w:noProof/>
                <w:color w:val="000000"/>
                <w:sz w:val="16"/>
                <w:szCs w:val="16"/>
                <w:vertAlign w:val="superscript"/>
              </w:rPr>
              <w:t>24</w:t>
            </w:r>
          </w:p>
        </w:tc>
      </w:tr>
      <w:tr w:rsidR="00392302" w:rsidRPr="00EE48DE" w14:paraId="769F1B1A" w14:textId="788CD876" w:rsidTr="009470E5">
        <w:trPr>
          <w:trHeight w:val="238"/>
        </w:trPr>
        <w:tc>
          <w:tcPr>
            <w:tcW w:w="1966" w:type="dxa"/>
          </w:tcPr>
          <w:p w14:paraId="463D6218" w14:textId="4D132385" w:rsidR="00392302" w:rsidRPr="00EE48DE" w:rsidRDefault="00392302" w:rsidP="00392302">
            <w:pPr>
              <w:rPr>
                <w:rFonts w:ascii="Tahoma" w:hAnsi="Tahoma" w:cs="Tahoma"/>
                <w:sz w:val="16"/>
                <w:szCs w:val="16"/>
              </w:rPr>
            </w:pPr>
            <w:r w:rsidRPr="00EE48DE" w:rsidDel="00200594">
              <w:rPr>
                <w:rFonts w:ascii="Tahoma" w:hAnsi="Tahoma" w:cs="Tahoma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2521" w:type="dxa"/>
          </w:tcPr>
          <w:p w14:paraId="3BE90CDC" w14:textId="5E89A1E7" w:rsidR="00392302" w:rsidRPr="00EE48DE" w:rsidRDefault="00392302" w:rsidP="003923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EE48DE" w:rsidDel="00200594">
              <w:rPr>
                <w:rFonts w:ascii="Tahoma" w:hAnsi="Tahoma" w:cs="Tahoma"/>
                <w:color w:val="000000"/>
                <w:sz w:val="16"/>
                <w:szCs w:val="16"/>
              </w:rPr>
              <w:t>0.</w:t>
            </w: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9610</w:t>
            </w:r>
          </w:p>
        </w:tc>
        <w:tc>
          <w:tcPr>
            <w:tcW w:w="1530" w:type="dxa"/>
            <w:vAlign w:val="bottom"/>
          </w:tcPr>
          <w:p w14:paraId="09605810" w14:textId="562D02E7" w:rsidR="00392302" w:rsidRPr="00EE48DE" w:rsidRDefault="00392302" w:rsidP="003923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0.8772</w:t>
            </w:r>
          </w:p>
        </w:tc>
      </w:tr>
      <w:tr w:rsidR="00392302" w:rsidRPr="00EE48DE" w14:paraId="298B55CB" w14:textId="4C201C04" w:rsidTr="009470E5">
        <w:trPr>
          <w:trHeight w:val="254"/>
        </w:trPr>
        <w:tc>
          <w:tcPr>
            <w:tcW w:w="1966" w:type="dxa"/>
          </w:tcPr>
          <w:p w14:paraId="50DFA3B7" w14:textId="73D6F572" w:rsidR="00392302" w:rsidRPr="00EE48DE" w:rsidRDefault="00392302" w:rsidP="00392302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BASFI coefficient</w:t>
            </w:r>
          </w:p>
        </w:tc>
        <w:tc>
          <w:tcPr>
            <w:tcW w:w="2521" w:type="dxa"/>
          </w:tcPr>
          <w:p w14:paraId="2E987348" w14:textId="334F9F2D" w:rsidR="00392302" w:rsidRPr="00EE48DE" w:rsidRDefault="00392302" w:rsidP="003923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-0.0330</w:t>
            </w:r>
          </w:p>
        </w:tc>
        <w:tc>
          <w:tcPr>
            <w:tcW w:w="1530" w:type="dxa"/>
            <w:vAlign w:val="bottom"/>
          </w:tcPr>
          <w:p w14:paraId="561A50B2" w14:textId="17D53222" w:rsidR="00392302" w:rsidRPr="00EE48DE" w:rsidRDefault="00392302" w:rsidP="00392302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-0.0323</w:t>
            </w:r>
          </w:p>
        </w:tc>
      </w:tr>
      <w:tr w:rsidR="00392302" w:rsidRPr="00EE48DE" w14:paraId="104DE133" w14:textId="49C40AE1" w:rsidTr="009470E5">
        <w:trPr>
          <w:trHeight w:val="254"/>
        </w:trPr>
        <w:tc>
          <w:tcPr>
            <w:tcW w:w="1966" w:type="dxa"/>
          </w:tcPr>
          <w:p w14:paraId="61670EE8" w14:textId="6BDEFAC3" w:rsidR="00392302" w:rsidRPr="00EE48DE" w:rsidRDefault="00392302" w:rsidP="00392302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BASDAI coefficient</w:t>
            </w:r>
          </w:p>
        </w:tc>
        <w:tc>
          <w:tcPr>
            <w:tcW w:w="2521" w:type="dxa"/>
          </w:tcPr>
          <w:p w14:paraId="49B3C308" w14:textId="109A3F05" w:rsidR="00392302" w:rsidRPr="00EE48DE" w:rsidRDefault="00392302" w:rsidP="003923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-0.0442</w:t>
            </w:r>
          </w:p>
        </w:tc>
        <w:tc>
          <w:tcPr>
            <w:tcW w:w="1530" w:type="dxa"/>
            <w:vAlign w:val="bottom"/>
          </w:tcPr>
          <w:p w14:paraId="103DABD6" w14:textId="68F11080" w:rsidR="00392302" w:rsidRPr="00EE48DE" w:rsidRDefault="00392302" w:rsidP="003923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-0.0384</w:t>
            </w:r>
          </w:p>
        </w:tc>
      </w:tr>
      <w:tr w:rsidR="00392302" w:rsidRPr="00EE48DE" w14:paraId="0B06C8C5" w14:textId="7F4678ED" w:rsidTr="009470E5">
        <w:trPr>
          <w:trHeight w:val="238"/>
        </w:trPr>
        <w:tc>
          <w:tcPr>
            <w:tcW w:w="1966" w:type="dxa"/>
          </w:tcPr>
          <w:p w14:paraId="6869AB8B" w14:textId="60848C64" w:rsidR="00392302" w:rsidRPr="00EE48DE" w:rsidRDefault="00392302" w:rsidP="003923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 w:rsidDel="00200594">
              <w:rPr>
                <w:rFonts w:ascii="Tahoma" w:hAnsi="Tahoma" w:cs="Tahoma"/>
                <w:color w:val="000000"/>
                <w:sz w:val="16"/>
                <w:szCs w:val="16"/>
              </w:rPr>
              <w:t>Male</w:t>
            </w: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coefficient</w:t>
            </w:r>
          </w:p>
        </w:tc>
        <w:tc>
          <w:tcPr>
            <w:tcW w:w="2521" w:type="dxa"/>
          </w:tcPr>
          <w:p w14:paraId="38E6D85A" w14:textId="592F86F8" w:rsidR="00392302" w:rsidRPr="00EE48DE" w:rsidRDefault="00392302" w:rsidP="003923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-0.0111</w:t>
            </w:r>
          </w:p>
        </w:tc>
        <w:tc>
          <w:tcPr>
            <w:tcW w:w="1530" w:type="dxa"/>
            <w:vAlign w:val="bottom"/>
          </w:tcPr>
          <w:p w14:paraId="7EF5CAD8" w14:textId="0312E9A7" w:rsidR="00392302" w:rsidRPr="00EE48DE" w:rsidRDefault="00392302" w:rsidP="003923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-0.0279</w:t>
            </w:r>
          </w:p>
        </w:tc>
      </w:tr>
      <w:tr w:rsidR="00392302" w:rsidRPr="00EE48DE" w14:paraId="2BE64CCA" w14:textId="2E3F1C09" w:rsidTr="009470E5">
        <w:trPr>
          <w:trHeight w:val="254"/>
        </w:trPr>
        <w:tc>
          <w:tcPr>
            <w:tcW w:w="1966" w:type="dxa"/>
          </w:tcPr>
          <w:p w14:paraId="19771670" w14:textId="39313832" w:rsidR="00392302" w:rsidRPr="00EE48DE" w:rsidDel="00200594" w:rsidRDefault="00392302" w:rsidP="003923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Age coefficient</w:t>
            </w:r>
          </w:p>
        </w:tc>
        <w:tc>
          <w:tcPr>
            <w:tcW w:w="2521" w:type="dxa"/>
          </w:tcPr>
          <w:p w14:paraId="08A48DF3" w14:textId="7F50EC64" w:rsidR="00392302" w:rsidRPr="00EE48DE" w:rsidDel="00200594" w:rsidRDefault="00392302" w:rsidP="003923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-0.0005</w:t>
            </w:r>
          </w:p>
        </w:tc>
        <w:tc>
          <w:tcPr>
            <w:tcW w:w="1530" w:type="dxa"/>
            <w:vAlign w:val="bottom"/>
          </w:tcPr>
          <w:p w14:paraId="1245F1B7" w14:textId="079A5568" w:rsidR="00392302" w:rsidRPr="00EE48DE" w:rsidRDefault="00392302" w:rsidP="003923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0.0017</w:t>
            </w:r>
          </w:p>
        </w:tc>
      </w:tr>
    </w:tbl>
    <w:p w14:paraId="3CD51614" w14:textId="141FB1C9" w:rsidR="00C73130" w:rsidRPr="00EE48DE" w:rsidRDefault="00AA7B36" w:rsidP="00D86B66">
      <w:pPr>
        <w:spacing w:line="240" w:lineRule="auto"/>
        <w:rPr>
          <w:rFonts w:ascii="Tahoma" w:hAnsi="Tahoma" w:cs="Tahoma"/>
          <w:noProof/>
          <w:sz w:val="12"/>
          <w:szCs w:val="12"/>
        </w:rPr>
      </w:pPr>
      <w:r w:rsidRPr="00EE48DE">
        <w:rPr>
          <w:rFonts w:ascii="Tahoma" w:hAnsi="Tahoma" w:cs="Tahoma"/>
          <w:noProof/>
          <w:sz w:val="12"/>
          <w:szCs w:val="12"/>
        </w:rPr>
        <w:t xml:space="preserve">BASDAI = Bath Ankylosing Spondylitis Disease Activity Index; BASFI = Bath Ankylosing Spondylitis Functional Index </w:t>
      </w:r>
    </w:p>
    <w:p w14:paraId="783C17A0" w14:textId="5D2E516D" w:rsidR="00566E00" w:rsidRPr="00EE48DE" w:rsidRDefault="00566E00" w:rsidP="00D86B66">
      <w:pPr>
        <w:spacing w:line="240" w:lineRule="auto"/>
        <w:rPr>
          <w:rFonts w:ascii="Tahoma" w:hAnsi="Tahoma" w:cs="Tahoma"/>
          <w:noProof/>
          <w:sz w:val="16"/>
          <w:szCs w:val="16"/>
        </w:rPr>
      </w:pPr>
      <w:r w:rsidRPr="00EE48DE">
        <w:rPr>
          <w:rFonts w:ascii="Tahoma" w:hAnsi="Tahoma" w:cs="Tahoma"/>
          <w:sz w:val="12"/>
          <w:szCs w:val="12"/>
        </w:rPr>
        <w:t xml:space="preserve">For base-case analysis, utilities calculated from MEAURE 1 and </w:t>
      </w:r>
      <w:r w:rsidR="00686B25" w:rsidRPr="00EE48DE">
        <w:rPr>
          <w:rFonts w:ascii="Tahoma" w:hAnsi="Tahoma" w:cs="Tahoma"/>
          <w:sz w:val="12"/>
          <w:szCs w:val="12"/>
        </w:rPr>
        <w:t xml:space="preserve">MEASURE </w:t>
      </w:r>
      <w:r w:rsidRPr="00EE48DE">
        <w:rPr>
          <w:rFonts w:ascii="Tahoma" w:hAnsi="Tahoma" w:cs="Tahoma"/>
          <w:sz w:val="12"/>
          <w:szCs w:val="12"/>
        </w:rPr>
        <w:t>2 trials are included</w:t>
      </w:r>
      <w:r w:rsidR="00686B25" w:rsidRPr="00EE48DE">
        <w:rPr>
          <w:rFonts w:ascii="Tahoma" w:hAnsi="Tahoma" w:cs="Tahoma"/>
          <w:sz w:val="12"/>
          <w:szCs w:val="12"/>
        </w:rPr>
        <w:t xml:space="preserve"> (data not published)</w:t>
      </w:r>
      <w:r w:rsidRPr="00EE48DE">
        <w:rPr>
          <w:rFonts w:ascii="Tahoma" w:hAnsi="Tahoma" w:cs="Tahoma"/>
          <w:sz w:val="12"/>
          <w:szCs w:val="12"/>
        </w:rPr>
        <w:t>. For alternative scenario analysis, utilities obtained from McLeod et al. 2007 are included</w:t>
      </w:r>
      <w:r w:rsidR="0087402B" w:rsidRPr="00EE48DE">
        <w:rPr>
          <w:rFonts w:ascii="Tahoma" w:hAnsi="Tahoma" w:cs="Tahoma"/>
          <w:sz w:val="16"/>
          <w:szCs w:val="16"/>
        </w:rPr>
        <w:t>.</w:t>
      </w:r>
    </w:p>
    <w:p w14:paraId="587DC0FE" w14:textId="77777777" w:rsidR="00C11662" w:rsidRPr="00EE48DE" w:rsidRDefault="00C11662" w:rsidP="00211CBD">
      <w:pPr>
        <w:pStyle w:val="Caption"/>
        <w:keepNext/>
        <w:spacing w:after="0"/>
        <w:rPr>
          <w:rFonts w:ascii="Tahoma" w:hAnsi="Tahoma" w:cs="Tahoma"/>
          <w:color w:val="auto"/>
          <w:sz w:val="24"/>
          <w:szCs w:val="24"/>
        </w:rPr>
      </w:pPr>
      <w:bookmarkStart w:id="9" w:name="_Ref488080169"/>
      <w:bookmarkStart w:id="10" w:name="_Ref488334329"/>
      <w:bookmarkStart w:id="11" w:name="_Ref488138760"/>
    </w:p>
    <w:p w14:paraId="7E38185E" w14:textId="0FBCED17" w:rsidR="00211CBD" w:rsidRPr="00EE48DE" w:rsidRDefault="00211CBD" w:rsidP="00211CBD">
      <w:pPr>
        <w:pStyle w:val="Caption"/>
        <w:keepNext/>
        <w:spacing w:after="0"/>
        <w:rPr>
          <w:rFonts w:ascii="Tahoma" w:hAnsi="Tahoma" w:cs="Tahoma"/>
          <w:color w:val="auto"/>
          <w:sz w:val="22"/>
          <w:szCs w:val="22"/>
        </w:rPr>
      </w:pPr>
      <w:r w:rsidRPr="00EE48DE">
        <w:rPr>
          <w:rFonts w:ascii="Tahoma" w:hAnsi="Tahoma" w:cs="Tahoma"/>
          <w:color w:val="auto"/>
          <w:sz w:val="22"/>
          <w:szCs w:val="22"/>
        </w:rPr>
        <w:t xml:space="preserve">Table </w:t>
      </w:r>
      <w:r w:rsidR="00185F6D" w:rsidRPr="00EE48DE">
        <w:rPr>
          <w:rFonts w:ascii="Tahoma" w:hAnsi="Tahoma" w:cs="Tahoma"/>
          <w:color w:val="auto"/>
          <w:sz w:val="22"/>
          <w:szCs w:val="22"/>
        </w:rPr>
        <w:t xml:space="preserve">S10 </w:t>
      </w:r>
      <w:r w:rsidRPr="00EE48DE">
        <w:rPr>
          <w:rFonts w:ascii="Tahoma" w:hAnsi="Tahoma" w:cs="Tahoma"/>
          <w:color w:val="auto"/>
          <w:sz w:val="22"/>
          <w:szCs w:val="22"/>
        </w:rPr>
        <w:t xml:space="preserve">Adverse event </w:t>
      </w:r>
      <w:proofErr w:type="spellStart"/>
      <w:r w:rsidRPr="00EE48DE">
        <w:rPr>
          <w:rFonts w:ascii="Tahoma" w:hAnsi="Tahoma" w:cs="Tahoma"/>
          <w:color w:val="auto"/>
          <w:sz w:val="22"/>
          <w:szCs w:val="22"/>
        </w:rPr>
        <w:t>disutilities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105"/>
        <w:gridCol w:w="3005"/>
      </w:tblGrid>
      <w:tr w:rsidR="00B50CD6" w:rsidRPr="00EE48DE" w14:paraId="7FE59015" w14:textId="6B3CEC17" w:rsidTr="002B76B6">
        <w:tc>
          <w:tcPr>
            <w:tcW w:w="1744" w:type="dxa"/>
          </w:tcPr>
          <w:p w14:paraId="4B51F641" w14:textId="51921757" w:rsidR="00B50CD6" w:rsidRPr="00EE48DE" w:rsidRDefault="00B50CD6" w:rsidP="00ED5275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bookmarkStart w:id="12" w:name="_Ref487733640"/>
            <w:r w:rsidRPr="00EE48DE">
              <w:rPr>
                <w:rFonts w:ascii="Tahoma" w:eastAsia="Calibri" w:hAnsi="Tahoma" w:cs="Tahoma"/>
                <w:b/>
                <w:sz w:val="16"/>
                <w:szCs w:val="16"/>
              </w:rPr>
              <w:t>Adverse event</w:t>
            </w:r>
          </w:p>
        </w:tc>
        <w:tc>
          <w:tcPr>
            <w:tcW w:w="1105" w:type="dxa"/>
          </w:tcPr>
          <w:p w14:paraId="22610ABC" w14:textId="6C79DBAB" w:rsidR="00B50CD6" w:rsidRPr="00EE48DE" w:rsidRDefault="00B50CD6" w:rsidP="00ED527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eastAsia="Calibri" w:hAnsi="Tahoma" w:cs="Tahoma"/>
                <w:b/>
                <w:sz w:val="16"/>
                <w:szCs w:val="16"/>
              </w:rPr>
              <w:t>Disutility</w:t>
            </w:r>
          </w:p>
        </w:tc>
        <w:tc>
          <w:tcPr>
            <w:tcW w:w="3005" w:type="dxa"/>
          </w:tcPr>
          <w:p w14:paraId="1B3A18FB" w14:textId="5431A5B4" w:rsidR="00B50CD6" w:rsidRPr="00EE48DE" w:rsidRDefault="00B50CD6" w:rsidP="00ED5275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eastAsia="Calibri" w:hAnsi="Tahoma" w:cs="Tahoma"/>
                <w:b/>
                <w:sz w:val="16"/>
                <w:szCs w:val="16"/>
              </w:rPr>
              <w:t>Source</w:t>
            </w:r>
          </w:p>
        </w:tc>
      </w:tr>
      <w:tr w:rsidR="00B50CD6" w:rsidRPr="00EE48DE" w14:paraId="57302B11" w14:textId="1EDD1AF2" w:rsidTr="002B76B6">
        <w:tc>
          <w:tcPr>
            <w:tcW w:w="1744" w:type="dxa"/>
          </w:tcPr>
          <w:p w14:paraId="24D561E7" w14:textId="2F609B9C" w:rsidR="00B50CD6" w:rsidRPr="00EE48DE" w:rsidRDefault="00B50CD6" w:rsidP="00ED5275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eastAsia="Calibri" w:hAnsi="Tahoma" w:cs="Tahoma"/>
                <w:b/>
                <w:sz w:val="16"/>
                <w:szCs w:val="16"/>
              </w:rPr>
              <w:t>Serious infection</w:t>
            </w:r>
          </w:p>
        </w:tc>
        <w:tc>
          <w:tcPr>
            <w:tcW w:w="1105" w:type="dxa"/>
          </w:tcPr>
          <w:p w14:paraId="2919A087" w14:textId="01AFBDF5" w:rsidR="00B50CD6" w:rsidRPr="00EE48DE" w:rsidRDefault="00B50CD6" w:rsidP="00ED527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eastAsia="Calibri" w:hAnsi="Tahoma" w:cs="Tahoma"/>
                <w:sz w:val="16"/>
                <w:szCs w:val="16"/>
              </w:rPr>
              <w:t>-0.156</w:t>
            </w:r>
          </w:p>
        </w:tc>
        <w:tc>
          <w:tcPr>
            <w:tcW w:w="3005" w:type="dxa"/>
          </w:tcPr>
          <w:p w14:paraId="235F6D83" w14:textId="47B531EC" w:rsidR="00B50CD6" w:rsidRPr="00EE48DE" w:rsidRDefault="006110C5" w:rsidP="003F4A85">
            <w:pPr>
              <w:spacing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EE48DE">
              <w:rPr>
                <w:rFonts w:ascii="Tahoma" w:eastAsia="Calibri" w:hAnsi="Tahoma" w:cs="Tahoma"/>
                <w:sz w:val="16"/>
                <w:szCs w:val="16"/>
              </w:rPr>
              <w:t>Stevenson,2016</w:t>
            </w:r>
            <w:r w:rsidR="003F4A85" w:rsidRPr="00EE48DE">
              <w:rPr>
                <w:rFonts w:ascii="Tahoma" w:eastAsia="Calibri" w:hAnsi="Tahoma" w:cs="Tahoma"/>
                <w:noProof/>
                <w:sz w:val="16"/>
                <w:szCs w:val="16"/>
                <w:vertAlign w:val="superscript"/>
              </w:rPr>
              <w:t>25</w:t>
            </w:r>
          </w:p>
        </w:tc>
      </w:tr>
      <w:tr w:rsidR="00B50CD6" w:rsidRPr="00EE48DE" w14:paraId="31A7C99A" w14:textId="1EF90BE4" w:rsidTr="002B76B6">
        <w:tc>
          <w:tcPr>
            <w:tcW w:w="1744" w:type="dxa"/>
          </w:tcPr>
          <w:p w14:paraId="6DF104B6" w14:textId="64AF7A3D" w:rsidR="00B50CD6" w:rsidRPr="00EE48DE" w:rsidRDefault="00B50CD6" w:rsidP="00ED5275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eastAsia="Calibri" w:hAnsi="Tahoma" w:cs="Tahoma"/>
                <w:b/>
                <w:sz w:val="16"/>
                <w:szCs w:val="16"/>
              </w:rPr>
              <w:t>Malignancy</w:t>
            </w:r>
          </w:p>
        </w:tc>
        <w:tc>
          <w:tcPr>
            <w:tcW w:w="1105" w:type="dxa"/>
          </w:tcPr>
          <w:p w14:paraId="524EBCA4" w14:textId="58266FB2" w:rsidR="00B50CD6" w:rsidRPr="00EE48DE" w:rsidRDefault="00B50CD6" w:rsidP="00ED527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eastAsia="Calibri" w:hAnsi="Tahoma" w:cs="Tahoma"/>
                <w:sz w:val="16"/>
                <w:szCs w:val="16"/>
              </w:rPr>
              <w:t>-0.017</w:t>
            </w:r>
          </w:p>
        </w:tc>
        <w:tc>
          <w:tcPr>
            <w:tcW w:w="3005" w:type="dxa"/>
          </w:tcPr>
          <w:p w14:paraId="5349E060" w14:textId="4326CC11" w:rsidR="00B50CD6" w:rsidRPr="00EE48DE" w:rsidRDefault="006110C5" w:rsidP="003F4A85">
            <w:pPr>
              <w:spacing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EE48DE">
              <w:rPr>
                <w:rFonts w:ascii="Tahoma" w:eastAsia="Calibri" w:hAnsi="Tahoma" w:cs="Tahoma"/>
                <w:sz w:val="16"/>
                <w:szCs w:val="16"/>
              </w:rPr>
              <w:t xml:space="preserve">Sullivan and </w:t>
            </w:r>
            <w:proofErr w:type="spellStart"/>
            <w:r w:rsidRPr="00EE48DE">
              <w:rPr>
                <w:rFonts w:ascii="Tahoma" w:eastAsia="Calibri" w:hAnsi="Tahoma" w:cs="Tahoma"/>
                <w:sz w:val="16"/>
                <w:szCs w:val="16"/>
              </w:rPr>
              <w:t>Ghushchyan</w:t>
            </w:r>
            <w:proofErr w:type="spellEnd"/>
            <w:r w:rsidRPr="00EE48DE">
              <w:rPr>
                <w:rFonts w:ascii="Tahoma" w:eastAsia="Calibri" w:hAnsi="Tahoma" w:cs="Tahoma"/>
                <w:sz w:val="16"/>
                <w:szCs w:val="16"/>
              </w:rPr>
              <w:t>, 2006</w:t>
            </w:r>
            <w:r w:rsidR="003F4A85" w:rsidRPr="00EE48DE">
              <w:rPr>
                <w:rFonts w:ascii="Tahoma" w:eastAsia="Calibri" w:hAnsi="Tahoma" w:cs="Tahoma"/>
                <w:noProof/>
                <w:sz w:val="16"/>
                <w:szCs w:val="16"/>
                <w:vertAlign w:val="superscript"/>
              </w:rPr>
              <w:t>26</w:t>
            </w:r>
          </w:p>
        </w:tc>
      </w:tr>
    </w:tbl>
    <w:p w14:paraId="6B2038C2" w14:textId="65B5126E" w:rsidR="00656BE1" w:rsidRPr="00EE48DE" w:rsidRDefault="00211CBD" w:rsidP="001834F0">
      <w:pPr>
        <w:pStyle w:val="Caption"/>
        <w:keepNext/>
        <w:spacing w:after="0"/>
        <w:rPr>
          <w:rFonts w:ascii="Tahoma" w:eastAsia="Times New Roman" w:hAnsi="Tahoma" w:cs="Tahoma"/>
          <w:b w:val="0"/>
          <w:bCs w:val="0"/>
          <w:noProof/>
          <w:color w:val="auto"/>
          <w:sz w:val="12"/>
          <w:szCs w:val="12"/>
        </w:rPr>
      </w:pPr>
      <w:r w:rsidRPr="00EE48DE">
        <w:rPr>
          <w:rFonts w:ascii="Tahoma" w:eastAsia="Times New Roman" w:hAnsi="Tahoma" w:cs="Tahoma"/>
          <w:b w:val="0"/>
          <w:bCs w:val="0"/>
          <w:noProof/>
          <w:color w:val="auto"/>
          <w:sz w:val="12"/>
          <w:szCs w:val="12"/>
        </w:rPr>
        <w:t>Serious infections di</w:t>
      </w:r>
      <w:r w:rsidR="004500D5" w:rsidRPr="00EE48DE">
        <w:rPr>
          <w:rFonts w:ascii="Tahoma" w:eastAsia="Times New Roman" w:hAnsi="Tahoma" w:cs="Tahoma"/>
          <w:b w:val="0"/>
          <w:bCs w:val="0"/>
          <w:noProof/>
          <w:color w:val="auto"/>
          <w:sz w:val="12"/>
          <w:szCs w:val="12"/>
        </w:rPr>
        <w:t xml:space="preserve">sutility applied for 1 month. </w:t>
      </w:r>
      <w:r w:rsidRPr="00EE48DE">
        <w:rPr>
          <w:rFonts w:ascii="Tahoma" w:eastAsia="Times New Roman" w:hAnsi="Tahoma" w:cs="Tahoma"/>
          <w:b w:val="0"/>
          <w:bCs w:val="0"/>
          <w:noProof/>
          <w:color w:val="auto"/>
          <w:sz w:val="12"/>
          <w:szCs w:val="12"/>
        </w:rPr>
        <w:t>Disutility for malignancy was assumed to be applied for</w:t>
      </w:r>
      <w:r w:rsidR="00D86B66" w:rsidRPr="00EE48DE">
        <w:rPr>
          <w:rFonts w:ascii="Tahoma" w:eastAsia="Times New Roman" w:hAnsi="Tahoma" w:cs="Tahoma"/>
          <w:b w:val="0"/>
          <w:bCs w:val="0"/>
          <w:noProof/>
          <w:color w:val="auto"/>
          <w:sz w:val="12"/>
          <w:szCs w:val="12"/>
        </w:rPr>
        <w:t xml:space="preserve"> </w:t>
      </w:r>
      <w:r w:rsidRPr="00EE48DE">
        <w:rPr>
          <w:rFonts w:ascii="Tahoma" w:eastAsia="Times New Roman" w:hAnsi="Tahoma" w:cs="Tahoma"/>
          <w:b w:val="0"/>
          <w:bCs w:val="0"/>
          <w:noProof/>
          <w:color w:val="auto"/>
          <w:sz w:val="12"/>
          <w:szCs w:val="12"/>
        </w:rPr>
        <w:t xml:space="preserve">1 year  </w:t>
      </w:r>
    </w:p>
    <w:p w14:paraId="36FD8D9E" w14:textId="77777777" w:rsidR="00656BE1" w:rsidRPr="00EE48DE" w:rsidRDefault="00656BE1" w:rsidP="001834F0">
      <w:pPr>
        <w:pStyle w:val="Caption"/>
        <w:keepNext/>
        <w:spacing w:after="0"/>
        <w:rPr>
          <w:rFonts w:ascii="Tahoma" w:hAnsi="Tahoma" w:cs="Tahoma"/>
          <w:color w:val="auto"/>
          <w:sz w:val="24"/>
          <w:szCs w:val="24"/>
        </w:rPr>
      </w:pPr>
    </w:p>
    <w:p w14:paraId="3E7FFA03" w14:textId="2C72521E" w:rsidR="001C4422" w:rsidRPr="00EE48DE" w:rsidRDefault="001C4422" w:rsidP="009470E5">
      <w:pPr>
        <w:pStyle w:val="Caption"/>
        <w:tabs>
          <w:tab w:val="left" w:pos="4125"/>
        </w:tabs>
        <w:rPr>
          <w:rFonts w:ascii="Tahoma" w:hAnsi="Tahoma" w:cs="Tahoma"/>
          <w:color w:val="auto"/>
          <w:sz w:val="22"/>
          <w:szCs w:val="22"/>
        </w:rPr>
      </w:pPr>
      <w:bookmarkStart w:id="13" w:name="_Ref488658203"/>
      <w:bookmarkEnd w:id="9"/>
      <w:bookmarkEnd w:id="10"/>
      <w:bookmarkEnd w:id="11"/>
      <w:bookmarkEnd w:id="12"/>
      <w:r w:rsidRPr="00EE48DE">
        <w:rPr>
          <w:rFonts w:ascii="Tahoma" w:hAnsi="Tahoma" w:cs="Tahoma"/>
          <w:color w:val="auto"/>
          <w:sz w:val="22"/>
          <w:szCs w:val="22"/>
        </w:rPr>
        <w:t xml:space="preserve">Table </w:t>
      </w:r>
      <w:r w:rsidR="00C11662" w:rsidRPr="00EE48DE">
        <w:rPr>
          <w:rFonts w:ascii="Tahoma" w:hAnsi="Tahoma" w:cs="Tahoma"/>
          <w:color w:val="auto"/>
          <w:sz w:val="22"/>
          <w:szCs w:val="22"/>
        </w:rPr>
        <w:t>S</w:t>
      </w:r>
      <w:r w:rsidR="00475F68" w:rsidRPr="00EE48DE">
        <w:rPr>
          <w:rFonts w:ascii="Tahoma" w:hAnsi="Tahoma" w:cs="Tahoma"/>
          <w:noProof/>
          <w:color w:val="auto"/>
          <w:sz w:val="22"/>
          <w:szCs w:val="22"/>
        </w:rPr>
        <w:t>1</w:t>
      </w:r>
      <w:bookmarkEnd w:id="13"/>
      <w:r w:rsidR="00185F6D" w:rsidRPr="00EE48DE">
        <w:rPr>
          <w:rFonts w:ascii="Tahoma" w:hAnsi="Tahoma" w:cs="Tahoma"/>
          <w:color w:val="auto"/>
          <w:sz w:val="22"/>
          <w:szCs w:val="22"/>
        </w:rPr>
        <w:t>1</w:t>
      </w:r>
      <w:r w:rsidRPr="00EE48DE">
        <w:rPr>
          <w:rFonts w:ascii="Tahoma" w:hAnsi="Tahoma" w:cs="Tahoma"/>
          <w:color w:val="auto"/>
          <w:sz w:val="22"/>
          <w:szCs w:val="22"/>
        </w:rPr>
        <w:t xml:space="preserve"> 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>Age related annual</w:t>
      </w:r>
      <w:r w:rsidRPr="00EE48DE">
        <w:rPr>
          <w:rFonts w:ascii="Tahoma" w:hAnsi="Tahoma" w:cs="Tahoma"/>
          <w:color w:val="auto"/>
          <w:sz w:val="22"/>
          <w:szCs w:val="22"/>
        </w:rPr>
        <w:t xml:space="preserve"> 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>m</w:t>
      </w:r>
      <w:r w:rsidRPr="00EE48DE">
        <w:rPr>
          <w:rFonts w:ascii="Tahoma" w:hAnsi="Tahoma" w:cs="Tahoma"/>
          <w:color w:val="auto"/>
          <w:sz w:val="22"/>
          <w:szCs w:val="22"/>
        </w:rPr>
        <w:t xml:space="preserve">ortality 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>r</w:t>
      </w:r>
      <w:r w:rsidRPr="00EE48DE">
        <w:rPr>
          <w:rFonts w:ascii="Tahoma" w:hAnsi="Tahoma" w:cs="Tahoma"/>
          <w:color w:val="auto"/>
          <w:sz w:val="22"/>
          <w:szCs w:val="22"/>
        </w:rPr>
        <w:t>ates</w:t>
      </w:r>
      <w:r w:rsidR="003F4A85" w:rsidRPr="00EE48DE">
        <w:rPr>
          <w:rFonts w:ascii="Tahoma" w:hAnsi="Tahoma" w:cs="Tahoma"/>
          <w:b w:val="0"/>
          <w:noProof/>
          <w:color w:val="auto"/>
          <w:sz w:val="22"/>
          <w:szCs w:val="22"/>
          <w:vertAlign w:val="superscript"/>
        </w:rPr>
        <w:t>27</w:t>
      </w:r>
    </w:p>
    <w:tbl>
      <w:tblPr>
        <w:tblStyle w:val="TableGridLight1"/>
        <w:tblW w:w="3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876"/>
        <w:gridCol w:w="883"/>
        <w:gridCol w:w="1250"/>
        <w:gridCol w:w="876"/>
        <w:gridCol w:w="898"/>
      </w:tblGrid>
      <w:tr w:rsidR="00EE48DE" w:rsidRPr="00EE48DE" w14:paraId="64774BDE" w14:textId="3240473F" w:rsidTr="00EE48DE">
        <w:trPr>
          <w:trHeight w:val="578"/>
          <w:tblHeader/>
        </w:trPr>
        <w:tc>
          <w:tcPr>
            <w:tcW w:w="1036" w:type="pct"/>
            <w:shd w:val="clear" w:color="auto" w:fill="D9D9D9" w:themeFill="background1" w:themeFillShade="D9"/>
          </w:tcPr>
          <w:p w14:paraId="4EA70F45" w14:textId="5CD2923B" w:rsidR="00482813" w:rsidRPr="00EE48DE" w:rsidRDefault="00482813" w:rsidP="004828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Age (years)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7A019D29" w14:textId="77777777" w:rsidR="00482813" w:rsidRPr="00EE48DE" w:rsidRDefault="00482813" w:rsidP="004828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Male</w:t>
            </w:r>
          </w:p>
        </w:tc>
        <w:tc>
          <w:tcPr>
            <w:tcW w:w="732" w:type="pct"/>
            <w:shd w:val="clear" w:color="auto" w:fill="D9D9D9" w:themeFill="background1" w:themeFillShade="D9"/>
          </w:tcPr>
          <w:p w14:paraId="2AF71898" w14:textId="77777777" w:rsidR="00482813" w:rsidRPr="00EE48DE" w:rsidRDefault="00482813" w:rsidP="00482813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Female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66FA1307" w14:textId="4FE8DB04" w:rsidR="00482813" w:rsidRPr="00EE48DE" w:rsidRDefault="00482813" w:rsidP="004828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Age (years)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22B8E267" w14:textId="3326FE8C" w:rsidR="00482813" w:rsidRPr="00EE48DE" w:rsidRDefault="00482813" w:rsidP="004828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Male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29D245F6" w14:textId="7A000F62" w:rsidR="00482813" w:rsidRPr="00EE48DE" w:rsidRDefault="00482813" w:rsidP="004828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Female</w:t>
            </w:r>
          </w:p>
        </w:tc>
      </w:tr>
      <w:tr w:rsidR="00EE48DE" w:rsidRPr="00EE48DE" w14:paraId="2D64FC01" w14:textId="02D2BF38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4FA67CE2" w14:textId="18D3B984" w:rsidR="00482813" w:rsidRPr="00EE48DE" w:rsidRDefault="00482813" w:rsidP="00482813">
            <w:pPr>
              <w:pStyle w:val="Tabletext"/>
              <w:keepNext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6" w:type="pct"/>
            <w:shd w:val="clear" w:color="000000" w:fill="FFFFFF"/>
          </w:tcPr>
          <w:p w14:paraId="4111BFE5" w14:textId="1EFCE69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0.00064</w:t>
            </w:r>
          </w:p>
        </w:tc>
        <w:tc>
          <w:tcPr>
            <w:tcW w:w="732" w:type="pct"/>
            <w:shd w:val="clear" w:color="000000" w:fill="FFFFFF"/>
          </w:tcPr>
          <w:p w14:paraId="60FB8D34" w14:textId="6727E9C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36" w:type="pct"/>
            <w:shd w:val="clear" w:color="000000" w:fill="FFFFFF"/>
          </w:tcPr>
          <w:p w14:paraId="69FE7A71" w14:textId="4C5BEBF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6" w:type="pct"/>
            <w:shd w:val="clear" w:color="000000" w:fill="FFFFFF"/>
          </w:tcPr>
          <w:p w14:paraId="62AC3C9C" w14:textId="7D78039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0.00470</w:t>
            </w:r>
          </w:p>
        </w:tc>
        <w:tc>
          <w:tcPr>
            <w:tcW w:w="744" w:type="pct"/>
            <w:shd w:val="clear" w:color="000000" w:fill="FFFFFF"/>
          </w:tcPr>
          <w:p w14:paraId="049E0B4F" w14:textId="002FE10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0.00295</w:t>
            </w:r>
          </w:p>
        </w:tc>
      </w:tr>
      <w:tr w:rsidR="00EE48DE" w:rsidRPr="00EE48DE" w14:paraId="57977270" w14:textId="3E2498FC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16246C5C" w14:textId="014061D8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6" w:type="pct"/>
            <w:shd w:val="clear" w:color="000000" w:fill="FFFFFF"/>
          </w:tcPr>
          <w:p w14:paraId="0E5DCF88" w14:textId="1DF65A30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0.00071</w:t>
            </w:r>
          </w:p>
        </w:tc>
        <w:tc>
          <w:tcPr>
            <w:tcW w:w="732" w:type="pct"/>
            <w:shd w:val="clear" w:color="000000" w:fill="FFFFFF"/>
          </w:tcPr>
          <w:p w14:paraId="3FEF3A2C" w14:textId="0EEE983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36" w:type="pct"/>
            <w:shd w:val="clear" w:color="000000" w:fill="FFFFFF"/>
          </w:tcPr>
          <w:p w14:paraId="1D0DD9BC" w14:textId="2B44ED4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6" w:type="pct"/>
            <w:shd w:val="clear" w:color="000000" w:fill="FFFFFF"/>
          </w:tcPr>
          <w:p w14:paraId="3766C123" w14:textId="0E4F5E9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0.00516</w:t>
            </w:r>
          </w:p>
        </w:tc>
        <w:tc>
          <w:tcPr>
            <w:tcW w:w="744" w:type="pct"/>
            <w:shd w:val="clear" w:color="000000" w:fill="FFFFFF"/>
          </w:tcPr>
          <w:p w14:paraId="7C0C2C42" w14:textId="15EC774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0.00322</w:t>
            </w:r>
          </w:p>
        </w:tc>
      </w:tr>
      <w:tr w:rsidR="00EE48DE" w:rsidRPr="00EE48DE" w14:paraId="432DA55B" w14:textId="7A0AEA4A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680E2553" w14:textId="725149FB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6" w:type="pct"/>
            <w:shd w:val="clear" w:color="000000" w:fill="FFFFFF"/>
          </w:tcPr>
          <w:p w14:paraId="01BADDE9" w14:textId="339010E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0.00078</w:t>
            </w:r>
          </w:p>
        </w:tc>
        <w:tc>
          <w:tcPr>
            <w:tcW w:w="732" w:type="pct"/>
            <w:shd w:val="clear" w:color="000000" w:fill="FFFFFF"/>
          </w:tcPr>
          <w:p w14:paraId="78DFF7AD" w14:textId="38E4CFD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36" w:type="pct"/>
            <w:shd w:val="clear" w:color="000000" w:fill="FFFFFF"/>
          </w:tcPr>
          <w:p w14:paraId="0FCB2514" w14:textId="2BA805D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6" w:type="pct"/>
            <w:shd w:val="clear" w:color="000000" w:fill="FFFFFF"/>
          </w:tcPr>
          <w:p w14:paraId="7F5A1E0B" w14:textId="67F5651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0.00568</w:t>
            </w:r>
          </w:p>
        </w:tc>
        <w:tc>
          <w:tcPr>
            <w:tcW w:w="744" w:type="pct"/>
            <w:shd w:val="clear" w:color="000000" w:fill="FFFFFF"/>
          </w:tcPr>
          <w:p w14:paraId="3F3F8B86" w14:textId="4C342EF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0.00353</w:t>
            </w:r>
          </w:p>
        </w:tc>
      </w:tr>
      <w:tr w:rsidR="00EE48DE" w:rsidRPr="00EE48DE" w14:paraId="1D3DA15B" w14:textId="03D87384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492D680E" w14:textId="3D077E12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6" w:type="pct"/>
            <w:shd w:val="clear" w:color="000000" w:fill="FFFFFF"/>
          </w:tcPr>
          <w:p w14:paraId="6DFDAC50" w14:textId="637C4D2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0.00082</w:t>
            </w:r>
          </w:p>
        </w:tc>
        <w:tc>
          <w:tcPr>
            <w:tcW w:w="732" w:type="pct"/>
            <w:shd w:val="clear" w:color="000000" w:fill="FFFFFF"/>
          </w:tcPr>
          <w:p w14:paraId="37C860FD" w14:textId="32A7EDF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36" w:type="pct"/>
            <w:shd w:val="clear" w:color="000000" w:fill="FFFFFF"/>
          </w:tcPr>
          <w:p w14:paraId="21D44EA5" w14:textId="08F9E2F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26" w:type="pct"/>
            <w:shd w:val="clear" w:color="000000" w:fill="FFFFFF"/>
          </w:tcPr>
          <w:p w14:paraId="68D9D28D" w14:textId="7584EA8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0.00624</w:t>
            </w:r>
          </w:p>
        </w:tc>
        <w:tc>
          <w:tcPr>
            <w:tcW w:w="744" w:type="pct"/>
            <w:shd w:val="clear" w:color="000000" w:fill="FFFFFF"/>
          </w:tcPr>
          <w:p w14:paraId="076F576C" w14:textId="0726443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0.00386</w:t>
            </w:r>
          </w:p>
        </w:tc>
      </w:tr>
      <w:tr w:rsidR="00EE48DE" w:rsidRPr="00EE48DE" w14:paraId="506E52A4" w14:textId="557988CC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6063D28F" w14:textId="6F60E3AF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6" w:type="pct"/>
            <w:shd w:val="clear" w:color="000000" w:fill="FFFFFF"/>
          </w:tcPr>
          <w:p w14:paraId="7091A21F" w14:textId="730BB14C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0.00083</w:t>
            </w:r>
          </w:p>
        </w:tc>
        <w:tc>
          <w:tcPr>
            <w:tcW w:w="732" w:type="pct"/>
            <w:shd w:val="clear" w:color="000000" w:fill="FFFFFF"/>
          </w:tcPr>
          <w:p w14:paraId="1E0567DD" w14:textId="229DB33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36" w:type="pct"/>
            <w:shd w:val="clear" w:color="000000" w:fill="FFFFFF"/>
          </w:tcPr>
          <w:p w14:paraId="3281EDA6" w14:textId="6213BF8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6" w:type="pct"/>
            <w:shd w:val="clear" w:color="000000" w:fill="FFFFFF"/>
          </w:tcPr>
          <w:p w14:paraId="3D86D697" w14:textId="2AA79E2C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0.00686</w:t>
            </w:r>
          </w:p>
        </w:tc>
        <w:tc>
          <w:tcPr>
            <w:tcW w:w="744" w:type="pct"/>
            <w:shd w:val="clear" w:color="000000" w:fill="FFFFFF"/>
          </w:tcPr>
          <w:p w14:paraId="78E33E29" w14:textId="7B6BC8A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0.00423</w:t>
            </w:r>
          </w:p>
        </w:tc>
      </w:tr>
      <w:tr w:rsidR="00EE48DE" w:rsidRPr="00EE48DE" w14:paraId="525553B4" w14:textId="40D4ACE5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78A29281" w14:textId="19E5BA76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6" w:type="pct"/>
            <w:shd w:val="clear" w:color="000000" w:fill="FFFFFF"/>
          </w:tcPr>
          <w:p w14:paraId="0FDB454B" w14:textId="1D2EFA4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0.00082</w:t>
            </w:r>
          </w:p>
        </w:tc>
        <w:tc>
          <w:tcPr>
            <w:tcW w:w="732" w:type="pct"/>
            <w:shd w:val="clear" w:color="000000" w:fill="FFFFFF"/>
          </w:tcPr>
          <w:p w14:paraId="69FE0D69" w14:textId="2E43BB6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36" w:type="pct"/>
            <w:shd w:val="clear" w:color="000000" w:fill="FFFFFF"/>
          </w:tcPr>
          <w:p w14:paraId="39F9ACBA" w14:textId="70FEE57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6" w:type="pct"/>
            <w:shd w:val="clear" w:color="000000" w:fill="FFFFFF"/>
          </w:tcPr>
          <w:p w14:paraId="3A6425C0" w14:textId="7DB53AA0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0.00755</w:t>
            </w:r>
          </w:p>
        </w:tc>
        <w:tc>
          <w:tcPr>
            <w:tcW w:w="744" w:type="pct"/>
            <w:shd w:val="clear" w:color="000000" w:fill="FFFFFF"/>
          </w:tcPr>
          <w:p w14:paraId="2F0909D9" w14:textId="2C9701D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0.00464</w:t>
            </w:r>
          </w:p>
        </w:tc>
      </w:tr>
      <w:tr w:rsidR="00EE48DE" w:rsidRPr="00EE48DE" w14:paraId="44774A70" w14:textId="08CB8E2C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49D62EC1" w14:textId="777A0B54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6" w:type="pct"/>
            <w:shd w:val="clear" w:color="000000" w:fill="FFFFFF"/>
          </w:tcPr>
          <w:p w14:paraId="38CC7B47" w14:textId="2011815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0.00079</w:t>
            </w:r>
          </w:p>
        </w:tc>
        <w:tc>
          <w:tcPr>
            <w:tcW w:w="732" w:type="pct"/>
            <w:shd w:val="clear" w:color="000000" w:fill="FFFFFF"/>
          </w:tcPr>
          <w:p w14:paraId="17A2327B" w14:textId="5A9BA8C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36" w:type="pct"/>
            <w:shd w:val="clear" w:color="000000" w:fill="FFFFFF"/>
          </w:tcPr>
          <w:p w14:paraId="0419D447" w14:textId="382E565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6" w:type="pct"/>
            <w:shd w:val="clear" w:color="000000" w:fill="FFFFFF"/>
          </w:tcPr>
          <w:p w14:paraId="6DF1544C" w14:textId="64B4360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0.00830</w:t>
            </w:r>
          </w:p>
        </w:tc>
        <w:tc>
          <w:tcPr>
            <w:tcW w:w="744" w:type="pct"/>
            <w:shd w:val="clear" w:color="000000" w:fill="FFFFFF"/>
          </w:tcPr>
          <w:p w14:paraId="5E3BE3C4" w14:textId="7088A6B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0.00510</w:t>
            </w:r>
          </w:p>
        </w:tc>
      </w:tr>
      <w:tr w:rsidR="00EE48DE" w:rsidRPr="00EE48DE" w14:paraId="2F518A8A" w14:textId="3A9DAF4B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5E8AA1AF" w14:textId="20A64FF5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6" w:type="pct"/>
            <w:shd w:val="clear" w:color="000000" w:fill="FFFFFF"/>
          </w:tcPr>
          <w:p w14:paraId="0769901E" w14:textId="27561AE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0.00075</w:t>
            </w:r>
          </w:p>
        </w:tc>
        <w:tc>
          <w:tcPr>
            <w:tcW w:w="732" w:type="pct"/>
            <w:shd w:val="clear" w:color="000000" w:fill="FFFFFF"/>
          </w:tcPr>
          <w:p w14:paraId="77CA84B2" w14:textId="2D540DC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36" w:type="pct"/>
            <w:shd w:val="clear" w:color="000000" w:fill="FFFFFF"/>
          </w:tcPr>
          <w:p w14:paraId="4E5AA8F6" w14:textId="4571B3D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6" w:type="pct"/>
            <w:shd w:val="clear" w:color="000000" w:fill="FFFFFF"/>
          </w:tcPr>
          <w:p w14:paraId="0710C19C" w14:textId="360C4F3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0.00914</w:t>
            </w:r>
          </w:p>
        </w:tc>
        <w:tc>
          <w:tcPr>
            <w:tcW w:w="744" w:type="pct"/>
            <w:shd w:val="clear" w:color="000000" w:fill="FFFFFF"/>
          </w:tcPr>
          <w:p w14:paraId="28E021CA" w14:textId="1148A9BC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0.00560</w:t>
            </w:r>
          </w:p>
        </w:tc>
      </w:tr>
      <w:tr w:rsidR="00EE48DE" w:rsidRPr="00EE48DE" w14:paraId="041C56B1" w14:textId="397D0AFD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4083922F" w14:textId="0CA0712B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6" w:type="pct"/>
            <w:shd w:val="clear" w:color="000000" w:fill="FFFFFF"/>
          </w:tcPr>
          <w:p w14:paraId="128BDFC8" w14:textId="0222401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0.00073</w:t>
            </w:r>
          </w:p>
        </w:tc>
        <w:tc>
          <w:tcPr>
            <w:tcW w:w="732" w:type="pct"/>
            <w:shd w:val="clear" w:color="000000" w:fill="FFFFFF"/>
          </w:tcPr>
          <w:p w14:paraId="1B14B2CE" w14:textId="7702429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36" w:type="pct"/>
            <w:shd w:val="clear" w:color="000000" w:fill="FFFFFF"/>
          </w:tcPr>
          <w:p w14:paraId="0D1B6621" w14:textId="2BA44B3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6" w:type="pct"/>
            <w:shd w:val="clear" w:color="000000" w:fill="FFFFFF"/>
          </w:tcPr>
          <w:p w14:paraId="6F29A7C6" w14:textId="58E6667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0.01005</w:t>
            </w:r>
          </w:p>
        </w:tc>
        <w:tc>
          <w:tcPr>
            <w:tcW w:w="744" w:type="pct"/>
            <w:shd w:val="clear" w:color="000000" w:fill="FFFFFF"/>
          </w:tcPr>
          <w:p w14:paraId="2C164214" w14:textId="19F64CE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0.00615</w:t>
            </w:r>
          </w:p>
        </w:tc>
      </w:tr>
      <w:tr w:rsidR="00EE48DE" w:rsidRPr="00EE48DE" w14:paraId="02B1FECC" w14:textId="6CF1C983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26CDDDE6" w14:textId="2CC0B110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6" w:type="pct"/>
            <w:shd w:val="clear" w:color="000000" w:fill="FFFFFF"/>
          </w:tcPr>
          <w:p w14:paraId="42C68A36" w14:textId="77556B1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0.00072</w:t>
            </w:r>
          </w:p>
        </w:tc>
        <w:tc>
          <w:tcPr>
            <w:tcW w:w="732" w:type="pct"/>
            <w:shd w:val="clear" w:color="000000" w:fill="FFFFFF"/>
          </w:tcPr>
          <w:p w14:paraId="55B1024C" w14:textId="22F9EE4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0.00031</w:t>
            </w:r>
          </w:p>
        </w:tc>
        <w:tc>
          <w:tcPr>
            <w:tcW w:w="1036" w:type="pct"/>
            <w:shd w:val="clear" w:color="000000" w:fill="FFFFFF"/>
          </w:tcPr>
          <w:p w14:paraId="12CC950A" w14:textId="18F234E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26" w:type="pct"/>
            <w:shd w:val="clear" w:color="000000" w:fill="FFFFFF"/>
          </w:tcPr>
          <w:p w14:paraId="4D7E4A38" w14:textId="1EE4781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0.01106</w:t>
            </w:r>
          </w:p>
        </w:tc>
        <w:tc>
          <w:tcPr>
            <w:tcW w:w="744" w:type="pct"/>
            <w:shd w:val="clear" w:color="000000" w:fill="FFFFFF"/>
          </w:tcPr>
          <w:p w14:paraId="00F218EB" w14:textId="3DDF824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0.00677</w:t>
            </w:r>
          </w:p>
        </w:tc>
      </w:tr>
      <w:tr w:rsidR="00EE48DE" w:rsidRPr="00EE48DE" w14:paraId="6FA42410" w14:textId="62B2A94A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6B134992" w14:textId="6936F820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6" w:type="pct"/>
            <w:shd w:val="clear" w:color="000000" w:fill="FFFFFF"/>
          </w:tcPr>
          <w:p w14:paraId="5DFA5AED" w14:textId="7CD9D7C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0.00073</w:t>
            </w:r>
          </w:p>
        </w:tc>
        <w:tc>
          <w:tcPr>
            <w:tcW w:w="732" w:type="pct"/>
            <w:shd w:val="clear" w:color="000000" w:fill="FFFFFF"/>
          </w:tcPr>
          <w:p w14:paraId="687F1DB9" w14:textId="4C37428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0.00033</w:t>
            </w:r>
          </w:p>
        </w:tc>
        <w:tc>
          <w:tcPr>
            <w:tcW w:w="1036" w:type="pct"/>
            <w:shd w:val="clear" w:color="000000" w:fill="FFFFFF"/>
          </w:tcPr>
          <w:p w14:paraId="7B156561" w14:textId="42952CD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6" w:type="pct"/>
            <w:shd w:val="clear" w:color="000000" w:fill="FFFFFF"/>
          </w:tcPr>
          <w:p w14:paraId="7EDF3C4F" w14:textId="6FE7030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0.01217</w:t>
            </w:r>
          </w:p>
        </w:tc>
        <w:tc>
          <w:tcPr>
            <w:tcW w:w="744" w:type="pct"/>
            <w:shd w:val="clear" w:color="000000" w:fill="FFFFFF"/>
          </w:tcPr>
          <w:p w14:paraId="5519AF7D" w14:textId="0C6C479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0.00745</w:t>
            </w:r>
          </w:p>
        </w:tc>
      </w:tr>
      <w:tr w:rsidR="00EE48DE" w:rsidRPr="00EE48DE" w14:paraId="4101B812" w14:textId="556E33F0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279876DF" w14:textId="7EFF5A00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6" w:type="pct"/>
            <w:shd w:val="clear" w:color="000000" w:fill="FFFFFF"/>
          </w:tcPr>
          <w:p w14:paraId="1F15034F" w14:textId="252CBDF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0.00074</w:t>
            </w:r>
          </w:p>
        </w:tc>
        <w:tc>
          <w:tcPr>
            <w:tcW w:w="732" w:type="pct"/>
            <w:shd w:val="clear" w:color="000000" w:fill="FFFFFF"/>
          </w:tcPr>
          <w:p w14:paraId="042CAD51" w14:textId="4080924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0.00035</w:t>
            </w:r>
          </w:p>
        </w:tc>
        <w:tc>
          <w:tcPr>
            <w:tcW w:w="1036" w:type="pct"/>
            <w:shd w:val="clear" w:color="000000" w:fill="FFFFFF"/>
          </w:tcPr>
          <w:p w14:paraId="7FCB5CBE" w14:textId="31022A5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6" w:type="pct"/>
            <w:shd w:val="clear" w:color="000000" w:fill="FFFFFF"/>
          </w:tcPr>
          <w:p w14:paraId="37B1EE11" w14:textId="3B1E387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0.01340</w:t>
            </w:r>
          </w:p>
        </w:tc>
        <w:tc>
          <w:tcPr>
            <w:tcW w:w="744" w:type="pct"/>
            <w:shd w:val="clear" w:color="000000" w:fill="FFFFFF"/>
          </w:tcPr>
          <w:p w14:paraId="4006E48F" w14:textId="1168512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0.00821</w:t>
            </w:r>
          </w:p>
        </w:tc>
      </w:tr>
      <w:tr w:rsidR="00EE48DE" w:rsidRPr="00EE48DE" w14:paraId="29CA33B7" w14:textId="637B0861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4B5C4E40" w14:textId="1F77CC8A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6" w:type="pct"/>
            <w:shd w:val="clear" w:color="000000" w:fill="FFFFFF"/>
          </w:tcPr>
          <w:p w14:paraId="2F32C272" w14:textId="51EE867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0.00077</w:t>
            </w:r>
          </w:p>
        </w:tc>
        <w:tc>
          <w:tcPr>
            <w:tcW w:w="732" w:type="pct"/>
            <w:shd w:val="clear" w:color="000000" w:fill="FFFFFF"/>
          </w:tcPr>
          <w:p w14:paraId="495A570C" w14:textId="46A8CC1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0.00038</w:t>
            </w:r>
          </w:p>
        </w:tc>
        <w:tc>
          <w:tcPr>
            <w:tcW w:w="1036" w:type="pct"/>
            <w:shd w:val="clear" w:color="000000" w:fill="FFFFFF"/>
          </w:tcPr>
          <w:p w14:paraId="01FD678E" w14:textId="69FDC93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6" w:type="pct"/>
            <w:shd w:val="clear" w:color="000000" w:fill="FFFFFF"/>
          </w:tcPr>
          <w:p w14:paraId="717A5ECA" w14:textId="481D157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0.01475</w:t>
            </w:r>
          </w:p>
        </w:tc>
        <w:tc>
          <w:tcPr>
            <w:tcW w:w="744" w:type="pct"/>
            <w:shd w:val="clear" w:color="000000" w:fill="FFFFFF"/>
          </w:tcPr>
          <w:p w14:paraId="7E937207" w14:textId="1ECDC2A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0.00905</w:t>
            </w:r>
          </w:p>
        </w:tc>
      </w:tr>
      <w:tr w:rsidR="00EE48DE" w:rsidRPr="00EE48DE" w14:paraId="1D69F745" w14:textId="798A770B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7D779FE9" w14:textId="54AA2775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6" w:type="pct"/>
            <w:shd w:val="clear" w:color="000000" w:fill="FFFFFF"/>
          </w:tcPr>
          <w:p w14:paraId="713EBA22" w14:textId="1EB8879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0.00081</w:t>
            </w:r>
          </w:p>
        </w:tc>
        <w:tc>
          <w:tcPr>
            <w:tcW w:w="732" w:type="pct"/>
            <w:shd w:val="clear" w:color="000000" w:fill="FFFFFF"/>
          </w:tcPr>
          <w:p w14:paraId="0E779A5F" w14:textId="2835E49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0.00041</w:t>
            </w:r>
          </w:p>
        </w:tc>
        <w:tc>
          <w:tcPr>
            <w:tcW w:w="1036" w:type="pct"/>
            <w:shd w:val="clear" w:color="000000" w:fill="FFFFFF"/>
          </w:tcPr>
          <w:p w14:paraId="5005CE9E" w14:textId="56B0AE7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6" w:type="pct"/>
            <w:shd w:val="clear" w:color="000000" w:fill="FFFFFF"/>
          </w:tcPr>
          <w:p w14:paraId="09D4535A" w14:textId="532227D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0.01624</w:t>
            </w:r>
          </w:p>
        </w:tc>
        <w:tc>
          <w:tcPr>
            <w:tcW w:w="744" w:type="pct"/>
            <w:shd w:val="clear" w:color="000000" w:fill="FFFFFF"/>
          </w:tcPr>
          <w:p w14:paraId="318E4FE7" w14:textId="605EE1F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0.00999</w:t>
            </w:r>
          </w:p>
        </w:tc>
      </w:tr>
      <w:tr w:rsidR="00EE48DE" w:rsidRPr="00EE48DE" w14:paraId="3940A053" w14:textId="3B9C3134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0E41860C" w14:textId="368FA563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6" w:type="pct"/>
            <w:shd w:val="clear" w:color="000000" w:fill="FFFFFF"/>
          </w:tcPr>
          <w:p w14:paraId="02C031A9" w14:textId="3FC89EB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0.00086</w:t>
            </w:r>
          </w:p>
        </w:tc>
        <w:tc>
          <w:tcPr>
            <w:tcW w:w="732" w:type="pct"/>
            <w:shd w:val="clear" w:color="000000" w:fill="FFFFFF"/>
          </w:tcPr>
          <w:p w14:paraId="223DD5D2" w14:textId="0E7D542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0.00045</w:t>
            </w:r>
          </w:p>
        </w:tc>
        <w:tc>
          <w:tcPr>
            <w:tcW w:w="1036" w:type="pct"/>
            <w:shd w:val="clear" w:color="000000" w:fill="FFFFFF"/>
          </w:tcPr>
          <w:p w14:paraId="72185B06" w14:textId="33103E9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6" w:type="pct"/>
            <w:shd w:val="clear" w:color="000000" w:fill="FFFFFF"/>
          </w:tcPr>
          <w:p w14:paraId="2B68EBCB" w14:textId="113DE99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0.01788</w:t>
            </w:r>
          </w:p>
        </w:tc>
        <w:tc>
          <w:tcPr>
            <w:tcW w:w="744" w:type="pct"/>
            <w:shd w:val="clear" w:color="000000" w:fill="FFFFFF"/>
          </w:tcPr>
          <w:p w14:paraId="732A92E6" w14:textId="0F38262C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0.01102</w:t>
            </w:r>
          </w:p>
        </w:tc>
      </w:tr>
      <w:tr w:rsidR="00EE48DE" w:rsidRPr="00EE48DE" w14:paraId="652AC933" w14:textId="43527EAF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67ACB824" w14:textId="79114FAD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6" w:type="pct"/>
            <w:shd w:val="clear" w:color="000000" w:fill="FFFFFF"/>
          </w:tcPr>
          <w:p w14:paraId="68211D36" w14:textId="282A89F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732" w:type="pct"/>
            <w:shd w:val="clear" w:color="000000" w:fill="FFFFFF"/>
          </w:tcPr>
          <w:p w14:paraId="596A7C2E" w14:textId="02FAEA8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0.00049</w:t>
            </w:r>
          </w:p>
        </w:tc>
        <w:tc>
          <w:tcPr>
            <w:tcW w:w="1036" w:type="pct"/>
            <w:shd w:val="clear" w:color="000000" w:fill="FFFFFF"/>
          </w:tcPr>
          <w:p w14:paraId="4ED2E69A" w14:textId="781D1C4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6" w:type="pct"/>
            <w:shd w:val="clear" w:color="000000" w:fill="FFFFFF"/>
          </w:tcPr>
          <w:p w14:paraId="0BE5726C" w14:textId="0FD3D0A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0.01969</w:t>
            </w:r>
          </w:p>
        </w:tc>
        <w:tc>
          <w:tcPr>
            <w:tcW w:w="744" w:type="pct"/>
            <w:shd w:val="clear" w:color="000000" w:fill="FFFFFF"/>
          </w:tcPr>
          <w:p w14:paraId="7C634FDB" w14:textId="4BF7605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0.01218</w:t>
            </w:r>
          </w:p>
        </w:tc>
      </w:tr>
      <w:tr w:rsidR="00EE48DE" w:rsidRPr="00EE48DE" w14:paraId="75F2C5C2" w14:textId="08FB6E5C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48934252" w14:textId="6F04CA55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6" w:type="pct"/>
            <w:shd w:val="clear" w:color="000000" w:fill="FFFFFF"/>
          </w:tcPr>
          <w:p w14:paraId="546410F7" w14:textId="25D3180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0.00096</w:t>
            </w:r>
          </w:p>
        </w:tc>
        <w:tc>
          <w:tcPr>
            <w:tcW w:w="732" w:type="pct"/>
            <w:shd w:val="clear" w:color="000000" w:fill="FFFFFF"/>
          </w:tcPr>
          <w:p w14:paraId="1DEBB105" w14:textId="2E4E1D7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0.00053</w:t>
            </w:r>
          </w:p>
        </w:tc>
        <w:tc>
          <w:tcPr>
            <w:tcW w:w="1036" w:type="pct"/>
            <w:shd w:val="clear" w:color="000000" w:fill="FFFFFF"/>
          </w:tcPr>
          <w:p w14:paraId="30C5852E" w14:textId="6C38D29C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6" w:type="pct"/>
            <w:shd w:val="clear" w:color="000000" w:fill="FFFFFF"/>
          </w:tcPr>
          <w:p w14:paraId="249313AC" w14:textId="5AF48A0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0.02168</w:t>
            </w:r>
          </w:p>
        </w:tc>
        <w:tc>
          <w:tcPr>
            <w:tcW w:w="744" w:type="pct"/>
            <w:shd w:val="clear" w:color="000000" w:fill="FFFFFF"/>
          </w:tcPr>
          <w:p w14:paraId="39667EC8" w14:textId="72611DC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0.01347</w:t>
            </w:r>
          </w:p>
        </w:tc>
      </w:tr>
      <w:tr w:rsidR="00EE48DE" w:rsidRPr="00EE48DE" w14:paraId="4F308238" w14:textId="2C1A9B92" w:rsidTr="00EE48DE">
        <w:trPr>
          <w:trHeight w:val="293"/>
          <w:tblHeader/>
        </w:trPr>
        <w:tc>
          <w:tcPr>
            <w:tcW w:w="1036" w:type="pct"/>
            <w:shd w:val="clear" w:color="000000" w:fill="FFFFFF"/>
          </w:tcPr>
          <w:p w14:paraId="1FE82CA1" w14:textId="05CD0BF1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6" w:type="pct"/>
            <w:shd w:val="clear" w:color="000000" w:fill="FFFFFF"/>
          </w:tcPr>
          <w:p w14:paraId="2904DCB4" w14:textId="264FC86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0.00101</w:t>
            </w:r>
          </w:p>
        </w:tc>
        <w:tc>
          <w:tcPr>
            <w:tcW w:w="732" w:type="pct"/>
            <w:shd w:val="clear" w:color="000000" w:fill="FFFFFF"/>
          </w:tcPr>
          <w:p w14:paraId="3A93B26B" w14:textId="5DC73B6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0.00058</w:t>
            </w:r>
          </w:p>
        </w:tc>
        <w:tc>
          <w:tcPr>
            <w:tcW w:w="1036" w:type="pct"/>
            <w:shd w:val="clear" w:color="000000" w:fill="FFFFFF"/>
          </w:tcPr>
          <w:p w14:paraId="13CEEC82" w14:textId="12BFCA8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6" w:type="pct"/>
            <w:shd w:val="clear" w:color="000000" w:fill="FFFFFF"/>
          </w:tcPr>
          <w:p w14:paraId="0454011C" w14:textId="62C8C30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0.02388</w:t>
            </w:r>
          </w:p>
        </w:tc>
        <w:tc>
          <w:tcPr>
            <w:tcW w:w="744" w:type="pct"/>
            <w:shd w:val="clear" w:color="000000" w:fill="FFFFFF"/>
          </w:tcPr>
          <w:p w14:paraId="25BB4665" w14:textId="4AEFC42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0.01490</w:t>
            </w:r>
          </w:p>
        </w:tc>
      </w:tr>
      <w:tr w:rsidR="00EE48DE" w:rsidRPr="00EE48DE" w14:paraId="542DF172" w14:textId="1C886583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45080707" w14:textId="0AD35AB9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6" w:type="pct"/>
            <w:shd w:val="clear" w:color="auto" w:fill="FFFFFF"/>
          </w:tcPr>
          <w:p w14:paraId="6002792C" w14:textId="694C23E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0.00108</w:t>
            </w:r>
          </w:p>
        </w:tc>
        <w:tc>
          <w:tcPr>
            <w:tcW w:w="732" w:type="pct"/>
            <w:shd w:val="clear" w:color="auto" w:fill="FFFFFF"/>
          </w:tcPr>
          <w:p w14:paraId="59EF80D2" w14:textId="290B283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0.00063</w:t>
            </w:r>
          </w:p>
        </w:tc>
        <w:tc>
          <w:tcPr>
            <w:tcW w:w="1036" w:type="pct"/>
            <w:shd w:val="clear" w:color="auto" w:fill="FFFFFF"/>
          </w:tcPr>
          <w:p w14:paraId="37AB1DBE" w14:textId="6B4504B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6" w:type="pct"/>
            <w:shd w:val="clear" w:color="auto" w:fill="FFFFFF"/>
          </w:tcPr>
          <w:p w14:paraId="3AA0E2FB" w14:textId="51D33760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0.02630</w:t>
            </w:r>
          </w:p>
        </w:tc>
        <w:tc>
          <w:tcPr>
            <w:tcW w:w="744" w:type="pct"/>
            <w:shd w:val="clear" w:color="auto" w:fill="FFFFFF"/>
          </w:tcPr>
          <w:p w14:paraId="493092AC" w14:textId="2F00359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0.01650</w:t>
            </w:r>
          </w:p>
        </w:tc>
      </w:tr>
      <w:tr w:rsidR="00EE48DE" w:rsidRPr="00EE48DE" w14:paraId="4BD0FA6A" w14:textId="6777A201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59D36BD2" w14:textId="25DC35CF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6" w:type="pct"/>
            <w:shd w:val="clear" w:color="auto" w:fill="FFFFFF"/>
          </w:tcPr>
          <w:p w14:paraId="1EDC3DB8" w14:textId="0C0906B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0.00115</w:t>
            </w:r>
          </w:p>
        </w:tc>
        <w:tc>
          <w:tcPr>
            <w:tcW w:w="732" w:type="pct"/>
            <w:shd w:val="clear" w:color="auto" w:fill="FFFFFF"/>
          </w:tcPr>
          <w:p w14:paraId="02387AF0" w14:textId="51535D0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0.00068</w:t>
            </w:r>
          </w:p>
        </w:tc>
        <w:tc>
          <w:tcPr>
            <w:tcW w:w="1036" w:type="pct"/>
            <w:shd w:val="clear" w:color="auto" w:fill="FFFFFF"/>
          </w:tcPr>
          <w:p w14:paraId="738EF22D" w14:textId="3615BCC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6" w:type="pct"/>
            <w:shd w:val="clear" w:color="auto" w:fill="FFFFFF"/>
          </w:tcPr>
          <w:p w14:paraId="4DEDA52D" w14:textId="7AF7D19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0.02898</w:t>
            </w:r>
          </w:p>
        </w:tc>
        <w:tc>
          <w:tcPr>
            <w:tcW w:w="744" w:type="pct"/>
            <w:shd w:val="clear" w:color="auto" w:fill="FFFFFF"/>
          </w:tcPr>
          <w:p w14:paraId="30E6A0DE" w14:textId="10318480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0.01828</w:t>
            </w:r>
          </w:p>
        </w:tc>
      </w:tr>
      <w:tr w:rsidR="00EE48DE" w:rsidRPr="00EE48DE" w14:paraId="4D0837FC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10A8B529" w14:textId="60FE204D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6" w:type="pct"/>
            <w:shd w:val="clear" w:color="auto" w:fill="FFFFFF"/>
          </w:tcPr>
          <w:p w14:paraId="333AB22C" w14:textId="102A06A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0.00123</w:t>
            </w:r>
          </w:p>
        </w:tc>
        <w:tc>
          <w:tcPr>
            <w:tcW w:w="732" w:type="pct"/>
            <w:shd w:val="clear" w:color="auto" w:fill="FFFFFF"/>
          </w:tcPr>
          <w:p w14:paraId="6DD21860" w14:textId="374E4F5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0.00074</w:t>
            </w:r>
          </w:p>
        </w:tc>
        <w:tc>
          <w:tcPr>
            <w:tcW w:w="1036" w:type="pct"/>
            <w:shd w:val="clear" w:color="auto" w:fill="FFFFFF"/>
          </w:tcPr>
          <w:p w14:paraId="2FFE0546" w14:textId="56B4DDC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6" w:type="pct"/>
            <w:shd w:val="clear" w:color="auto" w:fill="FFFFFF"/>
          </w:tcPr>
          <w:p w14:paraId="3F1D2592" w14:textId="73AC9C0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0.03193</w:t>
            </w:r>
          </w:p>
        </w:tc>
        <w:tc>
          <w:tcPr>
            <w:tcW w:w="744" w:type="pct"/>
            <w:shd w:val="clear" w:color="auto" w:fill="FFFFFF"/>
          </w:tcPr>
          <w:p w14:paraId="5C373565" w14:textId="3FEB24C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0.02028</w:t>
            </w:r>
          </w:p>
        </w:tc>
      </w:tr>
      <w:tr w:rsidR="00EE48DE" w:rsidRPr="00EE48DE" w14:paraId="7356808B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3354E52A" w14:textId="5245D308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6" w:type="pct"/>
            <w:shd w:val="clear" w:color="auto" w:fill="FFFFFF"/>
          </w:tcPr>
          <w:p w14:paraId="5AE84E87" w14:textId="5BBDB65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0.00131</w:t>
            </w:r>
          </w:p>
        </w:tc>
        <w:tc>
          <w:tcPr>
            <w:tcW w:w="732" w:type="pct"/>
            <w:shd w:val="clear" w:color="auto" w:fill="FFFFFF"/>
          </w:tcPr>
          <w:p w14:paraId="1D197BD1" w14:textId="180A1389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0.00081</w:t>
            </w:r>
          </w:p>
        </w:tc>
        <w:tc>
          <w:tcPr>
            <w:tcW w:w="1036" w:type="pct"/>
            <w:shd w:val="clear" w:color="auto" w:fill="FFFFFF"/>
          </w:tcPr>
          <w:p w14:paraId="75AFD48B" w14:textId="3AEF4EA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6" w:type="pct"/>
            <w:shd w:val="clear" w:color="auto" w:fill="FFFFFF"/>
          </w:tcPr>
          <w:p w14:paraId="7579CD9B" w14:textId="09A8F40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0.03518</w:t>
            </w:r>
          </w:p>
        </w:tc>
        <w:tc>
          <w:tcPr>
            <w:tcW w:w="744" w:type="pct"/>
            <w:shd w:val="clear" w:color="auto" w:fill="FFFFFF"/>
          </w:tcPr>
          <w:p w14:paraId="5CD1AFEA" w14:textId="31A73D9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0.02250</w:t>
            </w:r>
          </w:p>
        </w:tc>
      </w:tr>
      <w:tr w:rsidR="00EE48DE" w:rsidRPr="00EE48DE" w14:paraId="0AB9DF56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052B9EAB" w14:textId="559C2B03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6" w:type="pct"/>
            <w:shd w:val="clear" w:color="auto" w:fill="FFFFFF"/>
          </w:tcPr>
          <w:p w14:paraId="7572BE04" w14:textId="632AED6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0.00141</w:t>
            </w:r>
          </w:p>
        </w:tc>
        <w:tc>
          <w:tcPr>
            <w:tcW w:w="732" w:type="pct"/>
            <w:shd w:val="clear" w:color="auto" w:fill="FFFFFF"/>
          </w:tcPr>
          <w:p w14:paraId="4DF08CA0" w14:textId="00E3588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0.00088</w:t>
            </w:r>
          </w:p>
        </w:tc>
        <w:tc>
          <w:tcPr>
            <w:tcW w:w="1036" w:type="pct"/>
            <w:shd w:val="clear" w:color="auto" w:fill="FFFFFF"/>
          </w:tcPr>
          <w:p w14:paraId="204FA2A1" w14:textId="77F36DEC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6" w:type="pct"/>
            <w:shd w:val="clear" w:color="auto" w:fill="FFFFFF"/>
          </w:tcPr>
          <w:p w14:paraId="2A1EBF6D" w14:textId="50CCF849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0.03877</w:t>
            </w:r>
          </w:p>
        </w:tc>
        <w:tc>
          <w:tcPr>
            <w:tcW w:w="744" w:type="pct"/>
            <w:shd w:val="clear" w:color="auto" w:fill="FFFFFF"/>
          </w:tcPr>
          <w:p w14:paraId="78A27044" w14:textId="625DE49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0.02499</w:t>
            </w:r>
          </w:p>
        </w:tc>
      </w:tr>
      <w:tr w:rsidR="00EE48DE" w:rsidRPr="00EE48DE" w14:paraId="0A768297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08CBC46F" w14:textId="2CC8C68E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6" w:type="pct"/>
            <w:shd w:val="clear" w:color="auto" w:fill="FFFFFF"/>
          </w:tcPr>
          <w:p w14:paraId="0C3B82C3" w14:textId="2D760B4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0.00151</w:t>
            </w:r>
          </w:p>
        </w:tc>
        <w:tc>
          <w:tcPr>
            <w:tcW w:w="732" w:type="pct"/>
            <w:shd w:val="clear" w:color="auto" w:fill="FFFFFF"/>
          </w:tcPr>
          <w:p w14:paraId="62141B4D" w14:textId="249C8CE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0.00096</w:t>
            </w:r>
          </w:p>
        </w:tc>
        <w:tc>
          <w:tcPr>
            <w:tcW w:w="1036" w:type="pct"/>
            <w:shd w:val="clear" w:color="auto" w:fill="FFFFFF"/>
          </w:tcPr>
          <w:p w14:paraId="3868361C" w14:textId="4717F13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6" w:type="pct"/>
            <w:shd w:val="clear" w:color="auto" w:fill="FFFFFF"/>
          </w:tcPr>
          <w:p w14:paraId="10F0A18C" w14:textId="7C8D9BD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0.04273</w:t>
            </w:r>
          </w:p>
        </w:tc>
        <w:tc>
          <w:tcPr>
            <w:tcW w:w="744" w:type="pct"/>
            <w:shd w:val="clear" w:color="auto" w:fill="FFFFFF"/>
          </w:tcPr>
          <w:p w14:paraId="7A72355F" w14:textId="5F9FED7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0.02777</w:t>
            </w:r>
          </w:p>
        </w:tc>
      </w:tr>
      <w:tr w:rsidR="00EE48DE" w:rsidRPr="00EE48DE" w14:paraId="2710D0D6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20628325" w14:textId="24D59E9F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6" w:type="pct"/>
            <w:shd w:val="clear" w:color="auto" w:fill="FFFFFF"/>
          </w:tcPr>
          <w:p w14:paraId="7E4DD504" w14:textId="3232F3C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0.00163</w:t>
            </w:r>
          </w:p>
        </w:tc>
        <w:tc>
          <w:tcPr>
            <w:tcW w:w="732" w:type="pct"/>
            <w:shd w:val="clear" w:color="auto" w:fill="FFFFFF"/>
          </w:tcPr>
          <w:p w14:paraId="0AF1EB99" w14:textId="67BF938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0.00104</w:t>
            </w:r>
          </w:p>
        </w:tc>
        <w:tc>
          <w:tcPr>
            <w:tcW w:w="1036" w:type="pct"/>
            <w:shd w:val="clear" w:color="auto" w:fill="FFFFFF"/>
          </w:tcPr>
          <w:p w14:paraId="7DE80AD8" w14:textId="15665D0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6" w:type="pct"/>
            <w:shd w:val="clear" w:color="auto" w:fill="FFFFFF"/>
          </w:tcPr>
          <w:p w14:paraId="49F4FE7F" w14:textId="130BAB1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0.04711</w:t>
            </w:r>
          </w:p>
        </w:tc>
        <w:tc>
          <w:tcPr>
            <w:tcW w:w="744" w:type="pct"/>
            <w:shd w:val="clear" w:color="auto" w:fill="FFFFFF"/>
          </w:tcPr>
          <w:p w14:paraId="56D43C0E" w14:textId="41B03BA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0.03088</w:t>
            </w:r>
          </w:p>
        </w:tc>
      </w:tr>
      <w:tr w:rsidR="00EE48DE" w:rsidRPr="00EE48DE" w14:paraId="6F49B0DC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2F0580E2" w14:textId="3B8B0C34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6" w:type="pct"/>
            <w:shd w:val="clear" w:color="auto" w:fill="FFFFFF"/>
          </w:tcPr>
          <w:p w14:paraId="012E2058" w14:textId="605FEF9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0.00176</w:t>
            </w:r>
          </w:p>
        </w:tc>
        <w:tc>
          <w:tcPr>
            <w:tcW w:w="732" w:type="pct"/>
            <w:shd w:val="clear" w:color="auto" w:fill="FFFFFF"/>
          </w:tcPr>
          <w:p w14:paraId="619B72F5" w14:textId="5B76953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0.00114</w:t>
            </w:r>
          </w:p>
        </w:tc>
        <w:tc>
          <w:tcPr>
            <w:tcW w:w="1036" w:type="pct"/>
            <w:shd w:val="clear" w:color="auto" w:fill="FFFFFF"/>
          </w:tcPr>
          <w:p w14:paraId="23961A8A" w14:textId="20ED070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6" w:type="pct"/>
            <w:shd w:val="clear" w:color="auto" w:fill="FFFFFF"/>
          </w:tcPr>
          <w:p w14:paraId="5084F6E6" w14:textId="40345CF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0.05193</w:t>
            </w:r>
          </w:p>
        </w:tc>
        <w:tc>
          <w:tcPr>
            <w:tcW w:w="744" w:type="pct"/>
            <w:shd w:val="clear" w:color="auto" w:fill="FFFFFF"/>
          </w:tcPr>
          <w:p w14:paraId="1800BC6F" w14:textId="33DEF7A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0.03437</w:t>
            </w:r>
          </w:p>
        </w:tc>
      </w:tr>
      <w:tr w:rsidR="00EE48DE" w:rsidRPr="00EE48DE" w14:paraId="71FA5063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1C281DC4" w14:textId="6F4775BC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6" w:type="pct"/>
            <w:shd w:val="clear" w:color="auto" w:fill="FFFFFF"/>
          </w:tcPr>
          <w:p w14:paraId="4A0AB83A" w14:textId="237C98D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0.00191</w:t>
            </w:r>
          </w:p>
        </w:tc>
        <w:tc>
          <w:tcPr>
            <w:tcW w:w="732" w:type="pct"/>
            <w:shd w:val="clear" w:color="auto" w:fill="FFFFFF"/>
          </w:tcPr>
          <w:p w14:paraId="184A629D" w14:textId="7DFF7CF0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0.00124</w:t>
            </w:r>
          </w:p>
        </w:tc>
        <w:tc>
          <w:tcPr>
            <w:tcW w:w="1036" w:type="pct"/>
            <w:shd w:val="clear" w:color="auto" w:fill="FFFFFF"/>
          </w:tcPr>
          <w:p w14:paraId="78B5D6D5" w14:textId="0BD0651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6" w:type="pct"/>
            <w:shd w:val="clear" w:color="auto" w:fill="FFFFFF"/>
          </w:tcPr>
          <w:p w14:paraId="72FF9340" w14:textId="54C2000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0.05726</w:t>
            </w:r>
          </w:p>
        </w:tc>
        <w:tc>
          <w:tcPr>
            <w:tcW w:w="744" w:type="pct"/>
            <w:shd w:val="clear" w:color="auto" w:fill="FFFFFF"/>
          </w:tcPr>
          <w:p w14:paraId="51C0F16A" w14:textId="31874DD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0.03828</w:t>
            </w:r>
          </w:p>
        </w:tc>
      </w:tr>
      <w:tr w:rsidR="00EE48DE" w:rsidRPr="00EE48DE" w14:paraId="02428F8F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0FA4A459" w14:textId="4D68FC6C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6" w:type="pct"/>
            <w:shd w:val="clear" w:color="auto" w:fill="FFFFFF"/>
          </w:tcPr>
          <w:p w14:paraId="3A4196D7" w14:textId="4FA8912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0.00207</w:t>
            </w:r>
          </w:p>
        </w:tc>
        <w:tc>
          <w:tcPr>
            <w:tcW w:w="732" w:type="pct"/>
            <w:shd w:val="clear" w:color="auto" w:fill="FFFFFF"/>
          </w:tcPr>
          <w:p w14:paraId="01448BE7" w14:textId="10D6524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0.00135</w:t>
            </w:r>
          </w:p>
        </w:tc>
        <w:tc>
          <w:tcPr>
            <w:tcW w:w="1036" w:type="pct"/>
            <w:shd w:val="clear" w:color="auto" w:fill="FFFFFF"/>
          </w:tcPr>
          <w:p w14:paraId="3DB7CF92" w14:textId="2EC1969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26" w:type="pct"/>
            <w:shd w:val="clear" w:color="auto" w:fill="FFFFFF"/>
          </w:tcPr>
          <w:p w14:paraId="4FA2E5C9" w14:textId="53BAA06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0.06314</w:t>
            </w:r>
          </w:p>
        </w:tc>
        <w:tc>
          <w:tcPr>
            <w:tcW w:w="744" w:type="pct"/>
            <w:shd w:val="clear" w:color="auto" w:fill="FFFFFF"/>
          </w:tcPr>
          <w:p w14:paraId="37563BD8" w14:textId="39A96EA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0.04267</w:t>
            </w:r>
          </w:p>
        </w:tc>
      </w:tr>
      <w:tr w:rsidR="00EE48DE" w:rsidRPr="00EE48DE" w14:paraId="684C942E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0E95BCA3" w14:textId="09201D7B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6" w:type="pct"/>
            <w:shd w:val="clear" w:color="auto" w:fill="FFFFFF"/>
          </w:tcPr>
          <w:p w14:paraId="2172613B" w14:textId="3017B26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0.00225</w:t>
            </w:r>
          </w:p>
        </w:tc>
        <w:tc>
          <w:tcPr>
            <w:tcW w:w="732" w:type="pct"/>
            <w:shd w:val="clear" w:color="auto" w:fill="FFFFFF"/>
          </w:tcPr>
          <w:p w14:paraId="3C08C7C3" w14:textId="1824E90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0.00147</w:t>
            </w:r>
          </w:p>
        </w:tc>
        <w:tc>
          <w:tcPr>
            <w:tcW w:w="1036" w:type="pct"/>
            <w:shd w:val="clear" w:color="auto" w:fill="FFFFFF"/>
          </w:tcPr>
          <w:p w14:paraId="37E44793" w14:textId="3407F76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26" w:type="pct"/>
            <w:shd w:val="clear" w:color="auto" w:fill="FFFFFF"/>
          </w:tcPr>
          <w:p w14:paraId="4B9AB409" w14:textId="30AC183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0.06963</w:t>
            </w:r>
          </w:p>
        </w:tc>
        <w:tc>
          <w:tcPr>
            <w:tcW w:w="744" w:type="pct"/>
            <w:shd w:val="clear" w:color="auto" w:fill="FFFFFF"/>
          </w:tcPr>
          <w:p w14:paraId="08F98AC0" w14:textId="5529ED5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0.04760</w:t>
            </w:r>
          </w:p>
        </w:tc>
      </w:tr>
      <w:tr w:rsidR="00EE48DE" w:rsidRPr="00EE48DE" w14:paraId="0BD7AA15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16FC550D" w14:textId="5B0C5475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6" w:type="pct"/>
            <w:shd w:val="clear" w:color="auto" w:fill="FFFFFF"/>
          </w:tcPr>
          <w:p w14:paraId="695794FC" w14:textId="0310FF1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0.00245</w:t>
            </w:r>
          </w:p>
        </w:tc>
        <w:tc>
          <w:tcPr>
            <w:tcW w:w="732" w:type="pct"/>
            <w:shd w:val="clear" w:color="auto" w:fill="FFFFFF"/>
          </w:tcPr>
          <w:p w14:paraId="5FFB6967" w14:textId="3E1624F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0.00160</w:t>
            </w:r>
          </w:p>
        </w:tc>
        <w:tc>
          <w:tcPr>
            <w:tcW w:w="1036" w:type="pct"/>
            <w:shd w:val="clear" w:color="auto" w:fill="FFFFFF"/>
          </w:tcPr>
          <w:p w14:paraId="4B0776CC" w14:textId="7E4A040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26" w:type="pct"/>
            <w:shd w:val="clear" w:color="auto" w:fill="FFFFFF"/>
          </w:tcPr>
          <w:p w14:paraId="78655CE7" w14:textId="7888C040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0.07680</w:t>
            </w:r>
          </w:p>
        </w:tc>
        <w:tc>
          <w:tcPr>
            <w:tcW w:w="744" w:type="pct"/>
            <w:shd w:val="clear" w:color="auto" w:fill="FFFFFF"/>
          </w:tcPr>
          <w:p w14:paraId="63AA003A" w14:textId="31445D7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0.05313</w:t>
            </w:r>
          </w:p>
        </w:tc>
      </w:tr>
      <w:tr w:rsidR="00EE48DE" w:rsidRPr="00EE48DE" w14:paraId="2C58A506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1BA12EB3" w14:textId="5FBFB31D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6" w:type="pct"/>
            <w:shd w:val="clear" w:color="auto" w:fill="FFFFFF"/>
          </w:tcPr>
          <w:p w14:paraId="118954DC" w14:textId="58475AD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0.00268</w:t>
            </w:r>
          </w:p>
        </w:tc>
        <w:tc>
          <w:tcPr>
            <w:tcW w:w="732" w:type="pct"/>
            <w:shd w:val="clear" w:color="auto" w:fill="FFFFFF"/>
          </w:tcPr>
          <w:p w14:paraId="5C892881" w14:textId="4475CFB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0.00175</w:t>
            </w:r>
          </w:p>
        </w:tc>
        <w:tc>
          <w:tcPr>
            <w:tcW w:w="1036" w:type="pct"/>
            <w:shd w:val="clear" w:color="auto" w:fill="FFFFFF"/>
          </w:tcPr>
          <w:p w14:paraId="14E3B9A1" w14:textId="26C1C48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26" w:type="pct"/>
            <w:shd w:val="clear" w:color="auto" w:fill="FFFFFF"/>
          </w:tcPr>
          <w:p w14:paraId="7F550404" w14:textId="729DD21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0.08471</w:t>
            </w:r>
          </w:p>
        </w:tc>
        <w:tc>
          <w:tcPr>
            <w:tcW w:w="744" w:type="pct"/>
            <w:shd w:val="clear" w:color="auto" w:fill="FFFFFF"/>
          </w:tcPr>
          <w:p w14:paraId="7B8805EF" w14:textId="2B910AF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0.05935</w:t>
            </w:r>
          </w:p>
        </w:tc>
      </w:tr>
      <w:tr w:rsidR="00EE48DE" w:rsidRPr="00EE48DE" w14:paraId="785E950A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0D264265" w14:textId="6B5C2872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6" w:type="pct"/>
            <w:shd w:val="clear" w:color="auto" w:fill="FFFFFF"/>
          </w:tcPr>
          <w:p w14:paraId="0FCDD3FE" w14:textId="498887F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0.00293</w:t>
            </w:r>
          </w:p>
        </w:tc>
        <w:tc>
          <w:tcPr>
            <w:tcW w:w="732" w:type="pct"/>
            <w:shd w:val="clear" w:color="auto" w:fill="FFFFFF"/>
          </w:tcPr>
          <w:p w14:paraId="664A6CB2" w14:textId="15D4CD99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0.00190</w:t>
            </w:r>
          </w:p>
        </w:tc>
        <w:tc>
          <w:tcPr>
            <w:tcW w:w="1036" w:type="pct"/>
            <w:shd w:val="clear" w:color="auto" w:fill="FFFFFF"/>
          </w:tcPr>
          <w:p w14:paraId="5038D60F" w14:textId="765EFE3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26" w:type="pct"/>
            <w:shd w:val="clear" w:color="auto" w:fill="FFFFFF"/>
          </w:tcPr>
          <w:p w14:paraId="2F78DEC8" w14:textId="354ABB2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0.09345</w:t>
            </w:r>
          </w:p>
        </w:tc>
        <w:tc>
          <w:tcPr>
            <w:tcW w:w="744" w:type="pct"/>
            <w:shd w:val="clear" w:color="auto" w:fill="FFFFFF"/>
          </w:tcPr>
          <w:p w14:paraId="4B07769F" w14:textId="0EFA8BB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0.06634</w:t>
            </w:r>
          </w:p>
        </w:tc>
      </w:tr>
      <w:tr w:rsidR="00EE48DE" w:rsidRPr="00EE48DE" w14:paraId="4256A785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0709CCAF" w14:textId="1FE02945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6" w:type="pct"/>
            <w:shd w:val="clear" w:color="auto" w:fill="FFFFFF"/>
          </w:tcPr>
          <w:p w14:paraId="1DFE14BE" w14:textId="759C08D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0.00322</w:t>
            </w:r>
          </w:p>
        </w:tc>
        <w:tc>
          <w:tcPr>
            <w:tcW w:w="732" w:type="pct"/>
            <w:shd w:val="clear" w:color="auto" w:fill="FFFFFF"/>
          </w:tcPr>
          <w:p w14:paraId="376E7538" w14:textId="7E0D0D7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0.00208</w:t>
            </w:r>
          </w:p>
        </w:tc>
        <w:tc>
          <w:tcPr>
            <w:tcW w:w="1036" w:type="pct"/>
            <w:shd w:val="clear" w:color="auto" w:fill="FFFFFF"/>
          </w:tcPr>
          <w:p w14:paraId="2393C807" w14:textId="3CCF402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26" w:type="pct"/>
            <w:shd w:val="clear" w:color="auto" w:fill="FFFFFF"/>
          </w:tcPr>
          <w:p w14:paraId="776D707C" w14:textId="75DBF87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0.10311</w:t>
            </w:r>
          </w:p>
        </w:tc>
        <w:tc>
          <w:tcPr>
            <w:tcW w:w="744" w:type="pct"/>
            <w:shd w:val="clear" w:color="auto" w:fill="FFFFFF"/>
          </w:tcPr>
          <w:p w14:paraId="3C812AE0" w14:textId="12D8F70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0.07421</w:t>
            </w:r>
          </w:p>
        </w:tc>
      </w:tr>
      <w:tr w:rsidR="00EE48DE" w:rsidRPr="00EE48DE" w14:paraId="6A4CF0E0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5F051F14" w14:textId="55CA0F0E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6" w:type="pct"/>
            <w:shd w:val="clear" w:color="auto" w:fill="FFFFFF"/>
          </w:tcPr>
          <w:p w14:paraId="62861D01" w14:textId="43B065E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0.00354</w:t>
            </w:r>
          </w:p>
        </w:tc>
        <w:tc>
          <w:tcPr>
            <w:tcW w:w="732" w:type="pct"/>
            <w:shd w:val="clear" w:color="auto" w:fill="FFFFFF"/>
          </w:tcPr>
          <w:p w14:paraId="4E1387EE" w14:textId="614306C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0.00226</w:t>
            </w:r>
          </w:p>
        </w:tc>
        <w:tc>
          <w:tcPr>
            <w:tcW w:w="1036" w:type="pct"/>
            <w:shd w:val="clear" w:color="auto" w:fill="FFFFFF"/>
          </w:tcPr>
          <w:p w14:paraId="5E5283C2" w14:textId="288AA28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6" w:type="pct"/>
            <w:shd w:val="clear" w:color="auto" w:fill="FFFFFF"/>
          </w:tcPr>
          <w:p w14:paraId="1E95A290" w14:textId="698A426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0.11378</w:t>
            </w:r>
          </w:p>
        </w:tc>
        <w:tc>
          <w:tcPr>
            <w:tcW w:w="744" w:type="pct"/>
            <w:shd w:val="clear" w:color="auto" w:fill="FFFFFF"/>
          </w:tcPr>
          <w:p w14:paraId="6D8A362B" w14:textId="7823359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0.08308</w:t>
            </w:r>
          </w:p>
        </w:tc>
      </w:tr>
      <w:tr w:rsidR="00EE48DE" w:rsidRPr="00EE48DE" w14:paraId="1CA80548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785FD679" w14:textId="74DF61D9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6" w:type="pct"/>
            <w:shd w:val="clear" w:color="auto" w:fill="FFFFFF"/>
          </w:tcPr>
          <w:p w14:paraId="0FB3D167" w14:textId="38B9BD5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0.00389</w:t>
            </w:r>
          </w:p>
        </w:tc>
        <w:tc>
          <w:tcPr>
            <w:tcW w:w="732" w:type="pct"/>
            <w:shd w:val="clear" w:color="auto" w:fill="FFFFFF"/>
          </w:tcPr>
          <w:p w14:paraId="00751033" w14:textId="48A1FD2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0.00247</w:t>
            </w:r>
          </w:p>
        </w:tc>
        <w:tc>
          <w:tcPr>
            <w:tcW w:w="1036" w:type="pct"/>
            <w:shd w:val="clear" w:color="auto" w:fill="FFFFFF"/>
          </w:tcPr>
          <w:p w14:paraId="25FB1559" w14:textId="79CB2A6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6" w:type="pct"/>
            <w:shd w:val="clear" w:color="auto" w:fill="FFFFFF"/>
          </w:tcPr>
          <w:p w14:paraId="2C6EC03D" w14:textId="0226C81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0.12556</w:t>
            </w:r>
          </w:p>
        </w:tc>
        <w:tc>
          <w:tcPr>
            <w:tcW w:w="744" w:type="pct"/>
            <w:shd w:val="clear" w:color="auto" w:fill="FFFFFF"/>
          </w:tcPr>
          <w:p w14:paraId="2FD1BF63" w14:textId="24D74BB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0.09308</w:t>
            </w:r>
          </w:p>
        </w:tc>
      </w:tr>
      <w:tr w:rsidR="00EE48DE" w:rsidRPr="00EE48DE" w14:paraId="23959D85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5F10C989" w14:textId="3DC8C910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6" w:type="pct"/>
            <w:shd w:val="clear" w:color="auto" w:fill="FFFFFF"/>
          </w:tcPr>
          <w:p w14:paraId="22108661" w14:textId="5AD64B2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0.00427</w:t>
            </w:r>
          </w:p>
        </w:tc>
        <w:tc>
          <w:tcPr>
            <w:tcW w:w="732" w:type="pct"/>
            <w:shd w:val="clear" w:color="auto" w:fill="FFFFFF"/>
          </w:tcPr>
          <w:p w14:paraId="6F000982" w14:textId="6A0EA11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0.00270</w:t>
            </w:r>
          </w:p>
        </w:tc>
        <w:tc>
          <w:tcPr>
            <w:tcW w:w="1036" w:type="pct"/>
            <w:shd w:val="clear" w:color="auto" w:fill="FFFFFF"/>
          </w:tcPr>
          <w:p w14:paraId="6F79AAFF" w14:textId="72805CC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26" w:type="pct"/>
            <w:shd w:val="clear" w:color="auto" w:fill="FFFFFF"/>
          </w:tcPr>
          <w:p w14:paraId="29A1F2B2" w14:textId="4174696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0.13858</w:t>
            </w:r>
          </w:p>
        </w:tc>
        <w:tc>
          <w:tcPr>
            <w:tcW w:w="744" w:type="pct"/>
            <w:shd w:val="clear" w:color="auto" w:fill="FFFFFF"/>
          </w:tcPr>
          <w:p w14:paraId="44E86C75" w14:textId="29FD75B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0.10435</w:t>
            </w:r>
          </w:p>
        </w:tc>
      </w:tr>
      <w:tr w:rsidR="00EE48DE" w:rsidRPr="00EE48DE" w14:paraId="480EF3E1" w14:textId="77777777" w:rsidTr="00EE48DE">
        <w:trPr>
          <w:trHeight w:val="307"/>
          <w:tblHeader/>
        </w:trPr>
        <w:tc>
          <w:tcPr>
            <w:tcW w:w="1036" w:type="pct"/>
            <w:shd w:val="clear" w:color="auto" w:fill="FFFFFF"/>
          </w:tcPr>
          <w:p w14:paraId="3759F1DD" w14:textId="6AF4839B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6" w:type="pct"/>
            <w:shd w:val="clear" w:color="auto" w:fill="FFFFFF"/>
          </w:tcPr>
          <w:p w14:paraId="10A07F95" w14:textId="4169C63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0.15297</w:t>
            </w:r>
          </w:p>
        </w:tc>
        <w:tc>
          <w:tcPr>
            <w:tcW w:w="732" w:type="pct"/>
            <w:shd w:val="clear" w:color="auto" w:fill="FFFFFF"/>
          </w:tcPr>
          <w:p w14:paraId="784B4354" w14:textId="11E553C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0.11708</w:t>
            </w:r>
          </w:p>
        </w:tc>
        <w:tc>
          <w:tcPr>
            <w:tcW w:w="1036" w:type="pct"/>
            <w:shd w:val="clear" w:color="auto" w:fill="FFFFFF"/>
          </w:tcPr>
          <w:p w14:paraId="7A62E34D" w14:textId="44D8831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6" w:type="pct"/>
            <w:shd w:val="clear" w:color="auto" w:fill="FFFFFF"/>
          </w:tcPr>
          <w:p w14:paraId="3EB6EF7E" w14:textId="412A16E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0.34856</w:t>
            </w:r>
          </w:p>
        </w:tc>
        <w:tc>
          <w:tcPr>
            <w:tcW w:w="744" w:type="pct"/>
            <w:shd w:val="clear" w:color="auto" w:fill="FFFFFF"/>
          </w:tcPr>
          <w:p w14:paraId="0B0E8B9E" w14:textId="06BD2D9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0.32078</w:t>
            </w:r>
          </w:p>
        </w:tc>
      </w:tr>
      <w:tr w:rsidR="00EE48DE" w:rsidRPr="00EE48DE" w14:paraId="11B50B4A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074F486E" w14:textId="25CC4E3E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726" w:type="pct"/>
            <w:shd w:val="clear" w:color="auto" w:fill="FFFFFF"/>
          </w:tcPr>
          <w:p w14:paraId="079A4635" w14:textId="29E25C8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0.16852</w:t>
            </w:r>
          </w:p>
        </w:tc>
        <w:tc>
          <w:tcPr>
            <w:tcW w:w="732" w:type="pct"/>
            <w:shd w:val="clear" w:color="auto" w:fill="FFFFFF"/>
          </w:tcPr>
          <w:p w14:paraId="4484131B" w14:textId="6C0506E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0.13112</w:t>
            </w:r>
          </w:p>
        </w:tc>
        <w:tc>
          <w:tcPr>
            <w:tcW w:w="1036" w:type="pct"/>
            <w:shd w:val="clear" w:color="auto" w:fill="FFFFFF"/>
          </w:tcPr>
          <w:p w14:paraId="19DDC0F6" w14:textId="228B41B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26" w:type="pct"/>
            <w:shd w:val="clear" w:color="auto" w:fill="FFFFFF"/>
          </w:tcPr>
          <w:p w14:paraId="6B406226" w14:textId="5363E77C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0.36799</w:t>
            </w:r>
          </w:p>
        </w:tc>
        <w:tc>
          <w:tcPr>
            <w:tcW w:w="744" w:type="pct"/>
            <w:shd w:val="clear" w:color="auto" w:fill="FFFFFF"/>
          </w:tcPr>
          <w:p w14:paraId="20024245" w14:textId="3AB46520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0.34270</w:t>
            </w:r>
          </w:p>
        </w:tc>
      </w:tr>
      <w:tr w:rsidR="00EE48DE" w:rsidRPr="00EE48DE" w14:paraId="2E183456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4AC76367" w14:textId="17E7A86A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26" w:type="pct"/>
            <w:shd w:val="clear" w:color="auto" w:fill="FFFFFF"/>
          </w:tcPr>
          <w:p w14:paraId="5E3D3311" w14:textId="2D3496C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0.18490</w:t>
            </w:r>
          </w:p>
        </w:tc>
        <w:tc>
          <w:tcPr>
            <w:tcW w:w="732" w:type="pct"/>
            <w:shd w:val="clear" w:color="auto" w:fill="FFFFFF"/>
          </w:tcPr>
          <w:p w14:paraId="6CDD0C68" w14:textId="5589AAA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0.14622</w:t>
            </w:r>
          </w:p>
        </w:tc>
        <w:tc>
          <w:tcPr>
            <w:tcW w:w="1036" w:type="pct"/>
            <w:shd w:val="clear" w:color="auto" w:fill="FFFFFF"/>
          </w:tcPr>
          <w:p w14:paraId="7731EDEF" w14:textId="359857B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26" w:type="pct"/>
            <w:shd w:val="clear" w:color="auto" w:fill="FFFFFF"/>
          </w:tcPr>
          <w:p w14:paraId="5181E947" w14:textId="306AC2B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0.38718</w:t>
            </w:r>
          </w:p>
        </w:tc>
        <w:tc>
          <w:tcPr>
            <w:tcW w:w="744" w:type="pct"/>
            <w:shd w:val="clear" w:color="auto" w:fill="FFFFFF"/>
          </w:tcPr>
          <w:p w14:paraId="7FDF2194" w14:textId="0ABC537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0.36455</w:t>
            </w:r>
          </w:p>
        </w:tc>
      </w:tr>
      <w:tr w:rsidR="00EE48DE" w:rsidRPr="00EE48DE" w14:paraId="3311B5DE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3ACDE1E9" w14:textId="1D63EE3B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26" w:type="pct"/>
            <w:shd w:val="clear" w:color="auto" w:fill="FFFFFF"/>
          </w:tcPr>
          <w:p w14:paraId="0760853C" w14:textId="1DB71E0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0.20204</w:t>
            </w:r>
          </w:p>
        </w:tc>
        <w:tc>
          <w:tcPr>
            <w:tcW w:w="732" w:type="pct"/>
            <w:shd w:val="clear" w:color="auto" w:fill="FFFFFF"/>
          </w:tcPr>
          <w:p w14:paraId="1CE3FD41" w14:textId="1508EA0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0.16236</w:t>
            </w:r>
          </w:p>
        </w:tc>
        <w:tc>
          <w:tcPr>
            <w:tcW w:w="1036" w:type="pct"/>
            <w:shd w:val="clear" w:color="auto" w:fill="FFFFFF"/>
          </w:tcPr>
          <w:p w14:paraId="717771C3" w14:textId="75DA375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6" w:type="pct"/>
            <w:shd w:val="clear" w:color="auto" w:fill="FFFFFF"/>
          </w:tcPr>
          <w:p w14:paraId="0E544D2A" w14:textId="4F8B141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0.40601</w:t>
            </w:r>
          </w:p>
        </w:tc>
        <w:tc>
          <w:tcPr>
            <w:tcW w:w="744" w:type="pct"/>
            <w:shd w:val="clear" w:color="auto" w:fill="FFFFFF"/>
          </w:tcPr>
          <w:p w14:paraId="5320F988" w14:textId="258FD69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0.38612</w:t>
            </w:r>
          </w:p>
        </w:tc>
      </w:tr>
      <w:tr w:rsidR="00EE48DE" w:rsidRPr="00EE48DE" w14:paraId="3CD3EA52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4A444CA8" w14:textId="12063049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6" w:type="pct"/>
            <w:shd w:val="clear" w:color="auto" w:fill="FFFFFF"/>
          </w:tcPr>
          <w:p w14:paraId="393D9EFA" w14:textId="12772708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0.21988</w:t>
            </w:r>
          </w:p>
        </w:tc>
        <w:tc>
          <w:tcPr>
            <w:tcW w:w="732" w:type="pct"/>
            <w:shd w:val="clear" w:color="auto" w:fill="FFFFFF"/>
          </w:tcPr>
          <w:p w14:paraId="0C089D69" w14:textId="00210E7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0.17950</w:t>
            </w:r>
          </w:p>
        </w:tc>
        <w:tc>
          <w:tcPr>
            <w:tcW w:w="1036" w:type="pct"/>
            <w:shd w:val="clear" w:color="auto" w:fill="FFFFFF"/>
          </w:tcPr>
          <w:p w14:paraId="418B8EA6" w14:textId="1A27EC7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6" w:type="pct"/>
            <w:shd w:val="clear" w:color="auto" w:fill="FFFFFF"/>
          </w:tcPr>
          <w:p w14:paraId="21EC576A" w14:textId="08A879D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0.42436</w:t>
            </w:r>
          </w:p>
        </w:tc>
        <w:tc>
          <w:tcPr>
            <w:tcW w:w="744" w:type="pct"/>
            <w:shd w:val="clear" w:color="auto" w:fill="FFFFFF"/>
          </w:tcPr>
          <w:p w14:paraId="02E24093" w14:textId="4257CFD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0.40726</w:t>
            </w:r>
          </w:p>
        </w:tc>
      </w:tr>
      <w:tr w:rsidR="00EE48DE" w:rsidRPr="00EE48DE" w14:paraId="6D862AA3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3A1C0106" w14:textId="0F349352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6" w:type="pct"/>
            <w:shd w:val="clear" w:color="auto" w:fill="FFFFFF"/>
          </w:tcPr>
          <w:p w14:paraId="5F60129A" w14:textId="6F046B1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0.23440</w:t>
            </w:r>
          </w:p>
        </w:tc>
        <w:tc>
          <w:tcPr>
            <w:tcW w:w="732" w:type="pct"/>
            <w:shd w:val="clear" w:color="auto" w:fill="FFFFFF"/>
          </w:tcPr>
          <w:p w14:paraId="03B68C78" w14:textId="178CF8F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0.19754</w:t>
            </w:r>
          </w:p>
        </w:tc>
        <w:tc>
          <w:tcPr>
            <w:tcW w:w="1036" w:type="pct"/>
            <w:shd w:val="clear" w:color="auto" w:fill="FFFFFF"/>
          </w:tcPr>
          <w:p w14:paraId="0D378800" w14:textId="3DCCC8DD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26" w:type="pct"/>
            <w:shd w:val="clear" w:color="auto" w:fill="FFFFFF"/>
          </w:tcPr>
          <w:p w14:paraId="26692884" w14:textId="74429FB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0.44214</w:t>
            </w:r>
          </w:p>
        </w:tc>
        <w:tc>
          <w:tcPr>
            <w:tcW w:w="744" w:type="pct"/>
            <w:shd w:val="clear" w:color="auto" w:fill="FFFFFF"/>
          </w:tcPr>
          <w:p w14:paraId="2B44127E" w14:textId="3AF75DF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0.42778</w:t>
            </w:r>
          </w:p>
        </w:tc>
      </w:tr>
      <w:tr w:rsidR="00EE48DE" w:rsidRPr="00EE48DE" w14:paraId="0537A272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47BC58AE" w14:textId="7B381463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26" w:type="pct"/>
            <w:shd w:val="clear" w:color="auto" w:fill="FFFFFF"/>
          </w:tcPr>
          <w:p w14:paraId="1FA2E3EE" w14:textId="31731E24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0.25251</w:t>
            </w:r>
          </w:p>
        </w:tc>
        <w:tc>
          <w:tcPr>
            <w:tcW w:w="732" w:type="pct"/>
            <w:shd w:val="clear" w:color="auto" w:fill="FFFFFF"/>
          </w:tcPr>
          <w:p w14:paraId="470ED756" w14:textId="28580E71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0.21631</w:t>
            </w:r>
          </w:p>
        </w:tc>
        <w:tc>
          <w:tcPr>
            <w:tcW w:w="1036" w:type="pct"/>
            <w:shd w:val="clear" w:color="auto" w:fill="FFFFFF"/>
          </w:tcPr>
          <w:p w14:paraId="1F67C8B9" w14:textId="3EDBD49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6" w:type="pct"/>
            <w:shd w:val="clear" w:color="auto" w:fill="FFFFFF"/>
          </w:tcPr>
          <w:p w14:paraId="6B8C29CF" w14:textId="1278AB1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0.45925</w:t>
            </w:r>
          </w:p>
        </w:tc>
        <w:tc>
          <w:tcPr>
            <w:tcW w:w="744" w:type="pct"/>
            <w:shd w:val="clear" w:color="auto" w:fill="FFFFFF"/>
          </w:tcPr>
          <w:p w14:paraId="7B2CEAC6" w14:textId="3A481DD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0.44755</w:t>
            </w:r>
          </w:p>
        </w:tc>
      </w:tr>
      <w:tr w:rsidR="00EE48DE" w:rsidRPr="00EE48DE" w14:paraId="5F579C98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7EB114C0" w14:textId="3F1F60C4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6" w:type="pct"/>
            <w:shd w:val="clear" w:color="auto" w:fill="FFFFFF"/>
          </w:tcPr>
          <w:p w14:paraId="6A75F8DE" w14:textId="31D0081C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0.27115</w:t>
            </w:r>
          </w:p>
        </w:tc>
        <w:tc>
          <w:tcPr>
            <w:tcW w:w="732" w:type="pct"/>
            <w:shd w:val="clear" w:color="auto" w:fill="FFFFFF"/>
          </w:tcPr>
          <w:p w14:paraId="4AD944E0" w14:textId="14D3E9E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0.23596</w:t>
            </w:r>
          </w:p>
        </w:tc>
        <w:tc>
          <w:tcPr>
            <w:tcW w:w="1036" w:type="pct"/>
            <w:shd w:val="clear" w:color="auto" w:fill="FFFFFF"/>
          </w:tcPr>
          <w:p w14:paraId="0C341241" w14:textId="7BAEB44C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6" w:type="pct"/>
            <w:shd w:val="clear" w:color="auto" w:fill="FFFFFF"/>
          </w:tcPr>
          <w:p w14:paraId="44AD0907" w14:textId="7847C1F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0.47562</w:t>
            </w:r>
          </w:p>
        </w:tc>
        <w:tc>
          <w:tcPr>
            <w:tcW w:w="744" w:type="pct"/>
            <w:shd w:val="clear" w:color="auto" w:fill="FFFFFF"/>
          </w:tcPr>
          <w:p w14:paraId="3D401AF9" w14:textId="73E91265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0.46646</w:t>
            </w:r>
          </w:p>
        </w:tc>
      </w:tr>
      <w:tr w:rsidR="00EE48DE" w:rsidRPr="00EE48DE" w14:paraId="7CD6C56D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5EDBEE08" w14:textId="5660E9F2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6" w:type="pct"/>
            <w:shd w:val="clear" w:color="auto" w:fill="FFFFFF"/>
          </w:tcPr>
          <w:p w14:paraId="3647939B" w14:textId="5EFBD2C9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0.29020</w:t>
            </w:r>
          </w:p>
        </w:tc>
        <w:tc>
          <w:tcPr>
            <w:tcW w:w="732" w:type="pct"/>
            <w:shd w:val="clear" w:color="auto" w:fill="FFFFFF"/>
          </w:tcPr>
          <w:p w14:paraId="72F66DF5" w14:textId="7DD25C1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0.25639</w:t>
            </w:r>
          </w:p>
        </w:tc>
        <w:tc>
          <w:tcPr>
            <w:tcW w:w="1036" w:type="pct"/>
            <w:shd w:val="clear" w:color="auto" w:fill="FFFFFF"/>
          </w:tcPr>
          <w:p w14:paraId="72E5493C" w14:textId="4F739BA9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26" w:type="pct"/>
            <w:shd w:val="clear" w:color="auto" w:fill="FFFFFF"/>
          </w:tcPr>
          <w:p w14:paraId="61377F1A" w14:textId="21277CA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0.49120</w:t>
            </w:r>
          </w:p>
        </w:tc>
        <w:tc>
          <w:tcPr>
            <w:tcW w:w="744" w:type="pct"/>
            <w:shd w:val="clear" w:color="auto" w:fill="FFFFFF"/>
          </w:tcPr>
          <w:p w14:paraId="2913EF79" w14:textId="02E71AB2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0.48440</w:t>
            </w:r>
          </w:p>
        </w:tc>
      </w:tr>
      <w:tr w:rsidR="00EE48DE" w:rsidRPr="00EE48DE" w14:paraId="209FCF61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50DA7372" w14:textId="2DE36DB1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26" w:type="pct"/>
            <w:shd w:val="clear" w:color="auto" w:fill="FFFFFF"/>
          </w:tcPr>
          <w:p w14:paraId="678BB2CE" w14:textId="08F3F4A6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0.30953</w:t>
            </w:r>
          </w:p>
        </w:tc>
        <w:tc>
          <w:tcPr>
            <w:tcW w:w="732" w:type="pct"/>
            <w:shd w:val="clear" w:color="auto" w:fill="FFFFFF"/>
          </w:tcPr>
          <w:p w14:paraId="7557733B" w14:textId="11FD338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0.27744</w:t>
            </w:r>
          </w:p>
        </w:tc>
        <w:tc>
          <w:tcPr>
            <w:tcW w:w="1036" w:type="pct"/>
            <w:shd w:val="clear" w:color="auto" w:fill="FFFFFF"/>
          </w:tcPr>
          <w:p w14:paraId="36EC9BF0" w14:textId="76F7DF53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6" w:type="pct"/>
            <w:shd w:val="clear" w:color="auto" w:fill="FFFFFF"/>
          </w:tcPr>
          <w:p w14:paraId="2E27299E" w14:textId="1E3F69FE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744" w:type="pct"/>
            <w:shd w:val="clear" w:color="auto" w:fill="FFFFFF"/>
          </w:tcPr>
          <w:p w14:paraId="2F746DAA" w14:textId="01D202FA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1.00000</w:t>
            </w:r>
          </w:p>
        </w:tc>
      </w:tr>
      <w:tr w:rsidR="00EE48DE" w:rsidRPr="00EE48DE" w14:paraId="140ED065" w14:textId="77777777" w:rsidTr="00EE48DE">
        <w:trPr>
          <w:trHeight w:val="293"/>
          <w:tblHeader/>
        </w:trPr>
        <w:tc>
          <w:tcPr>
            <w:tcW w:w="1036" w:type="pct"/>
            <w:shd w:val="clear" w:color="auto" w:fill="FFFFFF"/>
          </w:tcPr>
          <w:p w14:paraId="2D6EF832" w14:textId="175D6F9C" w:rsidR="00482813" w:rsidRPr="00EE48DE" w:rsidRDefault="00482813" w:rsidP="00482813">
            <w:pPr>
              <w:pStyle w:val="Tabletextindented"/>
              <w:keepNext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pct"/>
            <w:shd w:val="clear" w:color="auto" w:fill="FFFFFF"/>
          </w:tcPr>
          <w:p w14:paraId="15346EBB" w14:textId="768F80FF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0.32903</w:t>
            </w:r>
          </w:p>
        </w:tc>
        <w:tc>
          <w:tcPr>
            <w:tcW w:w="732" w:type="pct"/>
            <w:shd w:val="clear" w:color="auto" w:fill="FFFFFF"/>
          </w:tcPr>
          <w:p w14:paraId="1788CA3D" w14:textId="7A54A1DB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0.29896</w:t>
            </w:r>
          </w:p>
        </w:tc>
        <w:tc>
          <w:tcPr>
            <w:tcW w:w="1036" w:type="pct"/>
            <w:shd w:val="clear" w:color="auto" w:fill="FFFFFF"/>
          </w:tcPr>
          <w:p w14:paraId="75C33284" w14:textId="7777777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</w:tcPr>
          <w:p w14:paraId="5C75E02C" w14:textId="7777777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14:paraId="3125D951" w14:textId="77777777" w:rsidR="00482813" w:rsidRPr="00EE48DE" w:rsidRDefault="00482813" w:rsidP="00482813">
            <w:pPr>
              <w:pStyle w:val="Tabletext"/>
              <w:keepNext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51C3C8F" w14:textId="77777777" w:rsidR="0098704A" w:rsidRPr="00EE48DE" w:rsidRDefault="0098704A">
      <w:pPr>
        <w:spacing w:after="200" w:line="276" w:lineRule="auto"/>
        <w:rPr>
          <w:rFonts w:ascii="Tahoma" w:hAnsi="Tahoma" w:cs="Tahoma"/>
          <w:sz w:val="20"/>
        </w:rPr>
      </w:pPr>
    </w:p>
    <w:p w14:paraId="2FB8CF97" w14:textId="6839D998" w:rsidR="0098704A" w:rsidRPr="00EE48DE" w:rsidRDefault="0098704A" w:rsidP="0098704A">
      <w:pPr>
        <w:pStyle w:val="Caption"/>
        <w:keepNext/>
        <w:rPr>
          <w:rFonts w:ascii="Tahoma" w:hAnsi="Tahoma" w:cs="Tahoma"/>
          <w:color w:val="auto"/>
          <w:sz w:val="22"/>
          <w:szCs w:val="22"/>
        </w:rPr>
      </w:pPr>
      <w:r w:rsidRPr="00EE48DE">
        <w:rPr>
          <w:rFonts w:ascii="Tahoma" w:hAnsi="Tahoma" w:cs="Tahoma"/>
          <w:color w:val="auto"/>
          <w:sz w:val="22"/>
          <w:szCs w:val="22"/>
        </w:rPr>
        <w:t xml:space="preserve">Table </w:t>
      </w:r>
      <w:r w:rsidR="00C11662" w:rsidRPr="00EE48DE">
        <w:rPr>
          <w:rFonts w:ascii="Tahoma" w:hAnsi="Tahoma" w:cs="Tahoma"/>
          <w:color w:val="auto"/>
          <w:sz w:val="22"/>
          <w:szCs w:val="22"/>
        </w:rPr>
        <w:t>S</w:t>
      </w:r>
      <w:r w:rsidR="00475F68" w:rsidRPr="00EE48DE">
        <w:rPr>
          <w:rFonts w:ascii="Tahoma" w:hAnsi="Tahoma" w:cs="Tahoma"/>
          <w:noProof/>
          <w:color w:val="auto"/>
          <w:sz w:val="22"/>
          <w:szCs w:val="22"/>
        </w:rPr>
        <w:t>1</w:t>
      </w:r>
      <w:r w:rsidR="00185F6D" w:rsidRPr="00EE48DE">
        <w:rPr>
          <w:rFonts w:ascii="Tahoma" w:hAnsi="Tahoma" w:cs="Tahoma"/>
          <w:color w:val="auto"/>
          <w:sz w:val="22"/>
          <w:szCs w:val="22"/>
        </w:rPr>
        <w:t>2</w:t>
      </w:r>
      <w:r w:rsidRPr="00EE48DE">
        <w:rPr>
          <w:rFonts w:ascii="Tahoma" w:hAnsi="Tahoma" w:cs="Tahoma"/>
          <w:color w:val="auto"/>
          <w:sz w:val="22"/>
          <w:szCs w:val="22"/>
        </w:rPr>
        <w:t xml:space="preserve"> 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>Disease specific and adverse event related m</w:t>
      </w:r>
      <w:r w:rsidRPr="00EE48DE">
        <w:rPr>
          <w:rFonts w:ascii="Tahoma" w:hAnsi="Tahoma" w:cs="Tahoma"/>
          <w:color w:val="auto"/>
          <w:sz w:val="22"/>
          <w:szCs w:val="22"/>
        </w:rPr>
        <w:t>ortality inputs</w:t>
      </w:r>
      <w:r w:rsidR="00566E00" w:rsidRPr="00EE48DE">
        <w:rPr>
          <w:rFonts w:ascii="Tahoma" w:hAnsi="Tahoma" w:cs="Tahoma"/>
          <w:color w:val="auto"/>
          <w:sz w:val="22"/>
          <w:szCs w:val="22"/>
        </w:rPr>
        <w:t xml:space="preserve"> considered in the analysis</w:t>
      </w:r>
    </w:p>
    <w:tbl>
      <w:tblPr>
        <w:tblStyle w:val="TableGrid"/>
        <w:tblW w:w="3332" w:type="pct"/>
        <w:tblLook w:val="0000" w:firstRow="0" w:lastRow="0" w:firstColumn="0" w:lastColumn="0" w:noHBand="0" w:noVBand="0"/>
      </w:tblPr>
      <w:tblGrid>
        <w:gridCol w:w="3115"/>
        <w:gridCol w:w="3116"/>
      </w:tblGrid>
      <w:tr w:rsidR="0098704A" w:rsidRPr="00EE48DE" w14:paraId="2328ADF2" w14:textId="77777777" w:rsidTr="00475F68">
        <w:trPr>
          <w:trHeight w:val="87"/>
        </w:trPr>
        <w:tc>
          <w:tcPr>
            <w:tcW w:w="2500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6AA9B3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Input </w:t>
            </w:r>
          </w:p>
        </w:tc>
        <w:tc>
          <w:tcPr>
            <w:tcW w:w="2500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FCE6A3" w14:textId="64FF351E" w:rsidR="0098704A" w:rsidRPr="00EE48DE" w:rsidRDefault="0098704A" w:rsidP="005F7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Relative Risk</w:t>
            </w:r>
          </w:p>
        </w:tc>
      </w:tr>
      <w:tr w:rsidR="00057D96" w:rsidRPr="00EE48DE" w14:paraId="470A092D" w14:textId="77777777" w:rsidTr="00057D96">
        <w:trPr>
          <w:trHeight w:val="88"/>
        </w:trPr>
        <w:tc>
          <w:tcPr>
            <w:tcW w:w="5000" w:type="pct"/>
            <w:gridSpan w:val="2"/>
          </w:tcPr>
          <w:p w14:paraId="4ABCC623" w14:textId="2DA599F7" w:rsidR="00057D96" w:rsidRPr="00EE48DE" w:rsidRDefault="00057D96" w:rsidP="00D5129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Disease specific </w:t>
            </w:r>
            <w:proofErr w:type="spellStart"/>
            <w:r w:rsidRPr="00EE48D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mortality</w:t>
            </w:r>
            <w:r w:rsidR="005F7A6C"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98704A" w:rsidRPr="00EE48DE" w14:paraId="755ACB07" w14:textId="77777777" w:rsidTr="00475F68">
        <w:trPr>
          <w:trHeight w:val="88"/>
        </w:trPr>
        <w:tc>
          <w:tcPr>
            <w:tcW w:w="2500" w:type="pct"/>
          </w:tcPr>
          <w:p w14:paraId="6AA5CF43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Male </w:t>
            </w:r>
          </w:p>
        </w:tc>
        <w:tc>
          <w:tcPr>
            <w:tcW w:w="2500" w:type="pct"/>
          </w:tcPr>
          <w:p w14:paraId="760D3FF0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1.63</w:t>
            </w:r>
          </w:p>
        </w:tc>
      </w:tr>
      <w:tr w:rsidR="0098704A" w:rsidRPr="00EE48DE" w14:paraId="047119A4" w14:textId="77777777" w:rsidTr="00475F68">
        <w:trPr>
          <w:trHeight w:val="88"/>
        </w:trPr>
        <w:tc>
          <w:tcPr>
            <w:tcW w:w="2500" w:type="pct"/>
          </w:tcPr>
          <w:p w14:paraId="372BBAAA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Female </w:t>
            </w:r>
          </w:p>
        </w:tc>
        <w:tc>
          <w:tcPr>
            <w:tcW w:w="2500" w:type="pct"/>
          </w:tcPr>
          <w:p w14:paraId="23A4CD9F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1.38</w:t>
            </w:r>
          </w:p>
        </w:tc>
      </w:tr>
      <w:tr w:rsidR="00057D96" w:rsidRPr="00EE48DE" w14:paraId="1942BB94" w14:textId="77777777" w:rsidTr="00057D96">
        <w:trPr>
          <w:trHeight w:val="88"/>
        </w:trPr>
        <w:tc>
          <w:tcPr>
            <w:tcW w:w="5000" w:type="pct"/>
            <w:gridSpan w:val="2"/>
          </w:tcPr>
          <w:p w14:paraId="1AD5DB17" w14:textId="3730D4E7" w:rsidR="00057D96" w:rsidRPr="00EE48DE" w:rsidRDefault="00057D96" w:rsidP="00D5129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</w:pPr>
            <w:r w:rsidRPr="00EE48D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Adverse event related </w:t>
            </w:r>
            <w:proofErr w:type="spellStart"/>
            <w:r w:rsidRPr="00EE48D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mortality</w:t>
            </w:r>
            <w:r w:rsidR="005F7A6C" w:rsidRPr="00EE48DE">
              <w:rPr>
                <w:rFonts w:ascii="Tahoma" w:hAnsi="Tahoma" w:cs="Tahoma"/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98704A" w:rsidRPr="00EE48DE" w14:paraId="20E71989" w14:textId="77777777" w:rsidTr="00475F68">
        <w:trPr>
          <w:trHeight w:val="88"/>
        </w:trPr>
        <w:tc>
          <w:tcPr>
            <w:tcW w:w="2500" w:type="pct"/>
          </w:tcPr>
          <w:p w14:paraId="01F169FF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Tuberculosis </w:t>
            </w:r>
          </w:p>
        </w:tc>
        <w:tc>
          <w:tcPr>
            <w:tcW w:w="2500" w:type="pct"/>
          </w:tcPr>
          <w:p w14:paraId="257BFEB5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1.65</w:t>
            </w:r>
          </w:p>
        </w:tc>
      </w:tr>
      <w:tr w:rsidR="0098704A" w:rsidRPr="00EE48DE" w14:paraId="61AA0EFF" w14:textId="77777777" w:rsidTr="00475F68">
        <w:trPr>
          <w:trHeight w:val="88"/>
        </w:trPr>
        <w:tc>
          <w:tcPr>
            <w:tcW w:w="2500" w:type="pct"/>
          </w:tcPr>
          <w:p w14:paraId="5CCB5497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Other serious infection </w:t>
            </w:r>
          </w:p>
        </w:tc>
        <w:tc>
          <w:tcPr>
            <w:tcW w:w="2500" w:type="pct"/>
          </w:tcPr>
          <w:p w14:paraId="7F790B0E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1.65</w:t>
            </w:r>
          </w:p>
        </w:tc>
      </w:tr>
      <w:tr w:rsidR="0098704A" w:rsidRPr="00EE48DE" w14:paraId="53841C01" w14:textId="77777777" w:rsidTr="00475F68">
        <w:trPr>
          <w:trHeight w:val="88"/>
        </w:trPr>
        <w:tc>
          <w:tcPr>
            <w:tcW w:w="2500" w:type="pct"/>
          </w:tcPr>
          <w:p w14:paraId="2B4585B1" w14:textId="3F7C7682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Malignancy</w:t>
            </w:r>
          </w:p>
        </w:tc>
        <w:tc>
          <w:tcPr>
            <w:tcW w:w="2500" w:type="pct"/>
          </w:tcPr>
          <w:p w14:paraId="2526908C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8704A" w:rsidRPr="00EE48DE" w14:paraId="73C715CA" w14:textId="77777777" w:rsidTr="00475F68">
        <w:trPr>
          <w:trHeight w:val="88"/>
        </w:trPr>
        <w:tc>
          <w:tcPr>
            <w:tcW w:w="2500" w:type="pct"/>
          </w:tcPr>
          <w:p w14:paraId="540E30AA" w14:textId="24DB26C8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Year </w:t>
            </w:r>
          </w:p>
        </w:tc>
        <w:tc>
          <w:tcPr>
            <w:tcW w:w="2500" w:type="pct"/>
          </w:tcPr>
          <w:p w14:paraId="3F6DD667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1.41</w:t>
            </w:r>
          </w:p>
        </w:tc>
      </w:tr>
      <w:tr w:rsidR="0098704A" w:rsidRPr="00EE48DE" w14:paraId="29F6B73A" w14:textId="77777777" w:rsidTr="00475F68">
        <w:trPr>
          <w:trHeight w:val="88"/>
        </w:trPr>
        <w:tc>
          <w:tcPr>
            <w:tcW w:w="2500" w:type="pct"/>
            <w:tcBorders>
              <w:bottom w:val="single" w:sz="12" w:space="0" w:color="auto"/>
            </w:tcBorders>
          </w:tcPr>
          <w:p w14:paraId="379BE78F" w14:textId="066B7A10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Years </w:t>
            </w:r>
          </w:p>
        </w:tc>
        <w:tc>
          <w:tcPr>
            <w:tcW w:w="2500" w:type="pct"/>
            <w:tcBorders>
              <w:bottom w:val="single" w:sz="12" w:space="0" w:color="auto"/>
            </w:tcBorders>
          </w:tcPr>
          <w:p w14:paraId="730F387B" w14:textId="77777777" w:rsidR="0098704A" w:rsidRPr="00EE48DE" w:rsidRDefault="0098704A" w:rsidP="00475F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1.41</w:t>
            </w:r>
          </w:p>
        </w:tc>
      </w:tr>
    </w:tbl>
    <w:p w14:paraId="5348002F" w14:textId="4AADBE81" w:rsidR="0098704A" w:rsidRPr="00EE48DE" w:rsidRDefault="0098704A" w:rsidP="0098704A">
      <w:pPr>
        <w:pStyle w:val="tabfignote"/>
        <w:spacing w:before="0"/>
        <w:jc w:val="both"/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>Disease-specific mortality data obtained from</w:t>
      </w:r>
      <w:r w:rsidR="006110C5" w:rsidRPr="00EE48DE">
        <w:rPr>
          <w:rFonts w:ascii="Tahoma" w:hAnsi="Tahoma" w:cs="Tahoma"/>
          <w:sz w:val="12"/>
          <w:szCs w:val="12"/>
        </w:rPr>
        <w:t xml:space="preserve"> </w:t>
      </w:r>
      <w:proofErr w:type="spellStart"/>
      <w:r w:rsidR="006110C5" w:rsidRPr="00EE48DE">
        <w:rPr>
          <w:rFonts w:ascii="Tahoma" w:hAnsi="Tahoma" w:cs="Tahoma"/>
          <w:sz w:val="12"/>
          <w:szCs w:val="12"/>
        </w:rPr>
        <w:t>Bakland</w:t>
      </w:r>
      <w:proofErr w:type="spellEnd"/>
      <w:r w:rsidR="009470E5" w:rsidRPr="00EE48DE">
        <w:rPr>
          <w:rFonts w:ascii="Tahoma" w:hAnsi="Tahoma" w:cs="Tahoma"/>
          <w:sz w:val="12"/>
          <w:szCs w:val="12"/>
        </w:rPr>
        <w:t>, 2011</w:t>
      </w:r>
      <w:r w:rsidR="003F4A85" w:rsidRPr="00EE48DE">
        <w:rPr>
          <w:rFonts w:ascii="Tahoma" w:hAnsi="Tahoma" w:cs="Tahoma"/>
          <w:noProof/>
          <w:sz w:val="12"/>
          <w:szCs w:val="12"/>
          <w:vertAlign w:val="superscript"/>
        </w:rPr>
        <w:t>28</w:t>
      </w:r>
    </w:p>
    <w:p w14:paraId="0C3BFB8C" w14:textId="1312280D" w:rsidR="0098704A" w:rsidRPr="00EE48DE" w:rsidRDefault="0098704A" w:rsidP="0098704A">
      <w:pPr>
        <w:pStyle w:val="tabfignote"/>
        <w:spacing w:before="0"/>
        <w:jc w:val="both"/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>Mortality data for adverse event obtained from</w:t>
      </w:r>
      <w:r w:rsidR="006110C5" w:rsidRPr="00EE48DE">
        <w:rPr>
          <w:rFonts w:ascii="Tahoma" w:hAnsi="Tahoma" w:cs="Tahoma"/>
          <w:sz w:val="12"/>
          <w:szCs w:val="12"/>
        </w:rPr>
        <w:t xml:space="preserve"> </w:t>
      </w:r>
      <w:proofErr w:type="spellStart"/>
      <w:r w:rsidR="006110C5" w:rsidRPr="00EE48DE">
        <w:rPr>
          <w:rFonts w:ascii="Tahoma" w:hAnsi="Tahoma" w:cs="Tahoma"/>
          <w:sz w:val="12"/>
          <w:szCs w:val="12"/>
        </w:rPr>
        <w:t>Abuabara</w:t>
      </w:r>
      <w:proofErr w:type="spellEnd"/>
      <w:r w:rsidR="009470E5" w:rsidRPr="00EE48DE">
        <w:rPr>
          <w:rFonts w:ascii="Tahoma" w:hAnsi="Tahoma" w:cs="Tahoma"/>
          <w:sz w:val="12"/>
          <w:szCs w:val="12"/>
        </w:rPr>
        <w:t>, 2010</w:t>
      </w:r>
      <w:r w:rsidR="003F4A85" w:rsidRPr="00EE48DE">
        <w:rPr>
          <w:rFonts w:ascii="Tahoma" w:hAnsi="Tahoma" w:cs="Tahoma"/>
          <w:noProof/>
          <w:sz w:val="12"/>
          <w:szCs w:val="12"/>
          <w:vertAlign w:val="superscript"/>
        </w:rPr>
        <w:t>29</w:t>
      </w:r>
    </w:p>
    <w:p w14:paraId="043E2D4C" w14:textId="313BE28D" w:rsidR="005F7A6C" w:rsidRPr="00EE48DE" w:rsidRDefault="005F7A6C" w:rsidP="0098704A">
      <w:pPr>
        <w:pStyle w:val="tabfignote"/>
        <w:spacing w:before="0"/>
        <w:jc w:val="both"/>
        <w:rPr>
          <w:rFonts w:ascii="Tahoma" w:hAnsi="Tahoma" w:cs="Tahoma"/>
          <w:sz w:val="12"/>
          <w:szCs w:val="12"/>
        </w:rPr>
      </w:pPr>
      <w:proofErr w:type="gramStart"/>
      <w:r w:rsidRPr="00EE48DE">
        <w:rPr>
          <w:rFonts w:ascii="Tahoma" w:hAnsi="Tahoma" w:cs="Tahoma"/>
          <w:sz w:val="12"/>
          <w:szCs w:val="12"/>
          <w:vertAlign w:val="superscript"/>
        </w:rPr>
        <w:t>a</w:t>
      </w:r>
      <w:proofErr w:type="gramEnd"/>
      <w:r w:rsidRPr="00EE48DE">
        <w:rPr>
          <w:rFonts w:ascii="Tahoma" w:hAnsi="Tahoma" w:cs="Tahoma"/>
          <w:sz w:val="12"/>
          <w:szCs w:val="12"/>
        </w:rPr>
        <w:t xml:space="preserve"> Relative risk of mortality in AS patients compared to general population; </w:t>
      </w:r>
      <w:r w:rsidRPr="00EE48DE">
        <w:rPr>
          <w:rFonts w:ascii="Tahoma" w:hAnsi="Tahoma" w:cs="Tahoma"/>
          <w:sz w:val="12"/>
          <w:szCs w:val="12"/>
          <w:vertAlign w:val="superscript"/>
        </w:rPr>
        <w:t>b</w:t>
      </w:r>
      <w:r w:rsidRPr="00EE48DE">
        <w:rPr>
          <w:rFonts w:ascii="Tahoma" w:hAnsi="Tahoma" w:cs="Tahoma"/>
          <w:sz w:val="12"/>
          <w:szCs w:val="12"/>
        </w:rPr>
        <w:t xml:space="preserve"> Relative risk of mortality in AS patients  having adverse event compared to </w:t>
      </w:r>
      <w:r w:rsidR="00532E3D" w:rsidRPr="00EE48DE">
        <w:rPr>
          <w:rFonts w:ascii="Tahoma" w:hAnsi="Tahoma" w:cs="Tahoma"/>
          <w:sz w:val="12"/>
          <w:szCs w:val="12"/>
        </w:rPr>
        <w:t xml:space="preserve">AS </w:t>
      </w:r>
      <w:r w:rsidRPr="00EE48DE">
        <w:rPr>
          <w:rFonts w:ascii="Tahoma" w:hAnsi="Tahoma" w:cs="Tahoma"/>
          <w:sz w:val="12"/>
          <w:szCs w:val="12"/>
        </w:rPr>
        <w:t>patients not having adverse event</w:t>
      </w:r>
    </w:p>
    <w:p w14:paraId="735088FF" w14:textId="77777777" w:rsidR="0069044C" w:rsidRPr="00EE48DE" w:rsidRDefault="0069044C">
      <w:pPr>
        <w:spacing w:after="200" w:line="276" w:lineRule="auto"/>
        <w:rPr>
          <w:rFonts w:ascii="Tahoma" w:hAnsi="Tahoma" w:cs="Tahoma"/>
          <w:sz w:val="20"/>
        </w:rPr>
      </w:pPr>
    </w:p>
    <w:p w14:paraId="53F913B3" w14:textId="4ACF2488" w:rsidR="0069044C" w:rsidRPr="00EE48DE" w:rsidRDefault="0069044C" w:rsidP="0069044C">
      <w:pPr>
        <w:pStyle w:val="Caption"/>
        <w:keepNext/>
        <w:rPr>
          <w:rFonts w:ascii="Tahoma" w:hAnsi="Tahoma" w:cs="Tahoma"/>
          <w:color w:val="auto"/>
          <w:sz w:val="22"/>
          <w:szCs w:val="22"/>
        </w:rPr>
      </w:pPr>
      <w:r w:rsidRPr="00EE48DE">
        <w:rPr>
          <w:rFonts w:ascii="Tahoma" w:hAnsi="Tahoma" w:cs="Tahoma"/>
          <w:color w:val="auto"/>
          <w:sz w:val="22"/>
          <w:szCs w:val="22"/>
        </w:rPr>
        <w:t xml:space="preserve">Table </w:t>
      </w:r>
      <w:r w:rsidR="00C11662" w:rsidRPr="00EE48DE">
        <w:rPr>
          <w:rFonts w:ascii="Tahoma" w:hAnsi="Tahoma" w:cs="Tahoma"/>
          <w:color w:val="auto"/>
          <w:sz w:val="22"/>
          <w:szCs w:val="22"/>
        </w:rPr>
        <w:t>S</w:t>
      </w:r>
      <w:r w:rsidR="00185F6D" w:rsidRPr="00EE48DE">
        <w:rPr>
          <w:rFonts w:ascii="Tahoma" w:hAnsi="Tahoma" w:cs="Tahoma"/>
          <w:color w:val="auto"/>
          <w:sz w:val="22"/>
          <w:szCs w:val="22"/>
        </w:rPr>
        <w:t xml:space="preserve">13 </w:t>
      </w:r>
      <w:r w:rsidRPr="00EE48DE">
        <w:rPr>
          <w:rFonts w:ascii="Tahoma" w:hAnsi="Tahoma" w:cs="Tahoma"/>
          <w:color w:val="auto"/>
          <w:sz w:val="22"/>
          <w:szCs w:val="22"/>
        </w:rPr>
        <w:t>Sensitivity analysis inputs for biologic-naive base-case population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1262"/>
        <w:gridCol w:w="1275"/>
        <w:gridCol w:w="1262"/>
        <w:gridCol w:w="1463"/>
      </w:tblGrid>
      <w:tr w:rsidR="0069044C" w:rsidRPr="00EE48DE" w14:paraId="31C3A4CB" w14:textId="77777777" w:rsidTr="00EE48DE">
        <w:trPr>
          <w:trHeight w:val="212"/>
          <w:tblHeader/>
          <w:jc w:val="center"/>
        </w:trPr>
        <w:tc>
          <w:tcPr>
            <w:tcW w:w="2219" w:type="pct"/>
            <w:shd w:val="clear" w:color="auto" w:fill="BFBFBF" w:themeFill="background1" w:themeFillShade="BF"/>
            <w:noWrap/>
            <w:vAlign w:val="bottom"/>
            <w:hideMark/>
          </w:tcPr>
          <w:p w14:paraId="1A5BFA9F" w14:textId="77777777" w:rsidR="0069044C" w:rsidRPr="00EE48DE" w:rsidRDefault="0069044C" w:rsidP="00475F6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667" w:type="pct"/>
            <w:shd w:val="clear" w:color="auto" w:fill="BFBFBF" w:themeFill="background1" w:themeFillShade="BF"/>
            <w:noWrap/>
            <w:vAlign w:val="bottom"/>
            <w:hideMark/>
          </w:tcPr>
          <w:p w14:paraId="55AA63A7" w14:textId="77777777" w:rsidR="0069044C" w:rsidRPr="00EE48DE" w:rsidRDefault="0069044C" w:rsidP="00475F6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Base case</w:t>
            </w:r>
          </w:p>
        </w:tc>
        <w:tc>
          <w:tcPr>
            <w:tcW w:w="674" w:type="pct"/>
            <w:shd w:val="clear" w:color="auto" w:fill="BFBFBF" w:themeFill="background1" w:themeFillShade="BF"/>
            <w:noWrap/>
            <w:vAlign w:val="bottom"/>
            <w:hideMark/>
          </w:tcPr>
          <w:p w14:paraId="04BDD8DC" w14:textId="77777777" w:rsidR="0069044C" w:rsidRPr="00EE48DE" w:rsidRDefault="0069044C" w:rsidP="00475F6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667" w:type="pct"/>
            <w:shd w:val="clear" w:color="auto" w:fill="BFBFBF" w:themeFill="background1" w:themeFillShade="BF"/>
            <w:noWrap/>
            <w:vAlign w:val="bottom"/>
            <w:hideMark/>
          </w:tcPr>
          <w:p w14:paraId="02352593" w14:textId="77777777" w:rsidR="0069044C" w:rsidRPr="00EE48DE" w:rsidRDefault="0069044C" w:rsidP="00475F6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773" w:type="pct"/>
            <w:shd w:val="clear" w:color="auto" w:fill="BFBFBF" w:themeFill="background1" w:themeFillShade="BF"/>
            <w:noWrap/>
            <w:vAlign w:val="bottom"/>
            <w:hideMark/>
          </w:tcPr>
          <w:p w14:paraId="4BEF2DFA" w14:textId="77777777" w:rsidR="0069044C" w:rsidRPr="00EE48DE" w:rsidRDefault="0069044C" w:rsidP="00475F6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Distribution used in Probabilistic sensitivity analysis</w:t>
            </w:r>
          </w:p>
        </w:tc>
      </w:tr>
      <w:tr w:rsidR="0069044C" w:rsidRPr="00EE48DE" w14:paraId="64F25BFC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995C97A" w14:textId="77777777" w:rsidR="0069044C" w:rsidRPr="00EE48DE" w:rsidRDefault="0069044C" w:rsidP="00475F68">
            <w:pPr>
              <w:spacing w:line="240" w:lineRule="auto"/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Discount rate - costs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25F1CF8" w14:textId="77777777" w:rsidR="0069044C" w:rsidRPr="00EE48DE" w:rsidRDefault="0069044C" w:rsidP="00475F68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1.50%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5E73327" w14:textId="77777777" w:rsidR="0069044C" w:rsidRPr="00EE48DE" w:rsidRDefault="0069044C" w:rsidP="00475F68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1A24FF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AE16BD3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6C4D3FB9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0BFC6C3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Discount rate - outcomes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838F61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1.50%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C46971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B2038E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E340269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20528DB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A928448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Baseline BASDAI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1E9A38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B338F6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410DA4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591AACE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6A920E27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A132FAC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Baseline BASFI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D18A7E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5EF5C7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ABBC0D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FE0B523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43B7417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035D38D" w14:textId="76EED527" w:rsidR="0069044C" w:rsidRPr="00EE48DE" w:rsidRDefault="0069044C" w:rsidP="00532E3D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Baseline BASDAI responders: S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C01727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E91C39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90A014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FDEDC54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28F285AF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856EF28" w14:textId="43742D75" w:rsidR="0069044C" w:rsidRPr="00EE48DE" w:rsidRDefault="0069044C" w:rsidP="00532E3D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BASDAI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A21C09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BE5A89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4814C8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F6175D7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5949268A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AFF5679" w14:textId="5B00B7BF" w:rsidR="0069044C" w:rsidRPr="00EE48DE" w:rsidRDefault="0069044C" w:rsidP="00532E3D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BASDAI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0A5603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369B67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988BBF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D9F749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5949FFA8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65859DE" w14:textId="4595F6D9" w:rsidR="0069044C" w:rsidRPr="00EE48DE" w:rsidRDefault="0069044C" w:rsidP="00532E3D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BASDAI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67C7C6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0BD64B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CCCBC0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5556D2C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2D64AFD7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6E1C599" w14:textId="252BC238" w:rsidR="0069044C" w:rsidRPr="00EE48DE" w:rsidRDefault="0069044C" w:rsidP="00532E3D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BASDAI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E6631D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1929B8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064AFF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1BFFD49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1F123302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ABA9690" w14:textId="1AC69A97" w:rsidR="0069044C" w:rsidRPr="00EE48DE" w:rsidRDefault="0069044C" w:rsidP="00532E3D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BASDAI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32EC26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3E54DE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EE95D6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9B0CF6C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327A836A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83BA63A" w14:textId="502547D4" w:rsidR="0069044C" w:rsidRPr="00EE48DE" w:rsidRDefault="0069044C" w:rsidP="00532E3D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BASDAI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Conventional care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364B20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90E577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63D339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4EFE6EA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1B23FB38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1103C45" w14:textId="414179F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BASDAI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6E4F6D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8DE4C6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326E5E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64E0BB6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2725D43D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E694C5D" w14:textId="07F0CC6E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BASDAI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8A36E6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0CECDA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8B4DCB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D83DF99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68B5E10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14BF1F6" w14:textId="3BDF4751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lastRenderedPageBreak/>
              <w:t xml:space="preserve">Baseline BASDAI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98E675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71F9A4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26E3A3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9BBE7B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0645A37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4869932" w14:textId="7FBFC078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BASDAI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AAFC9D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4DFEDB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DAE60F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5C9B585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2B49635E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89C87CF" w14:textId="7A47B7D2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BASDAI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812F4E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A4A208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8CFAAD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1DB0B32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3ED89AB8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975DDB2" w14:textId="2C63F9C9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BASDAI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9C6D99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C97681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7808D7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9C03C5D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36318F3F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6B46401" w14:textId="12726FA9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BASDAI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Conventional care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16D481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872758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A130B6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7A9BFD8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00D98A19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6512C32" w14:textId="4B325F7D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BASFI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319388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9998B7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28970C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DB8AD35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5BFFC02E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4938B45" w14:textId="668627FB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BASFI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B5293A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9F7853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7BE3D6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8464CDF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7BB82A64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D7C9540" w14:textId="43B8C5C3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BASFI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F76B1B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78C578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E06A9A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0A7AD82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58BA67B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33F3A2F" w14:textId="2287B42A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BASFI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BA800A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72DEFD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857F26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0FA9887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55F9AFB3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2295D8E" w14:textId="4B177F6E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BASFI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7F6B90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F25DE8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AD5968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EFB9E6E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1D8674D1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6D63DFE" w14:textId="5F80866F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BASFI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4151C8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8F540E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3C815D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DFBBCCA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71C820C4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A3C2AD3" w14:textId="60B24A9B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BASFI 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Conventional care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143C3A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FB4F5A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C41767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66A944C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7530777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59DF478" w14:textId="32E506EF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BASFI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7B85D6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6E4595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14524E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4A626F0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03E09D1E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F63E57F" w14:textId="1747C483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BASFI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6682E4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5C3236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A32955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198F44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10822BBA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AF84065" w14:textId="374A8638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Baseline BASFI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0CB3AE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F9EC1E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882620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CF8D14D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6FC4C03F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CD42D40" w14:textId="410BE7C3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BASFI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2D8D04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2BC3B7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A41489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58AFACF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08F42EC3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A102433" w14:textId="00C70061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BASFI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849A75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CA5CD9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FCDB01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0E84037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12B8E71D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AB2ABD6" w14:textId="6D664939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BASFI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376DEA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249539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21878F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FE441B1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2770535A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A8705C5" w14:textId="0814148F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Baseline BASFI non-responders: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Conventional care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8F5464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49631B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0FD1E9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98BE8D8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1278634A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B3A75F8" w14:textId="056572EA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Annual rate of MSASSS change for MSASSS≥10 - </w:t>
            </w:r>
            <w:r w:rsidR="00B3129B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CCC6F8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1.440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9DE7B7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1.152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73412C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1.728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3C1F248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5A3F3E1B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F85CB07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Annual rate of MSASSS change for MSASSS≥10 - TNFs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ACA876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1.440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6B9A60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1.152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B224C8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1.728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DDFB569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54B21393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73E7E28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BASFI change with 1 unit change in MSASSS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37A910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01ACB3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EF267E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489C75D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1DF969A8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EA5D19B" w14:textId="1FF640FE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Treatment effect on progression -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A67140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F783FE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337BE2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C86E484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5C39E00C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457135F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Treatment effect on progression - TNFs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B8EE5F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0.420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4195FB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C79DCA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0.504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A12BF19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61A128D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3550E84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Relative risk BASDAI response: Second line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11AB5D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8BEFBC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1CDF91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5DA454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52ABA424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EA8645E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Relative risk Δ BASDAI: Second line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D1F670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8C1562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C122C3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0374054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02F1D7F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DC4D9D0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Relative risk Δ BASFI: Second line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3E4C72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AB8B45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AEAC4D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B8E7380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38F077C1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2F69F68" w14:textId="45281CC6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1: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A4E249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15.3%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2DF5E9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E3DCD7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3FFD738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453E102A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C2EFD0D" w14:textId="2EE4C33A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1: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1AEE90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12.6%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E2EEE4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978559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15.1%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877567E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523F8779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8FF06C7" w14:textId="1922661C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1: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AB3F33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48710D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C9E3CA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30.2%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D8AD5F8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E8F1ACA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A3D1AE0" w14:textId="57B3F213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1: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53CEF1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13.0%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DAE59B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4B5B3E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9C46623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4B2D53DD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3039B91" w14:textId="2D5A9BB2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1: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C73B78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E54BC8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3D1D5B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3FFE628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08C4D160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4F71C21" w14:textId="0813B882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1: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6FEE57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15.1%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BB6115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12.1%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2C54F1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678F111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D697C81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1A10C32" w14:textId="779A1995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2: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A5D961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3546FA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94B9FC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53DC2DD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15000150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2DA255A" w14:textId="6DD45878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2: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5D7A1E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11.0%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C6BA55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8B3B75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18CE37E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294A0631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C3F17CE" w14:textId="0652F0CE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2: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B81129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1B2F77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9CB293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30.2%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1F96FFD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65AAA89F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7DC5201" w14:textId="36ECB008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2: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A42BFC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DC4708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41E34F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5E32261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D6894C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F13BD3E" w14:textId="3129E84B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2: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34FD96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95505A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12.6%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DC60C4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18.9%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1D25736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2FF020E4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02047D1" w14:textId="2FC1405E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Discontinuation year 2: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1701F9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579286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40F6F2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F28EBF0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6A90C9BA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A2AA857" w14:textId="23CF15B1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Drug acquisition cost: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188DF7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822.50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AF15AC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658.00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83464E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987.00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D0EC462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4747B48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F97D496" w14:textId="5A7FDBF9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Drug acquisition cost: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EC36D8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664.51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A4E01F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531.61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DADB7A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797.41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C6C06A5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62D69983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4E51E39" w14:textId="7626D3E5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Drug acquisition cost: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4C5244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405.99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A0CD09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324.79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8AC12A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487.18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C54F8B8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60B764F1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DCC1B5E" w14:textId="4A9BDC5F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Drug acquisition cost: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A42CAB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769.97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F690D4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615.98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C2F3B6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923.96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B07AE53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0C6FF04B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6A853A1" w14:textId="5861FCCE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Drug acquisition cost: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29D3EC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987.56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57E125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790.05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0934AD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1,185.07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DABA1EE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37B2BF98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D623600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Drug acquisition cost: 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BBE862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1,555.17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72D4C1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1,244.14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FCC60D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1,866.20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EAD4166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19DAB4DD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F6D0661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Subcutaneous therapy training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49AA11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0.00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B23A24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0.00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114BE2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0.00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3D0BC76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679ADC4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6594C63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IV administration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AD4647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0.00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11EA4F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0.00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FAB3DA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0.00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768B955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46F84F59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B0166EF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Cost equation intercept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FD6C22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2,413.31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CE4330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1,930.65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985947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2,895.98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49D70AC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Log-normal</w:t>
            </w:r>
          </w:p>
        </w:tc>
      </w:tr>
      <w:tr w:rsidR="0069044C" w:rsidRPr="00EE48DE" w14:paraId="7A678E57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F08F381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BASFI coefficient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572847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550929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F1457A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A73E00F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51A01372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1CC9936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Tuberculosis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11EA55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57,181.60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FB952F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45,745.28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3B0CA9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68,617.93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057C151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4EC08AD4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516E026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Other serious infection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9A1BC3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21,661.56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CBE5C7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17,329.25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DEE8DA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25,993.87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3BC6D78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41BB7BA0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B9AD8FB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Malignancy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E82F99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29,662.47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1ADD89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23,729.97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55BF92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35,594.96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472C350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66120C29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0827F5E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GP visit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95D159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21.90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312E10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17.52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650B8B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26.28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1CA39A4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3A1366D2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D697AF4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Specialist visit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29EB85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21.90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E13737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17.52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B41987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26.28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E82C6DA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36A73AF3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55C6706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Full blood count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4E917C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8.99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D4171B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7.19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2B4B6E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10.78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9D97696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75D09E24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88D49AE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Erythrocyte sedimentation rate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F50640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10.61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A1AA69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8.49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B75589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12.73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FD4E7E3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2CDD66A3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F4FD17F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Liver function test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424F03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14.20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821651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11.36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42F489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17.04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501B084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27B1DC1B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4B734E9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Urea and electrolytes test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375A33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5.83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30437C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4.66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3DC6DE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7.00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A7077D4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2FB51378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D55B459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Chest radiograph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BF4B18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38.94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54BFB0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31.15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EEA646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46.73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11BB9D5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0535EBC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0B8BC6F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Tuberculosis </w:t>
            </w:r>
            <w:proofErr w:type="spellStart"/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Heaf</w:t>
            </w:r>
            <w:proofErr w:type="spellEnd"/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test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A21BFF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15.96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BCF730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12.77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07CA1C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19.15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856CE53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58337972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0A29F17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Antinuclear antibodies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9BDE38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23.82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4CDEE3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19.06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B394A7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28.58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FEB7D52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72064C4C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9C6EF44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DNA double-stranded test cost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FD5F04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20.22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D6F8ED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16.18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BC786A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CAD 24.26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0867A14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Gamma</w:t>
            </w:r>
          </w:p>
        </w:tc>
      </w:tr>
      <w:tr w:rsidR="0069044C" w:rsidRPr="00EE48DE" w14:paraId="4062C995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6A9E356" w14:textId="422C51F0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Serious infection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E83517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0.16%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ED8A8A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0.13%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8CBF77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0.20%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3E0C141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6D34AA22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8DC3358" w14:textId="39503BA1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Serious infection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2AA851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0.67%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2C1BB0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0.54%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D318B7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0.81%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0BFE803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2D2E3692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86FBB89" w14:textId="560C685A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Serious infection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17A40E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A179D8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702265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884E411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37603F50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0F04313" w14:textId="350C2EDF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Serious infection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C4A070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0.35%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EFD145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0.28%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E02952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0.42%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42054C1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2502E7A7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269B9AE" w14:textId="2F6EE340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Serious infection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D0504F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0.52%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49CD09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0.41%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EFA7B8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0.62%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A60F77A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01BE571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B7DAD75" w14:textId="4C10D79B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Serious infection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F745FC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0.19%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E8A71D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0.15%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03F03B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0.23%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C7DD0C0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53D7F3A8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E1F6185" w14:textId="3D2C287B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Serious infection probability: </w:t>
            </w:r>
            <w:r w:rsidR="00B3129B" w:rsidRPr="00EE48DE">
              <w:rPr>
                <w:rFonts w:ascii="Tahoma" w:hAnsi="Tahoma" w:cs="Tahoma"/>
                <w:color w:val="000000"/>
                <w:sz w:val="16"/>
                <w:szCs w:val="16"/>
              </w:rPr>
              <w:t>Conventional care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4ED218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82D274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7483E0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97FB88F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42F627FF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EAB463B" w14:textId="6219C1FC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Malignancy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BB202E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725231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6C1044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5CDCB1F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63CBD5AA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8694344" w14:textId="1133CF72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Malignancy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9467B8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FFE567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B4709E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F532553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60276EC7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DD0C5FC" w14:textId="0BA9F54D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Malignancy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D48053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EFE44A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B9BF9B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9C75C2A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2D017099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3D1B8FC" w14:textId="123436E2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Malignancy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FB27C9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0.12%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D621C3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0.10%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7E1844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0.15%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19BB1D0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491542A0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B4976F9" w14:textId="782A4082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Malignancy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C65FCA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0.13%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F9B915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0.10%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E230F7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0.15%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21635A8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7C7AB235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FA9D0BC" w14:textId="07F9B53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Malignancy probability: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0B9A99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0.03%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DACECC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0.02%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E03D0E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0.04%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372F701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19752C88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A139B16" w14:textId="11A9A75F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Malignancy probability: </w:t>
            </w:r>
            <w:r w:rsidR="00B3129B" w:rsidRPr="00EE48DE">
              <w:rPr>
                <w:rFonts w:ascii="Tahoma" w:hAnsi="Tahoma" w:cs="Tahoma"/>
                <w:color w:val="000000"/>
                <w:sz w:val="16"/>
                <w:szCs w:val="16"/>
              </w:rPr>
              <w:t>Conventional care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D3149F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6EFAB0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380EFA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476B7C7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</w:p>
        </w:tc>
      </w:tr>
      <w:tr w:rsidR="0069044C" w:rsidRPr="00EE48DE" w14:paraId="628F85AF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F3A0BB6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AS mortality relative risk - males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0E028B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2861DD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E34820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F6CF8C0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Log-normal</w:t>
            </w:r>
          </w:p>
        </w:tc>
      </w:tr>
      <w:tr w:rsidR="0069044C" w:rsidRPr="00EE48DE" w14:paraId="127DBF20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70883A9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AS mortality relative risk - females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CAFB24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B56228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276A63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CD3C01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Log-normal</w:t>
            </w:r>
          </w:p>
        </w:tc>
      </w:tr>
      <w:tr w:rsidR="0069044C" w:rsidRPr="00EE48DE" w14:paraId="2E80ED07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D19F714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Tuberculosis mortality relative risk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828ACE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B7E16D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F3E6EA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926BF2E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65D87EF4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311EA8E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Other serious infection mortality relative risk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160083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C286D3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5F2B02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A5C6697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68F96D8C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D8B3726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Malignancy relative risk: Year 1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0CF84D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4283CB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6AE280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2433FF6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799A11A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3EC8202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Malignancy relative risk: Year 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34451A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EFD661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A421B7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5250E16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Not varied</w:t>
            </w:r>
          </w:p>
        </w:tc>
      </w:tr>
      <w:tr w:rsidR="0069044C" w:rsidRPr="00EE48DE" w14:paraId="62B4043C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6A3D4DD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Utility intercept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629E7B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0AC4C7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CFE9FE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F48B0D0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4B595C4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F13687C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Utility BASFI coefficient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69C2C1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-0.0330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05486C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-0.0264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5C2ABD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-0.0396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84788D6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0948339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E35BDCD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Utility BASDAI coefficient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EBF292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-0.0442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69B9D0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-0.0354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AE4152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-0.0530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B0C132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265181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1EFC89A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Utility male coefficient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6EF7DE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-0.0111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CBD1AF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-0.0089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DBF999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-0.0133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A733FD7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2A53867D" w14:textId="77777777" w:rsidTr="00EE48DE">
        <w:trPr>
          <w:trHeight w:val="237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B59DCEE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Utility age coefficient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17D879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-0.0005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7C8039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-0.0004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F3DF62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-0.0006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718B7E5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7FA48A5C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15B2906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Serious infection disutility: Year 1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141AD3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-0.1560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F9DD46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-0.1248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4E9E4E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-0.1872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BFE8E43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4ED506B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65CEC72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Serious infection disutility: Year 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5E7C98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82AFA0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3C71BB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87FEDDD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0DE75EE8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D6F3C46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Serious infection disutility: Years 3+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F68203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8A8050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0D6398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569FBA2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9626AE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03090B9" w14:textId="77777777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Malignancy disutility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22CC3A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-0.0174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A5AAB3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-0.0139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3676B7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-0.0209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193AD0C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C527A5E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FAB9C40" w14:textId="34869751" w:rsidR="0069044C" w:rsidRPr="00EE48DE" w:rsidRDefault="0069044C" w:rsidP="00475F68">
            <w:pPr>
              <w:spacing w:line="240" w:lineRule="auto"/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BASDAI 50 at 3 months: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595FA8C" w14:textId="77777777" w:rsidR="0069044C" w:rsidRPr="00EE48DE" w:rsidRDefault="0069044C" w:rsidP="00475F68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41.53%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5B9A8A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15.21%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E87AF5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73.77%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65E5794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0408862F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32D4B6E" w14:textId="2A67D3EC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BASDAI 50 at 3 months: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BB3884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44.20%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18043B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19.27%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0B3A71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72.44%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71DF9E4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7E7F37B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6107132" w14:textId="6C39C1E0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BASDAI 50 at 3 months: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FD366E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36.80%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C1E85C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14.92%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9FFEEE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65.89%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A7DD1D7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5CF2B63F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8748F5F" w14:textId="7ECF909A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BASDAI 50 at 3 months: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AAD199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48.85%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DBC574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38.43%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D6E18D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59.37%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3BAB65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1B730129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6466C05" w14:textId="7BEB693D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BASDAI 50 at 3 months: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6AAF38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44.20%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74E4C1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19.27%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1CA602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72.44%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BD7A8C8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00C8B2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6004927" w14:textId="11314EC3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BASDAI 50 at 3 months: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4032D0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47.20%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8E3CA9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28.39%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5E0341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66.85%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53A138A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5457B8D7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C42E780" w14:textId="2BA73D39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BASDAI 50 at 3 months: </w:t>
            </w:r>
            <w:r w:rsidR="00B3129B" w:rsidRPr="00EE48DE">
              <w:rPr>
                <w:rFonts w:ascii="Tahoma" w:hAnsi="Tahoma" w:cs="Tahoma"/>
                <w:color w:val="000000"/>
                <w:sz w:val="16"/>
                <w:szCs w:val="16"/>
              </w:rPr>
              <w:t>Conventional care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DB80A4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16.73%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86EBAC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13.07%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B00499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21.17%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5143C3C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033C48C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45AF14A" w14:textId="49E477E4" w:rsidR="0069044C" w:rsidRPr="00EE48DE" w:rsidRDefault="0069044C" w:rsidP="00475F68">
            <w:pPr>
              <w:spacing w:line="240" w:lineRule="auto"/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FE76DE9" w14:textId="77777777" w:rsidR="0069044C" w:rsidRPr="00EE48DE" w:rsidRDefault="0069044C" w:rsidP="00475F68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-4.602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C706F2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-2.982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065914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-6.222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382FD4C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6B713D9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AC0604B" w14:textId="5CD84AE8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13AF5F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-5.569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DFAD19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-4.010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A480F1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-7.127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97793E3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604C048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2548053" w14:textId="70BE8164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ECBF27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-4.474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121212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-2.743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F02E82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-6.206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D9034F2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53F0C9E2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F567600" w14:textId="5776D4BC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2F9B85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-4.562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122A3E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-3.970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8F584E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-5.155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DF8FC37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5D1B391F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77DBF56" w14:textId="04CC106F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E22371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-7.941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1A80F9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-5.836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76B3AC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-10.046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7BB7243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1F27DF14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86B50B8" w14:textId="239F2786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804A9B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-5.316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5EFA98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-4.004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6473D9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-6.629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611AD07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78345FF6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7A5CDB8" w14:textId="2BBC182C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BASDAI change: </w:t>
            </w:r>
            <w:r w:rsidR="00B3129B" w:rsidRPr="00EE48DE">
              <w:rPr>
                <w:rFonts w:ascii="Tahoma" w:hAnsi="Tahoma" w:cs="Tahoma"/>
                <w:color w:val="000000"/>
                <w:sz w:val="16"/>
                <w:szCs w:val="16"/>
              </w:rPr>
              <w:t>Conventional care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ED1E25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-3.061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4E3E21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-2.404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564793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-3.718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A8A56E6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4941CEB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C52593B" w14:textId="69F81750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non-responder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E35DF76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-1.007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3CA801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-0.652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AA0E47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-1.361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969C1EF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2DB68692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CA3CA45" w14:textId="6DA35544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3-month non-responder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293B51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-1.275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796650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-0.886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FAFAB0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-1.575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141A07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8AF1B4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E555A7E" w14:textId="2E0AFF8D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non-responder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B7D6A3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-1.025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561978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-0.608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BFEE911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-1.375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D3FEE8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E52A1F5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0B5F890" w14:textId="76FA82C9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non-responder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00D85A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-0.806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1CC38B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-0.837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2A9C74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-1.087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64E20F1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0F5A1F81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31C0DC6" w14:textId="03784C90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non-responder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649094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-1.819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AF5799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-1.290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646079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-2.220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79F24F8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FB2C814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F775070" w14:textId="391DE763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non-responder BASDAI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F55917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-1.368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0BB0FB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-0.906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357FA29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-1.500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124E6B0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73782277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8B26E73" w14:textId="4B4287D9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non-responder BASDAI change: </w:t>
            </w:r>
            <w:r w:rsidR="00B3129B" w:rsidRPr="00EE48DE">
              <w:rPr>
                <w:rFonts w:ascii="Tahoma" w:hAnsi="Tahoma" w:cs="Tahoma"/>
                <w:color w:val="000000"/>
                <w:sz w:val="16"/>
                <w:szCs w:val="16"/>
              </w:rPr>
              <w:t>Conventional care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043FAB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-0.701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AF4DB4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-0.539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E8DD6A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-0.833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2702640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17D0267E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2CF186E" w14:textId="5262633A" w:rsidR="0069044C" w:rsidRPr="00EE48DE" w:rsidRDefault="0069044C" w:rsidP="00475F68">
            <w:pPr>
              <w:spacing w:line="240" w:lineRule="auto"/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DE90EB3" w14:textId="77777777" w:rsidR="0069044C" w:rsidRPr="00EE48DE" w:rsidRDefault="0069044C" w:rsidP="00475F68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-3.748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0E5C19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-2.294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940B28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-5.202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20D6B0A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0C73B6FF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7616AAB" w14:textId="23858848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F45F31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-3.594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98CAD4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-2.211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4E12FE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-4.978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DF85F7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40E71E03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E4008C9" w14:textId="54C9EE53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99DF10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-3.444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B350DA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-1.914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D59DDF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-4.975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4BA62BB2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0814C29B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D772477" w14:textId="61C8BA85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EBEDF1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-3.145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B816AEB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-2.622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EEF92FD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-3.668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17E6B0AE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659B37FD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F7A5B0D" w14:textId="6CA86E62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403B1A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-3.965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CC41D4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-2.119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AA4080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-5.811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1D5E411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7E49185A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0EBFE09F" w14:textId="149F9F4A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218E2F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-4.072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FC8083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-2.816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7EF911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-5.327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C9D6C1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1EC0CD0B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55383F03" w14:textId="4AAE8CC2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responder BASFI change: </w:t>
            </w:r>
            <w:r w:rsidR="00B3129B" w:rsidRPr="00EE48DE">
              <w:rPr>
                <w:rFonts w:ascii="Tahoma" w:hAnsi="Tahoma" w:cs="Tahoma"/>
                <w:color w:val="000000"/>
                <w:sz w:val="16"/>
                <w:szCs w:val="16"/>
              </w:rPr>
              <w:t>Conventional care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9D63BE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-1.627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5AC57A7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-0.945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4F7133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-2.308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5AA3BB0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74C9C16A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6586ED72" w14:textId="255AD521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non-responder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</w:rPr>
              <w:t>Secukinumab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4500F1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-1.174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0E5F0B8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-0.718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F49A8F5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-1.629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7E3AF51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338D2EB0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7B0DFD9C" w14:textId="28AF26FC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 xml:space="preserve">3-month non-responder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Certolizumab pegol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2C73E7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-0.886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10B4FBC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-0.651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A2BEE3E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-1.465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525F780B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65DF2B40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4A44F6F8" w14:textId="62775CC6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3-month non-</w:t>
            </w:r>
            <w:proofErr w:type="spellStart"/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responder</w:t>
            </w:r>
            <w:proofErr w:type="spellEnd"/>
            <w:r w:rsidRPr="00EE48DE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 xml:space="preserve">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Etanercept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2C36A8C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-0.849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DDB70A0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-0.555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67C75F4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-1.442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7FC5E495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7081D461" w14:textId="77777777" w:rsidTr="00EE48DE">
        <w:trPr>
          <w:trHeight w:val="278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D8B31A8" w14:textId="182EFFDC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non-responder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Adalimumab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FFCDA1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-0.775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24778F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-0.778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AF7DEE3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-1.089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222E97CA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6A24710C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3FBD8FB0" w14:textId="5E1A4BEC" w:rsidR="0069044C" w:rsidRPr="00EE48DE" w:rsidRDefault="0069044C" w:rsidP="00475F68">
            <w:pPr>
              <w:spacing w:line="240" w:lineRule="auto"/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non-responder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Infliximab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63E35E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-0.977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BA7502F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-0.624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CBC16C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-1.710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36C2CC4D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215A64E0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1311D9B7" w14:textId="31DF94FF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non-responder BASFI change: </w:t>
            </w:r>
            <w:r w:rsidR="00532E3D" w:rsidRPr="00EE48DE">
              <w:rPr>
                <w:rFonts w:ascii="Tahoma" w:hAnsi="Tahoma" w:cs="Tahoma"/>
                <w:color w:val="000000"/>
                <w:sz w:val="16"/>
                <w:szCs w:val="16"/>
                <w:lang w:val="it-IT"/>
              </w:rPr>
              <w:t>Golimumab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ED9FABA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-0.712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B7482B7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-0.781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FC79BD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-1.477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7B18C25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  <w:tr w:rsidR="0069044C" w:rsidRPr="00EE48DE" w14:paraId="6C9671A4" w14:textId="77777777" w:rsidTr="00EE48DE">
        <w:trPr>
          <w:trHeight w:val="212"/>
          <w:jc w:val="center"/>
        </w:trPr>
        <w:tc>
          <w:tcPr>
            <w:tcW w:w="2219" w:type="pct"/>
            <w:shd w:val="clear" w:color="auto" w:fill="auto"/>
            <w:noWrap/>
            <w:vAlign w:val="bottom"/>
          </w:tcPr>
          <w:p w14:paraId="23DC9B66" w14:textId="6963C291" w:rsidR="0069044C" w:rsidRPr="00EE48DE" w:rsidRDefault="0069044C" w:rsidP="00475F6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3-month non-responder BASFI change: </w:t>
            </w:r>
            <w:r w:rsidR="00B3129B" w:rsidRPr="00EE48DE">
              <w:rPr>
                <w:rFonts w:ascii="Tahoma" w:hAnsi="Tahoma" w:cs="Tahoma"/>
                <w:color w:val="000000"/>
                <w:sz w:val="16"/>
                <w:szCs w:val="16"/>
              </w:rPr>
              <w:t>Conventional care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1427078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-0.401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4CE1925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-0.258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4B72EC2" w14:textId="77777777" w:rsidR="0069044C" w:rsidRPr="00EE48DE" w:rsidRDefault="0069044C" w:rsidP="00475F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-0.629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02896939" w14:textId="77777777" w:rsidR="0069044C" w:rsidRPr="00EE48DE" w:rsidRDefault="0069044C" w:rsidP="00475F68">
            <w:pPr>
              <w:ind w:firstLineChars="100" w:firstLine="1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48DE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</w:p>
        </w:tc>
      </w:tr>
    </w:tbl>
    <w:p w14:paraId="19AA7614" w14:textId="3EFFC5FD" w:rsidR="00B3129B" w:rsidRPr="00EE48DE" w:rsidRDefault="00B3129B" w:rsidP="00E35AA7">
      <w:pPr>
        <w:spacing w:after="200" w:line="240" w:lineRule="auto"/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 xml:space="preserve">AS=Ankylosing spondylitis; BASDAI = Bath Ankylosing Spondylitis Disease Activity Index; BASFI = Bath Ankylosing Spondylitis Functional Index; DNA: </w:t>
      </w:r>
      <w:proofErr w:type="spellStart"/>
      <w:r w:rsidRPr="00EE48DE">
        <w:rPr>
          <w:rFonts w:ascii="Tahoma" w:hAnsi="Tahoma" w:cs="Tahoma"/>
          <w:sz w:val="12"/>
          <w:szCs w:val="12"/>
        </w:rPr>
        <w:t>deoxy</w:t>
      </w:r>
      <w:proofErr w:type="spellEnd"/>
      <w:r w:rsidRPr="00EE48DE">
        <w:rPr>
          <w:rFonts w:ascii="Tahoma" w:hAnsi="Tahoma" w:cs="Tahoma"/>
          <w:sz w:val="12"/>
          <w:szCs w:val="12"/>
        </w:rPr>
        <w:t xml:space="preserve"> ribonucleic acid; GP=general practitioner; IV=intravenous; MSASSS= modified stoke ankylosing spondylitis spinal score</w:t>
      </w:r>
    </w:p>
    <w:p w14:paraId="3D4B6A94" w14:textId="276ED186" w:rsidR="0069044C" w:rsidRPr="00EE48DE" w:rsidRDefault="00B3129B">
      <w:pPr>
        <w:spacing w:after="200" w:line="276" w:lineRule="auto"/>
        <w:rPr>
          <w:rFonts w:ascii="Tahoma" w:eastAsiaTheme="minorHAnsi" w:hAnsi="Tahoma" w:cs="Tahoma"/>
          <w:b/>
          <w:bCs/>
          <w:sz w:val="20"/>
        </w:rPr>
      </w:pPr>
      <w:r w:rsidRPr="00EE48DE">
        <w:rPr>
          <w:rFonts w:ascii="Tahoma" w:hAnsi="Tahoma" w:cs="Tahoma"/>
          <w:color w:val="000000"/>
          <w:sz w:val="18"/>
          <w:szCs w:val="18"/>
        </w:rPr>
        <w:lastRenderedPageBreak/>
        <w:t xml:space="preserve">  </w:t>
      </w:r>
    </w:p>
    <w:p w14:paraId="0B465CE7" w14:textId="349534FD" w:rsidR="00475F68" w:rsidRPr="00EE48DE" w:rsidRDefault="00475F68" w:rsidP="00475F68">
      <w:pPr>
        <w:pStyle w:val="Caption"/>
        <w:keepNext/>
        <w:rPr>
          <w:rFonts w:ascii="Tahoma" w:hAnsi="Tahoma" w:cs="Tahoma"/>
          <w:color w:val="auto"/>
          <w:sz w:val="22"/>
          <w:szCs w:val="22"/>
        </w:rPr>
      </w:pPr>
      <w:r w:rsidRPr="00EE48DE">
        <w:rPr>
          <w:rFonts w:ascii="Tahoma" w:hAnsi="Tahoma" w:cs="Tahoma"/>
          <w:color w:val="auto"/>
          <w:sz w:val="22"/>
          <w:szCs w:val="22"/>
        </w:rPr>
        <w:t xml:space="preserve">Table </w:t>
      </w:r>
      <w:r w:rsidR="00C11662" w:rsidRPr="00EE48DE">
        <w:rPr>
          <w:rFonts w:ascii="Tahoma" w:hAnsi="Tahoma" w:cs="Tahoma"/>
          <w:color w:val="auto"/>
          <w:sz w:val="22"/>
          <w:szCs w:val="22"/>
        </w:rPr>
        <w:t>S</w:t>
      </w:r>
      <w:r w:rsidRPr="00EE48DE">
        <w:rPr>
          <w:rFonts w:ascii="Tahoma" w:hAnsi="Tahoma" w:cs="Tahoma"/>
          <w:color w:val="auto"/>
          <w:sz w:val="22"/>
          <w:szCs w:val="22"/>
        </w:rPr>
        <w:t>1</w:t>
      </w:r>
      <w:r w:rsidR="00185F6D" w:rsidRPr="00EE48DE">
        <w:rPr>
          <w:rFonts w:ascii="Tahoma" w:hAnsi="Tahoma" w:cs="Tahoma"/>
          <w:color w:val="auto"/>
          <w:sz w:val="22"/>
          <w:szCs w:val="22"/>
        </w:rPr>
        <w:t>4</w:t>
      </w:r>
      <w:r w:rsidRPr="00EE48DE">
        <w:rPr>
          <w:rFonts w:ascii="Tahoma" w:hAnsi="Tahoma" w:cs="Tahoma"/>
          <w:color w:val="auto"/>
          <w:sz w:val="22"/>
          <w:szCs w:val="22"/>
        </w:rPr>
        <w:t xml:space="preserve"> List of published studies evaluating cost-effectiveness of biologics in AS</w:t>
      </w:r>
    </w:p>
    <w:tbl>
      <w:tblPr>
        <w:tblStyle w:val="TableGrid"/>
        <w:tblW w:w="4473" w:type="pct"/>
        <w:tblLook w:val="04A0" w:firstRow="1" w:lastRow="0" w:firstColumn="1" w:lastColumn="0" w:noHBand="0" w:noVBand="1"/>
      </w:tblPr>
      <w:tblGrid>
        <w:gridCol w:w="1118"/>
        <w:gridCol w:w="1241"/>
        <w:gridCol w:w="923"/>
        <w:gridCol w:w="1102"/>
        <w:gridCol w:w="1425"/>
        <w:gridCol w:w="2556"/>
      </w:tblGrid>
      <w:tr w:rsidR="006110C5" w:rsidRPr="00EE48DE" w14:paraId="2FABE469" w14:textId="77777777" w:rsidTr="00D51294">
        <w:trPr>
          <w:cantSplit/>
          <w:trHeight w:val="630"/>
          <w:tblHeader/>
        </w:trPr>
        <w:tc>
          <w:tcPr>
            <w:tcW w:w="656" w:type="pct"/>
            <w:shd w:val="clear" w:color="auto" w:fill="D9D9D9" w:themeFill="background1" w:themeFillShade="D9"/>
          </w:tcPr>
          <w:p w14:paraId="3B6AB02F" w14:textId="77777777" w:rsidR="006110C5" w:rsidRPr="00EE48DE" w:rsidRDefault="006110C5" w:rsidP="00475F6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Publication year</w:t>
            </w:r>
          </w:p>
        </w:tc>
        <w:tc>
          <w:tcPr>
            <w:tcW w:w="745" w:type="pct"/>
            <w:shd w:val="clear" w:color="auto" w:fill="D9D9D9" w:themeFill="background1" w:themeFillShade="D9"/>
          </w:tcPr>
          <w:p w14:paraId="06F5C448" w14:textId="77777777" w:rsidR="006110C5" w:rsidRPr="00EE48DE" w:rsidRDefault="006110C5" w:rsidP="00475F6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Population</w:t>
            </w:r>
          </w:p>
        </w:tc>
        <w:tc>
          <w:tcPr>
            <w:tcW w:w="554" w:type="pct"/>
            <w:shd w:val="clear" w:color="auto" w:fill="D9D9D9" w:themeFill="background1" w:themeFillShade="D9"/>
          </w:tcPr>
          <w:p w14:paraId="1D77C364" w14:textId="77777777" w:rsidR="006110C5" w:rsidRPr="00EE48DE" w:rsidRDefault="006110C5" w:rsidP="00475F6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Country of focus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168FA6E0" w14:textId="77777777" w:rsidR="006110C5" w:rsidRPr="00EE48DE" w:rsidRDefault="006110C5" w:rsidP="00475F6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Model type</w:t>
            </w:r>
          </w:p>
        </w:tc>
        <w:tc>
          <w:tcPr>
            <w:tcW w:w="854" w:type="pct"/>
            <w:shd w:val="clear" w:color="auto" w:fill="D9D9D9" w:themeFill="background1" w:themeFillShade="D9"/>
          </w:tcPr>
          <w:p w14:paraId="2001A729" w14:textId="77777777" w:rsidR="006110C5" w:rsidRPr="00EE48DE" w:rsidRDefault="006110C5" w:rsidP="00475F6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Comparators</w:t>
            </w:r>
          </w:p>
        </w:tc>
        <w:tc>
          <w:tcPr>
            <w:tcW w:w="1530" w:type="pct"/>
            <w:shd w:val="clear" w:color="auto" w:fill="D9D9D9" w:themeFill="background1" w:themeFillShade="D9"/>
          </w:tcPr>
          <w:p w14:paraId="7A7683D1" w14:textId="77777777" w:rsidR="006110C5" w:rsidRPr="00EE48DE" w:rsidRDefault="006110C5" w:rsidP="00475F6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48DE">
              <w:rPr>
                <w:rFonts w:ascii="Tahoma" w:hAnsi="Tahoma" w:cs="Tahoma"/>
                <w:b/>
                <w:sz w:val="16"/>
                <w:szCs w:val="16"/>
              </w:rPr>
              <w:t>Key results</w:t>
            </w:r>
          </w:p>
        </w:tc>
      </w:tr>
      <w:tr w:rsidR="006110C5" w:rsidRPr="00EE48DE" w14:paraId="725D712F" w14:textId="77777777" w:rsidTr="00D51294">
        <w:trPr>
          <w:cantSplit/>
          <w:trHeight w:val="512"/>
        </w:trPr>
        <w:tc>
          <w:tcPr>
            <w:tcW w:w="656" w:type="pct"/>
          </w:tcPr>
          <w:p w14:paraId="2036E5AD" w14:textId="1351E249" w:rsidR="006110C5" w:rsidRPr="00EE48DE" w:rsidRDefault="006110C5" w:rsidP="003F4A85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2017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45" w:type="pct"/>
          </w:tcPr>
          <w:p w14:paraId="7515D49E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Active AS unresponsive to conventional treatment</w:t>
            </w:r>
          </w:p>
        </w:tc>
        <w:tc>
          <w:tcPr>
            <w:tcW w:w="554" w:type="pct"/>
          </w:tcPr>
          <w:p w14:paraId="618AA922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Turkey</w:t>
            </w:r>
          </w:p>
        </w:tc>
        <w:tc>
          <w:tcPr>
            <w:tcW w:w="661" w:type="pct"/>
          </w:tcPr>
          <w:p w14:paraId="1F876162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Markov model</w:t>
            </w:r>
          </w:p>
        </w:tc>
        <w:tc>
          <w:tcPr>
            <w:tcW w:w="854" w:type="pct"/>
          </w:tcPr>
          <w:p w14:paraId="27AFB2E3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Secukinumab, certolizumab pegol, etanercept, adalimumab and infliximab</w:t>
            </w:r>
          </w:p>
        </w:tc>
        <w:tc>
          <w:tcPr>
            <w:tcW w:w="1530" w:type="pct"/>
          </w:tcPr>
          <w:p w14:paraId="1A6E707B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 xml:space="preserve">Biologic-naïve: cost for secukinumab € 4,644-9134 lower than others and </w:t>
            </w:r>
          </w:p>
          <w:p w14:paraId="19DDD323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Experienced population: cost for secukinumab € 7,641-15,297 lower than others</w:t>
            </w:r>
          </w:p>
          <w:p w14:paraId="6DF99EE2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Biologic-naïve: 0.20-0.86 QALYs gained with secukinumab treatment</w:t>
            </w:r>
          </w:p>
          <w:p w14:paraId="1C5134A5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Experienced population: 0.26-1.06 QALYs gained with secukinumab</w:t>
            </w:r>
          </w:p>
        </w:tc>
      </w:tr>
      <w:tr w:rsidR="006110C5" w:rsidRPr="00EE48DE" w14:paraId="484E84EE" w14:textId="77777777" w:rsidTr="00D51294">
        <w:trPr>
          <w:cantSplit/>
          <w:trHeight w:val="503"/>
        </w:trPr>
        <w:tc>
          <w:tcPr>
            <w:tcW w:w="656" w:type="pct"/>
          </w:tcPr>
          <w:p w14:paraId="00A9DAAE" w14:textId="14B209B9" w:rsidR="006110C5" w:rsidRPr="00EE48DE" w:rsidRDefault="006110C5" w:rsidP="003F4A85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2017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745" w:type="pct"/>
          </w:tcPr>
          <w:p w14:paraId="0F370068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AS</w:t>
            </w:r>
          </w:p>
        </w:tc>
        <w:tc>
          <w:tcPr>
            <w:tcW w:w="554" w:type="pct"/>
          </w:tcPr>
          <w:p w14:paraId="4C175C4A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Colombia</w:t>
            </w:r>
          </w:p>
        </w:tc>
        <w:tc>
          <w:tcPr>
            <w:tcW w:w="661" w:type="pct"/>
          </w:tcPr>
          <w:p w14:paraId="373C654D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Markov model</w:t>
            </w:r>
          </w:p>
        </w:tc>
        <w:tc>
          <w:tcPr>
            <w:tcW w:w="854" w:type="pct"/>
          </w:tcPr>
          <w:p w14:paraId="23071809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TNF-α inhibitors</w:t>
            </w:r>
          </w:p>
        </w:tc>
        <w:tc>
          <w:tcPr>
            <w:tcW w:w="1530" w:type="pct"/>
          </w:tcPr>
          <w:p w14:paraId="6231DBAC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Incremental QALYs for secukinumab vs.</w:t>
            </w:r>
          </w:p>
          <w:p w14:paraId="2DC53D7C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certolizumab pegol: 0.099</w:t>
            </w:r>
          </w:p>
          <w:p w14:paraId="02D49C63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etanercept: 0.164</w:t>
            </w:r>
          </w:p>
          <w:p w14:paraId="31802961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adalimumab: 0.046</w:t>
            </w:r>
          </w:p>
          <w:p w14:paraId="1CC0368D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Incremental costs for secukinumab vs.</w:t>
            </w:r>
          </w:p>
          <w:p w14:paraId="14F96E35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certolizumab pegol: -$28,472,133</w:t>
            </w:r>
          </w:p>
          <w:p w14:paraId="40059676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etanercept: -$27,696,705</w:t>
            </w:r>
          </w:p>
          <w:p w14:paraId="3169F0FA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adalimumab: -$39,077,037</w:t>
            </w:r>
          </w:p>
        </w:tc>
      </w:tr>
      <w:tr w:rsidR="006110C5" w:rsidRPr="00EE48DE" w14:paraId="6EF0DDF7" w14:textId="77777777" w:rsidTr="00D51294">
        <w:trPr>
          <w:cantSplit/>
          <w:trHeight w:val="503"/>
        </w:trPr>
        <w:tc>
          <w:tcPr>
            <w:tcW w:w="656" w:type="pct"/>
          </w:tcPr>
          <w:p w14:paraId="6938EA55" w14:textId="4D48EC36" w:rsidR="006110C5" w:rsidRPr="00EE48DE" w:rsidRDefault="006110C5" w:rsidP="003F4A85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2017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  <w:lang w:val="es-ES"/>
              </w:rPr>
              <w:t>32</w:t>
            </w:r>
          </w:p>
        </w:tc>
        <w:tc>
          <w:tcPr>
            <w:tcW w:w="745" w:type="pct"/>
          </w:tcPr>
          <w:p w14:paraId="4782A275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Active AS responding inadequately to conventional treatment</w:t>
            </w:r>
          </w:p>
        </w:tc>
        <w:tc>
          <w:tcPr>
            <w:tcW w:w="554" w:type="pct"/>
          </w:tcPr>
          <w:p w14:paraId="799F4BB3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UK</w:t>
            </w:r>
          </w:p>
        </w:tc>
        <w:tc>
          <w:tcPr>
            <w:tcW w:w="661" w:type="pct"/>
          </w:tcPr>
          <w:p w14:paraId="6F281320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Markov model</w:t>
            </w:r>
          </w:p>
        </w:tc>
        <w:tc>
          <w:tcPr>
            <w:tcW w:w="854" w:type="pct"/>
          </w:tcPr>
          <w:p w14:paraId="6F72B1A0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EE48DE">
              <w:rPr>
                <w:rFonts w:ascii="Tahoma" w:hAnsi="Tahoma" w:cs="Tahoma"/>
                <w:sz w:val="16"/>
                <w:szCs w:val="16"/>
                <w:lang w:val="es-ES"/>
              </w:rPr>
              <w:t xml:space="preserve">Secukinumab, etanercept, etanercept biosimilar, </w:t>
            </w:r>
            <w:proofErr w:type="spellStart"/>
            <w:r w:rsidRPr="00EE48DE">
              <w:rPr>
                <w:rFonts w:ascii="Tahoma" w:hAnsi="Tahoma" w:cs="Tahoma"/>
                <w:sz w:val="16"/>
                <w:szCs w:val="16"/>
                <w:lang w:val="es-ES"/>
              </w:rPr>
              <w:t>infliximab</w:t>
            </w:r>
            <w:proofErr w:type="spellEnd"/>
          </w:p>
        </w:tc>
        <w:tc>
          <w:tcPr>
            <w:tcW w:w="1530" w:type="pct"/>
          </w:tcPr>
          <w:p w14:paraId="1E1542D6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ICER for secukinumab vs.</w:t>
            </w:r>
          </w:p>
          <w:p w14:paraId="30B1BB06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etanercept originator: 10,173 per QALY gained</w:t>
            </w:r>
          </w:p>
          <w:p w14:paraId="2D60A042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etanercept biosimilar: 11,417 per QALY gained</w:t>
            </w:r>
          </w:p>
        </w:tc>
      </w:tr>
      <w:tr w:rsidR="006110C5" w:rsidRPr="00EE48DE" w14:paraId="12E7146C" w14:textId="77777777" w:rsidTr="00D51294">
        <w:trPr>
          <w:cantSplit/>
          <w:trHeight w:val="485"/>
        </w:trPr>
        <w:tc>
          <w:tcPr>
            <w:tcW w:w="656" w:type="pct"/>
          </w:tcPr>
          <w:p w14:paraId="3531D6C1" w14:textId="05CACE45" w:rsidR="006110C5" w:rsidRPr="00EE48DE" w:rsidRDefault="006110C5" w:rsidP="003F4A85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2017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33</w:t>
            </w:r>
          </w:p>
        </w:tc>
        <w:tc>
          <w:tcPr>
            <w:tcW w:w="745" w:type="pct"/>
          </w:tcPr>
          <w:p w14:paraId="54087916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Active AS responding inadequately to conventional treatment</w:t>
            </w:r>
          </w:p>
        </w:tc>
        <w:tc>
          <w:tcPr>
            <w:tcW w:w="554" w:type="pct"/>
          </w:tcPr>
          <w:p w14:paraId="641A2C10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UK</w:t>
            </w:r>
          </w:p>
        </w:tc>
        <w:tc>
          <w:tcPr>
            <w:tcW w:w="661" w:type="pct"/>
          </w:tcPr>
          <w:p w14:paraId="5B19514E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Combined decision tree/Markov state-transition model</w:t>
            </w:r>
          </w:p>
        </w:tc>
        <w:tc>
          <w:tcPr>
            <w:tcW w:w="854" w:type="pct"/>
          </w:tcPr>
          <w:p w14:paraId="755101F6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Secukinumab, anti-TNF therapies</w:t>
            </w:r>
          </w:p>
        </w:tc>
        <w:tc>
          <w:tcPr>
            <w:tcW w:w="1530" w:type="pct"/>
          </w:tcPr>
          <w:p w14:paraId="3FC53866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E48DE">
              <w:rPr>
                <w:rFonts w:ascii="Tahoma" w:hAnsi="Tahoma" w:cs="Tahoma"/>
                <w:sz w:val="16"/>
                <w:szCs w:val="16"/>
              </w:rPr>
              <w:t>Biolgic</w:t>
            </w:r>
            <w:proofErr w:type="spellEnd"/>
            <w:r w:rsidRPr="00EE48DE">
              <w:rPr>
                <w:rFonts w:ascii="Tahoma" w:hAnsi="Tahoma" w:cs="Tahoma"/>
                <w:sz w:val="16"/>
                <w:szCs w:val="16"/>
              </w:rPr>
              <w:t>-naïve: Secukinumab dominated adalimumab and infliximab and ICER was less than £20,000 per QALY gained vs. certolizumab pegol and etanercept.</w:t>
            </w:r>
          </w:p>
          <w:p w14:paraId="0C11689D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Biologic experienced: ICER for secukinumab vs. conventional care: £4,817 per QALY gained</w:t>
            </w:r>
          </w:p>
        </w:tc>
      </w:tr>
      <w:tr w:rsidR="006110C5" w:rsidRPr="00EE48DE" w14:paraId="22E86DD4" w14:textId="77777777" w:rsidTr="00D51294">
        <w:trPr>
          <w:cantSplit/>
          <w:trHeight w:val="485"/>
        </w:trPr>
        <w:tc>
          <w:tcPr>
            <w:tcW w:w="656" w:type="pct"/>
          </w:tcPr>
          <w:p w14:paraId="1C8A189A" w14:textId="2C4756AB" w:rsidR="006110C5" w:rsidRPr="00EE48DE" w:rsidRDefault="006110C5" w:rsidP="003F4A85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2017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745" w:type="pct"/>
          </w:tcPr>
          <w:p w14:paraId="78DE809E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AS</w:t>
            </w:r>
          </w:p>
        </w:tc>
        <w:tc>
          <w:tcPr>
            <w:tcW w:w="554" w:type="pct"/>
          </w:tcPr>
          <w:p w14:paraId="0AF921D7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Bulgaria</w:t>
            </w:r>
          </w:p>
        </w:tc>
        <w:tc>
          <w:tcPr>
            <w:tcW w:w="661" w:type="pct"/>
          </w:tcPr>
          <w:p w14:paraId="1293F313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Not reported</w:t>
            </w:r>
          </w:p>
        </w:tc>
        <w:tc>
          <w:tcPr>
            <w:tcW w:w="854" w:type="pct"/>
          </w:tcPr>
          <w:p w14:paraId="50E0DBB2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Secukinumab</w:t>
            </w:r>
          </w:p>
          <w:p w14:paraId="5D59138E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Etanercept</w:t>
            </w:r>
          </w:p>
          <w:p w14:paraId="3D500AE6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Infliximab</w:t>
            </w:r>
          </w:p>
          <w:p w14:paraId="42BEEB00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Adalimumab</w:t>
            </w:r>
          </w:p>
          <w:p w14:paraId="314A49D9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Golimumab</w:t>
            </w:r>
          </w:p>
          <w:p w14:paraId="09FFE46D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Certolizumab Pegol</w:t>
            </w:r>
          </w:p>
        </w:tc>
        <w:tc>
          <w:tcPr>
            <w:tcW w:w="1530" w:type="pct"/>
          </w:tcPr>
          <w:p w14:paraId="38EACDDD" w14:textId="0C44CB50" w:rsidR="006110C5" w:rsidRPr="00EE48DE" w:rsidRDefault="006110C5" w:rsidP="00BD5A9B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 xml:space="preserve">Secukinumab dominated </w:t>
            </w:r>
            <w:r w:rsidR="00BD5A9B" w:rsidRPr="00EE48DE">
              <w:rPr>
                <w:rFonts w:ascii="Tahoma" w:hAnsi="Tahoma" w:cs="Tahoma"/>
                <w:sz w:val="16"/>
                <w:szCs w:val="16"/>
              </w:rPr>
              <w:t xml:space="preserve">certolizumab pegol, etanercept, adalimumab, golimumab </w:t>
            </w:r>
            <w:r w:rsidRPr="00EE48DE">
              <w:rPr>
                <w:rFonts w:ascii="Tahoma" w:hAnsi="Tahoma" w:cs="Tahoma"/>
                <w:sz w:val="16"/>
                <w:szCs w:val="16"/>
              </w:rPr>
              <w:t xml:space="preserve"> and was cost-effective in comparison to infliximab considering WTP threshold of three times GDP per capita in Bulgaria (ICER: 27 552 BGN/QALY)</w:t>
            </w:r>
          </w:p>
        </w:tc>
      </w:tr>
      <w:tr w:rsidR="006110C5" w:rsidRPr="00EE48DE" w14:paraId="52941C3E" w14:textId="77777777" w:rsidTr="00D51294">
        <w:trPr>
          <w:cantSplit/>
          <w:trHeight w:val="485"/>
        </w:trPr>
        <w:tc>
          <w:tcPr>
            <w:tcW w:w="656" w:type="pct"/>
          </w:tcPr>
          <w:p w14:paraId="05426B37" w14:textId="563EF975" w:rsidR="006110C5" w:rsidRPr="00EE48DE" w:rsidRDefault="006110C5" w:rsidP="003F4A85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lastRenderedPageBreak/>
              <w:t>2016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745" w:type="pct"/>
          </w:tcPr>
          <w:p w14:paraId="6017D673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AS</w:t>
            </w:r>
          </w:p>
        </w:tc>
        <w:tc>
          <w:tcPr>
            <w:tcW w:w="554" w:type="pct"/>
          </w:tcPr>
          <w:p w14:paraId="0D8ADFD5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Russia</w:t>
            </w:r>
          </w:p>
        </w:tc>
        <w:tc>
          <w:tcPr>
            <w:tcW w:w="661" w:type="pct"/>
          </w:tcPr>
          <w:p w14:paraId="23B9B0FE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Not reported</w:t>
            </w:r>
          </w:p>
        </w:tc>
        <w:tc>
          <w:tcPr>
            <w:tcW w:w="854" w:type="pct"/>
          </w:tcPr>
          <w:p w14:paraId="25C7C61C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Adalimumab</w:t>
            </w:r>
          </w:p>
          <w:p w14:paraId="7C07DEBC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Certolizumab Pegol</w:t>
            </w:r>
          </w:p>
          <w:p w14:paraId="54F8C5D6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Etanercept</w:t>
            </w:r>
          </w:p>
          <w:p w14:paraId="66CA802D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Golimumab</w:t>
            </w:r>
          </w:p>
          <w:p w14:paraId="01A42B99" w14:textId="77777777" w:rsidR="006110C5" w:rsidRPr="00EE48DE" w:rsidRDefault="006110C5" w:rsidP="00475F68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>Infliximab</w:t>
            </w:r>
          </w:p>
        </w:tc>
        <w:tc>
          <w:tcPr>
            <w:tcW w:w="1530" w:type="pct"/>
          </w:tcPr>
          <w:p w14:paraId="1229399E" w14:textId="64841C01" w:rsidR="006110C5" w:rsidRPr="00EE48DE" w:rsidRDefault="006110C5" w:rsidP="003F4A85">
            <w:pPr>
              <w:rPr>
                <w:rFonts w:ascii="Tahoma" w:hAnsi="Tahoma" w:cs="Tahoma"/>
                <w:sz w:val="16"/>
                <w:szCs w:val="16"/>
              </w:rPr>
            </w:pPr>
            <w:r w:rsidRPr="00EE48DE">
              <w:rPr>
                <w:rFonts w:ascii="Tahoma" w:hAnsi="Tahoma" w:cs="Tahoma"/>
                <w:sz w:val="16"/>
                <w:szCs w:val="16"/>
              </w:rPr>
              <w:t xml:space="preserve">Secukinumab had the lowest ICER </w:t>
            </w:r>
            <w:r w:rsidR="003F4A85" w:rsidRPr="00EE48DE">
              <w:rPr>
                <w:rFonts w:ascii="Tahoma" w:hAnsi="Tahoma" w:cs="Tahoma"/>
                <w:noProof/>
                <w:sz w:val="16"/>
                <w:szCs w:val="16"/>
                <w:vertAlign w:val="superscript"/>
              </w:rPr>
              <w:t>35</w:t>
            </w:r>
            <w:r w:rsidRPr="00EE48DE" w:rsidDel="00AB5B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E48DE">
              <w:rPr>
                <w:rFonts w:ascii="Tahoma" w:hAnsi="Tahoma" w:cs="Tahoma"/>
                <w:sz w:val="16"/>
                <w:szCs w:val="16"/>
              </w:rPr>
              <w:t xml:space="preserve"> in comparison to all other biologics</w:t>
            </w:r>
          </w:p>
        </w:tc>
      </w:tr>
    </w:tbl>
    <w:p w14:paraId="047EFE1B" w14:textId="6D68465F" w:rsidR="00475F68" w:rsidRPr="00EE48DE" w:rsidRDefault="00BD5A9B" w:rsidP="00D86B66">
      <w:pPr>
        <w:spacing w:line="240" w:lineRule="auto"/>
        <w:jc w:val="both"/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>AS=ankylosing spondylitis; BGN=</w:t>
      </w:r>
      <w:r w:rsidR="00E35AA7" w:rsidRPr="00EE48DE">
        <w:rPr>
          <w:rFonts w:ascii="Tahoma" w:hAnsi="Tahoma" w:cs="Tahoma"/>
          <w:sz w:val="12"/>
          <w:szCs w:val="12"/>
        </w:rPr>
        <w:t>Bulgarian</w:t>
      </w:r>
      <w:r w:rsidRPr="00EE48DE">
        <w:rPr>
          <w:rFonts w:ascii="Tahoma" w:hAnsi="Tahoma" w:cs="Tahoma"/>
          <w:sz w:val="12"/>
          <w:szCs w:val="12"/>
        </w:rPr>
        <w:t xml:space="preserve"> lev; GDP=gross domestic product;</w:t>
      </w:r>
      <w:r w:rsidR="00E35AA7" w:rsidRPr="00EE48DE">
        <w:rPr>
          <w:rFonts w:ascii="Tahoma" w:hAnsi="Tahoma" w:cs="Tahoma"/>
          <w:sz w:val="12"/>
          <w:szCs w:val="12"/>
        </w:rPr>
        <w:t xml:space="preserve"> </w:t>
      </w:r>
      <w:r w:rsidRPr="00EE48DE">
        <w:rPr>
          <w:rFonts w:ascii="Tahoma" w:hAnsi="Tahoma" w:cs="Tahoma"/>
          <w:sz w:val="12"/>
          <w:szCs w:val="12"/>
        </w:rPr>
        <w:t>ICER=incremental cost effectiveness ratio; QALY= quality adjusted life years; TNF=tumor necrosis factor; UK=</w:t>
      </w:r>
      <w:r w:rsidR="00E35AA7" w:rsidRPr="00EE48DE">
        <w:rPr>
          <w:rFonts w:ascii="Tahoma" w:hAnsi="Tahoma" w:cs="Tahoma"/>
          <w:sz w:val="12"/>
          <w:szCs w:val="12"/>
        </w:rPr>
        <w:t>United Kingdom</w:t>
      </w:r>
      <w:r w:rsidRPr="00EE48DE">
        <w:rPr>
          <w:rFonts w:ascii="Tahoma" w:hAnsi="Tahoma" w:cs="Tahoma"/>
          <w:sz w:val="12"/>
          <w:szCs w:val="12"/>
        </w:rPr>
        <w:t xml:space="preserve">; WTP=willingness to pay </w:t>
      </w:r>
    </w:p>
    <w:p w14:paraId="6B61BFB1" w14:textId="77777777" w:rsidR="00C11662" w:rsidRPr="00EE48DE" w:rsidRDefault="00C11662" w:rsidP="004B3445">
      <w:pPr>
        <w:rPr>
          <w:rFonts w:ascii="Tahoma" w:eastAsiaTheme="minorHAnsi" w:hAnsi="Tahoma" w:cs="Tahoma"/>
          <w:b/>
          <w:bCs/>
          <w:szCs w:val="24"/>
        </w:rPr>
      </w:pPr>
    </w:p>
    <w:p w14:paraId="5CFF3E99" w14:textId="109617CC" w:rsidR="00E35AA7" w:rsidRPr="00EE48DE" w:rsidRDefault="00392302" w:rsidP="004B3445">
      <w:pPr>
        <w:rPr>
          <w:rFonts w:ascii="Tahoma" w:eastAsiaTheme="minorHAnsi" w:hAnsi="Tahoma" w:cs="Tahoma"/>
          <w:b/>
          <w:bCs/>
          <w:sz w:val="22"/>
          <w:szCs w:val="22"/>
        </w:rPr>
      </w:pPr>
      <w:r w:rsidRPr="00EE48DE">
        <w:rPr>
          <w:rFonts w:ascii="Tahoma" w:eastAsiaTheme="minorHAnsi" w:hAnsi="Tahoma" w:cs="Tahoma"/>
          <w:b/>
          <w:bCs/>
          <w:sz w:val="22"/>
          <w:szCs w:val="22"/>
        </w:rPr>
        <w:t>Figure S1 One-way sensitivity analysis among biologic naïve population</w:t>
      </w:r>
    </w:p>
    <w:p w14:paraId="49ED2EAB" w14:textId="47115EE1" w:rsidR="004B3445" w:rsidRPr="00EE48DE" w:rsidRDefault="004B3445" w:rsidP="004B3445">
      <w:pPr>
        <w:rPr>
          <w:rFonts w:ascii="Tahoma" w:hAnsi="Tahoma" w:cs="Tahoma"/>
          <w:b/>
          <w:sz w:val="22"/>
          <w:szCs w:val="22"/>
        </w:rPr>
      </w:pPr>
      <w:r w:rsidRPr="00EE48DE">
        <w:rPr>
          <w:rFonts w:ascii="Tahoma" w:hAnsi="Tahoma" w:cs="Tahoma"/>
          <w:b/>
          <w:sz w:val="22"/>
          <w:szCs w:val="22"/>
        </w:rPr>
        <w:t>SEC vs CER P</w:t>
      </w:r>
    </w:p>
    <w:p w14:paraId="2B2428EB" w14:textId="77777777" w:rsidR="004B3445" w:rsidRPr="00EE48DE" w:rsidRDefault="004B3445" w:rsidP="004B3445">
      <w:pPr>
        <w:rPr>
          <w:rFonts w:ascii="Tahoma" w:hAnsi="Tahoma" w:cs="Tahoma"/>
          <w:b/>
          <w:lang w:val="fr-FR"/>
        </w:rPr>
      </w:pPr>
      <w:r w:rsidRPr="00EE48DE">
        <w:rPr>
          <w:rFonts w:ascii="Tahoma" w:hAnsi="Tahoma" w:cs="Tahoma"/>
          <w:b/>
          <w:noProof/>
        </w:rPr>
        <w:drawing>
          <wp:inline distT="0" distB="0" distL="0" distR="0" wp14:anchorId="5ABC728A" wp14:editId="0A8308C2">
            <wp:extent cx="5943600" cy="249253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8E33" w14:textId="77777777" w:rsidR="004B3445" w:rsidRPr="00EE48DE" w:rsidRDefault="004B3445" w:rsidP="004B3445">
      <w:pPr>
        <w:rPr>
          <w:rFonts w:ascii="Tahoma" w:hAnsi="Tahoma" w:cs="Tahoma"/>
          <w:b/>
          <w:sz w:val="22"/>
          <w:szCs w:val="22"/>
          <w:lang w:val="fr-FR"/>
        </w:rPr>
      </w:pPr>
      <w:r w:rsidRPr="00EE48DE">
        <w:rPr>
          <w:rFonts w:ascii="Tahoma" w:hAnsi="Tahoma" w:cs="Tahoma"/>
          <w:b/>
          <w:sz w:val="22"/>
          <w:szCs w:val="22"/>
          <w:lang w:val="fr-FR"/>
        </w:rPr>
        <w:t xml:space="preserve">SEC vs ETN </w:t>
      </w:r>
      <w:proofErr w:type="spellStart"/>
      <w:r w:rsidRPr="00EE48DE">
        <w:rPr>
          <w:rFonts w:ascii="Tahoma" w:hAnsi="Tahoma" w:cs="Tahoma"/>
          <w:b/>
          <w:sz w:val="22"/>
          <w:szCs w:val="22"/>
          <w:lang w:val="fr-FR"/>
        </w:rPr>
        <w:t>branded</w:t>
      </w:r>
      <w:proofErr w:type="spellEnd"/>
    </w:p>
    <w:p w14:paraId="0555F14E" w14:textId="77777777" w:rsidR="004B3445" w:rsidRPr="00EE48DE" w:rsidRDefault="004B3445" w:rsidP="004B3445">
      <w:pPr>
        <w:rPr>
          <w:rFonts w:ascii="Tahoma" w:hAnsi="Tahoma" w:cs="Tahoma"/>
          <w:b/>
          <w:sz w:val="18"/>
        </w:rPr>
      </w:pPr>
      <w:r w:rsidRPr="00EE48DE">
        <w:rPr>
          <w:rFonts w:ascii="Tahoma" w:hAnsi="Tahoma" w:cs="Tahoma"/>
          <w:b/>
          <w:noProof/>
          <w:sz w:val="18"/>
        </w:rPr>
        <w:drawing>
          <wp:inline distT="0" distB="0" distL="0" distR="0" wp14:anchorId="5FF39ED1" wp14:editId="20209570">
            <wp:extent cx="5943600" cy="249253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8E5D" w14:textId="77777777" w:rsidR="004B3445" w:rsidRPr="00EE48DE" w:rsidRDefault="004B3445" w:rsidP="004B3445">
      <w:pPr>
        <w:rPr>
          <w:rFonts w:ascii="Tahoma" w:hAnsi="Tahoma" w:cs="Tahoma"/>
          <w:b/>
          <w:sz w:val="18"/>
        </w:rPr>
      </w:pPr>
    </w:p>
    <w:p w14:paraId="34DA64CC" w14:textId="77777777" w:rsidR="004B3445" w:rsidRPr="00EE48DE" w:rsidRDefault="004B3445" w:rsidP="004B3445">
      <w:pPr>
        <w:rPr>
          <w:rFonts w:ascii="Tahoma" w:hAnsi="Tahoma" w:cs="Tahoma"/>
          <w:b/>
          <w:sz w:val="18"/>
        </w:rPr>
      </w:pPr>
    </w:p>
    <w:p w14:paraId="3959A5E0" w14:textId="77777777" w:rsidR="004B3445" w:rsidRPr="00EE48DE" w:rsidRDefault="004B3445" w:rsidP="004B3445">
      <w:pPr>
        <w:rPr>
          <w:rFonts w:ascii="Tahoma" w:hAnsi="Tahoma" w:cs="Tahoma"/>
          <w:b/>
          <w:sz w:val="18"/>
        </w:rPr>
      </w:pPr>
    </w:p>
    <w:p w14:paraId="3F3D4BF4" w14:textId="77777777" w:rsidR="004B3445" w:rsidRPr="00EE48DE" w:rsidRDefault="004B3445" w:rsidP="004B3445">
      <w:pPr>
        <w:rPr>
          <w:rFonts w:ascii="Tahoma" w:hAnsi="Tahoma" w:cs="Tahoma"/>
          <w:b/>
          <w:sz w:val="18"/>
        </w:rPr>
      </w:pPr>
    </w:p>
    <w:p w14:paraId="2D97B7B8" w14:textId="77777777" w:rsidR="004B3445" w:rsidRPr="00EE48DE" w:rsidRDefault="004B3445" w:rsidP="004B3445">
      <w:pPr>
        <w:rPr>
          <w:rFonts w:ascii="Tahoma" w:hAnsi="Tahoma" w:cs="Tahoma"/>
          <w:b/>
          <w:sz w:val="18"/>
        </w:rPr>
      </w:pPr>
    </w:p>
    <w:p w14:paraId="306FCCC9" w14:textId="77777777" w:rsidR="004B3445" w:rsidRPr="00EE48DE" w:rsidRDefault="004B3445" w:rsidP="004B3445">
      <w:pPr>
        <w:rPr>
          <w:rFonts w:ascii="Tahoma" w:hAnsi="Tahoma" w:cs="Tahoma"/>
          <w:b/>
          <w:sz w:val="18"/>
        </w:rPr>
      </w:pPr>
    </w:p>
    <w:p w14:paraId="4D16E858" w14:textId="1DE5FDAF" w:rsidR="004B3445" w:rsidRPr="00EE48DE" w:rsidRDefault="004B3445" w:rsidP="004B3445">
      <w:pPr>
        <w:rPr>
          <w:rFonts w:ascii="Tahoma" w:hAnsi="Tahoma" w:cs="Tahoma"/>
          <w:b/>
          <w:noProof/>
          <w:sz w:val="22"/>
          <w:szCs w:val="22"/>
        </w:rPr>
      </w:pPr>
      <w:r w:rsidRPr="00EE48DE">
        <w:rPr>
          <w:rFonts w:ascii="Tahoma" w:hAnsi="Tahoma" w:cs="Tahoma"/>
          <w:b/>
          <w:sz w:val="22"/>
          <w:szCs w:val="22"/>
        </w:rPr>
        <w:lastRenderedPageBreak/>
        <w:t>SEC vs ETN B</w:t>
      </w:r>
      <w:r w:rsidR="00465274" w:rsidRPr="00EE48DE">
        <w:rPr>
          <w:rFonts w:ascii="Tahoma" w:hAnsi="Tahoma" w:cs="Tahoma"/>
          <w:b/>
          <w:sz w:val="22"/>
          <w:szCs w:val="22"/>
        </w:rPr>
        <w:t>S</w:t>
      </w:r>
    </w:p>
    <w:p w14:paraId="02DC5BDA" w14:textId="77777777" w:rsidR="004B3445" w:rsidRPr="00EE48DE" w:rsidRDefault="004B3445" w:rsidP="004B3445">
      <w:pPr>
        <w:rPr>
          <w:rFonts w:ascii="Tahoma" w:hAnsi="Tahoma" w:cs="Tahoma"/>
          <w:b/>
          <w:sz w:val="22"/>
          <w:szCs w:val="22"/>
        </w:rPr>
      </w:pPr>
      <w:r w:rsidRPr="00EE48DE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1D11B78A" wp14:editId="4BBAF868">
            <wp:extent cx="5943600" cy="24792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F78B" w14:textId="0A071CFA" w:rsidR="004B3445" w:rsidRPr="00EE48DE" w:rsidRDefault="004B3445" w:rsidP="00392302">
      <w:pPr>
        <w:spacing w:line="48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</w:p>
    <w:p w14:paraId="4B7AC453" w14:textId="77777777" w:rsidR="004B3445" w:rsidRPr="00EE48DE" w:rsidRDefault="004B3445" w:rsidP="004B3445">
      <w:pPr>
        <w:rPr>
          <w:rFonts w:ascii="Tahoma" w:hAnsi="Tahoma" w:cs="Tahoma"/>
          <w:b/>
          <w:sz w:val="22"/>
          <w:szCs w:val="22"/>
        </w:rPr>
      </w:pPr>
      <w:r w:rsidRPr="00EE48DE">
        <w:rPr>
          <w:rFonts w:ascii="Tahoma" w:hAnsi="Tahoma" w:cs="Tahoma"/>
          <w:b/>
          <w:sz w:val="22"/>
          <w:szCs w:val="22"/>
        </w:rPr>
        <w:t>SEC vs ADA</w:t>
      </w:r>
    </w:p>
    <w:p w14:paraId="3FCA7D9E" w14:textId="77777777" w:rsidR="004B3445" w:rsidRPr="00EE48DE" w:rsidRDefault="004B3445" w:rsidP="004B3445">
      <w:pPr>
        <w:rPr>
          <w:rFonts w:ascii="Tahoma" w:hAnsi="Tahoma" w:cs="Tahoma"/>
          <w:b/>
        </w:rPr>
      </w:pPr>
      <w:r w:rsidRPr="00EE48DE">
        <w:rPr>
          <w:rFonts w:ascii="Tahoma" w:hAnsi="Tahoma" w:cs="Tahoma"/>
          <w:b/>
          <w:noProof/>
        </w:rPr>
        <w:drawing>
          <wp:inline distT="0" distB="0" distL="0" distR="0" wp14:anchorId="69E4DACC" wp14:editId="0BAAC3CA">
            <wp:extent cx="5943600" cy="249253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582A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06D72DE2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0807FCCA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35798203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117D8283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170491C4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2558CC32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5A9E5249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06C7963C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31DB3BDD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42944C60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4E42D677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752A7A07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799866D6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66AE092A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3DA27FFA" w14:textId="77777777" w:rsidR="00FC5983" w:rsidRPr="00EE48DE" w:rsidRDefault="00FC5983" w:rsidP="004B3445">
      <w:pPr>
        <w:rPr>
          <w:rFonts w:ascii="Tahoma" w:hAnsi="Tahoma" w:cs="Tahoma"/>
          <w:b/>
          <w:sz w:val="18"/>
        </w:rPr>
      </w:pPr>
    </w:p>
    <w:p w14:paraId="5641EB97" w14:textId="008AF492" w:rsidR="004B3445" w:rsidRPr="00EE48DE" w:rsidRDefault="004B3445" w:rsidP="004B3445">
      <w:pPr>
        <w:rPr>
          <w:rFonts w:ascii="Tahoma" w:hAnsi="Tahoma" w:cs="Tahoma"/>
          <w:b/>
          <w:sz w:val="22"/>
          <w:szCs w:val="22"/>
        </w:rPr>
      </w:pPr>
      <w:r w:rsidRPr="00EE48DE">
        <w:rPr>
          <w:rFonts w:ascii="Tahoma" w:hAnsi="Tahoma" w:cs="Tahoma"/>
          <w:b/>
          <w:sz w:val="22"/>
          <w:szCs w:val="22"/>
        </w:rPr>
        <w:lastRenderedPageBreak/>
        <w:t xml:space="preserve">SEC vs INF </w:t>
      </w:r>
    </w:p>
    <w:p w14:paraId="39F7EDDA" w14:textId="77777777" w:rsidR="004B3445" w:rsidRPr="00EE48DE" w:rsidRDefault="004B3445" w:rsidP="004B3445">
      <w:pPr>
        <w:rPr>
          <w:rFonts w:ascii="Tahoma" w:hAnsi="Tahoma" w:cs="Tahoma"/>
          <w:b/>
          <w:sz w:val="22"/>
          <w:szCs w:val="22"/>
        </w:rPr>
      </w:pPr>
      <w:r w:rsidRPr="00EE48DE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3125E3A4" wp14:editId="159ADA74">
            <wp:extent cx="5943600" cy="249253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908B" w14:textId="77777777" w:rsidR="004B3445" w:rsidRPr="00EE48DE" w:rsidRDefault="004B3445" w:rsidP="004B3445">
      <w:pPr>
        <w:rPr>
          <w:rFonts w:ascii="Tahoma" w:hAnsi="Tahoma" w:cs="Tahoma"/>
          <w:b/>
          <w:sz w:val="22"/>
          <w:szCs w:val="22"/>
        </w:rPr>
      </w:pPr>
    </w:p>
    <w:p w14:paraId="1AF22839" w14:textId="77777777" w:rsidR="004B3445" w:rsidRPr="00EE48DE" w:rsidRDefault="004B3445" w:rsidP="004B3445">
      <w:pPr>
        <w:rPr>
          <w:rFonts w:ascii="Tahoma" w:hAnsi="Tahoma" w:cs="Tahoma"/>
          <w:b/>
          <w:sz w:val="22"/>
          <w:szCs w:val="22"/>
        </w:rPr>
      </w:pPr>
      <w:r w:rsidRPr="00EE48DE">
        <w:rPr>
          <w:rFonts w:ascii="Tahoma" w:hAnsi="Tahoma" w:cs="Tahoma"/>
          <w:b/>
          <w:sz w:val="22"/>
          <w:szCs w:val="22"/>
        </w:rPr>
        <w:t>SEC vs INF BS</w:t>
      </w:r>
    </w:p>
    <w:p w14:paraId="56FDD2C5" w14:textId="77777777" w:rsidR="004B3445" w:rsidRPr="00EE48DE" w:rsidRDefault="004B3445" w:rsidP="004B3445">
      <w:pPr>
        <w:rPr>
          <w:rFonts w:ascii="Tahoma" w:hAnsi="Tahoma" w:cs="Tahoma"/>
          <w:b/>
          <w:sz w:val="22"/>
          <w:szCs w:val="22"/>
        </w:rPr>
      </w:pPr>
      <w:r w:rsidRPr="00EE48DE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70BB5FBE" wp14:editId="5F54E06D">
            <wp:extent cx="5943600" cy="2492532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BB504" w14:textId="77777777" w:rsidR="004B3445" w:rsidRPr="00EE48DE" w:rsidRDefault="004B3445" w:rsidP="004B3445">
      <w:pPr>
        <w:rPr>
          <w:rFonts w:ascii="Tahoma" w:hAnsi="Tahoma" w:cs="Tahoma"/>
          <w:b/>
          <w:sz w:val="22"/>
          <w:szCs w:val="22"/>
        </w:rPr>
      </w:pPr>
    </w:p>
    <w:p w14:paraId="1E146CFE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10A61794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4EE3514C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01B2A3DC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3D44DAD5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158BE1CB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3261ED02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71CE2B68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0D643224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57E43E35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6A335AC2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4F2DA6B5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25614C9D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20C4FB3A" w14:textId="77777777" w:rsidR="00FC5983" w:rsidRPr="00EE48DE" w:rsidRDefault="00FC5983" w:rsidP="004B3445">
      <w:pPr>
        <w:rPr>
          <w:rFonts w:ascii="Tahoma" w:hAnsi="Tahoma" w:cs="Tahoma"/>
          <w:b/>
          <w:sz w:val="22"/>
          <w:szCs w:val="22"/>
        </w:rPr>
      </w:pPr>
    </w:p>
    <w:p w14:paraId="24AC5869" w14:textId="77777777" w:rsidR="004B3445" w:rsidRPr="00EE48DE" w:rsidRDefault="004B3445" w:rsidP="004B3445">
      <w:pPr>
        <w:rPr>
          <w:rFonts w:ascii="Tahoma" w:hAnsi="Tahoma" w:cs="Tahoma"/>
          <w:b/>
          <w:sz w:val="22"/>
          <w:szCs w:val="22"/>
        </w:rPr>
      </w:pPr>
      <w:r w:rsidRPr="00EE48DE">
        <w:rPr>
          <w:rFonts w:ascii="Tahoma" w:hAnsi="Tahoma" w:cs="Tahoma"/>
          <w:b/>
          <w:sz w:val="22"/>
          <w:szCs w:val="22"/>
        </w:rPr>
        <w:lastRenderedPageBreak/>
        <w:t>SEC vs GOL</w:t>
      </w:r>
    </w:p>
    <w:p w14:paraId="02C87496" w14:textId="77777777" w:rsidR="004B3445" w:rsidRPr="00EE48DE" w:rsidRDefault="004B3445" w:rsidP="004B3445">
      <w:pPr>
        <w:rPr>
          <w:rFonts w:ascii="Tahoma" w:hAnsi="Tahoma" w:cs="Tahoma"/>
          <w:b/>
          <w:sz w:val="18"/>
        </w:rPr>
      </w:pPr>
      <w:r w:rsidRPr="00EE48DE">
        <w:rPr>
          <w:rFonts w:ascii="Tahoma" w:hAnsi="Tahoma" w:cs="Tahoma"/>
          <w:b/>
          <w:noProof/>
          <w:sz w:val="18"/>
        </w:rPr>
        <w:drawing>
          <wp:inline distT="0" distB="0" distL="0" distR="0" wp14:anchorId="56329EB9" wp14:editId="6EFFF2F9">
            <wp:extent cx="5943600" cy="249253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5CA3" w14:textId="6ED96ECE" w:rsidR="00392302" w:rsidRPr="00EE48DE" w:rsidRDefault="00392302" w:rsidP="00392302">
      <w:pPr>
        <w:spacing w:line="240" w:lineRule="auto"/>
        <w:jc w:val="both"/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>ADA = adalimumab; CER P = certolizumab pegol; ETN = etanercept; ETN BS = etanercept biosimilar; GOL = golimumab; INF = infliximab; INF BS = infliximab biosimilar; SEC = secukinumab</w:t>
      </w:r>
    </w:p>
    <w:p w14:paraId="391D36B9" w14:textId="30C92F79" w:rsidR="00FC5983" w:rsidRPr="00EE48DE" w:rsidRDefault="00FC5983" w:rsidP="00392302">
      <w:pPr>
        <w:spacing w:line="240" w:lineRule="auto"/>
        <w:jc w:val="both"/>
        <w:rPr>
          <w:rFonts w:ascii="Tahoma" w:hAnsi="Tahoma" w:cs="Tahoma"/>
          <w:sz w:val="12"/>
          <w:szCs w:val="12"/>
        </w:rPr>
      </w:pPr>
      <w:r w:rsidRPr="00EE48DE">
        <w:rPr>
          <w:rFonts w:ascii="Tahoma" w:hAnsi="Tahoma" w:cs="Tahoma"/>
          <w:sz w:val="12"/>
          <w:szCs w:val="12"/>
        </w:rPr>
        <w:t>BASDAI = Bath Ankylosing Spondylitis Disease Activity Index; BASFI = Bath Ankylosing Spondylitis Functional Index;</w:t>
      </w:r>
    </w:p>
    <w:p w14:paraId="254FBD05" w14:textId="77777777" w:rsidR="00392302" w:rsidRPr="00EE48DE" w:rsidRDefault="00392302" w:rsidP="00392302">
      <w:pPr>
        <w:spacing w:line="240" w:lineRule="auto"/>
        <w:jc w:val="both"/>
        <w:rPr>
          <w:rFonts w:ascii="Tahoma" w:hAnsi="Tahoma" w:cs="Tahoma"/>
          <w:sz w:val="20"/>
        </w:rPr>
      </w:pPr>
    </w:p>
    <w:p w14:paraId="7F13408E" w14:textId="77777777" w:rsidR="00392302" w:rsidRPr="00EE48DE" w:rsidRDefault="00392302" w:rsidP="00392302">
      <w:pPr>
        <w:spacing w:line="240" w:lineRule="auto"/>
        <w:jc w:val="both"/>
        <w:rPr>
          <w:rFonts w:ascii="Tahoma" w:hAnsi="Tahoma" w:cs="Tahoma"/>
          <w:sz w:val="20"/>
        </w:rPr>
      </w:pPr>
    </w:p>
    <w:p w14:paraId="48213910" w14:textId="77777777" w:rsidR="000D239F" w:rsidRPr="00EE48DE" w:rsidRDefault="000D239F">
      <w:pPr>
        <w:spacing w:after="200" w:line="276" w:lineRule="auto"/>
        <w:rPr>
          <w:rFonts w:ascii="Tahoma" w:eastAsia="MS ??" w:hAnsi="Tahoma" w:cs="Tahoma"/>
          <w:b/>
          <w:sz w:val="22"/>
          <w:szCs w:val="22"/>
        </w:rPr>
      </w:pPr>
      <w:r w:rsidRPr="00EE48DE">
        <w:rPr>
          <w:rFonts w:ascii="Tahoma" w:eastAsia="MS ??" w:hAnsi="Tahoma" w:cs="Tahoma"/>
          <w:bCs/>
          <w:sz w:val="22"/>
          <w:szCs w:val="22"/>
        </w:rPr>
        <w:br w:type="page"/>
      </w:r>
    </w:p>
    <w:p w14:paraId="3491CC1E" w14:textId="396A8FF3" w:rsidR="00857A5D" w:rsidRPr="00EE48DE" w:rsidRDefault="00857A5D" w:rsidP="00857A5D">
      <w:pPr>
        <w:pStyle w:val="Heading1"/>
        <w:rPr>
          <w:rFonts w:ascii="Tahoma" w:eastAsia="MS ??" w:hAnsi="Tahoma" w:cs="Tahoma"/>
          <w:bCs w:val="0"/>
          <w:color w:val="auto"/>
          <w:sz w:val="22"/>
          <w:szCs w:val="22"/>
        </w:rPr>
      </w:pPr>
      <w:r w:rsidRPr="00EE48DE">
        <w:rPr>
          <w:rFonts w:ascii="Tahoma" w:eastAsia="MS ??" w:hAnsi="Tahoma" w:cs="Tahoma"/>
          <w:bCs w:val="0"/>
          <w:color w:val="auto"/>
          <w:sz w:val="22"/>
          <w:szCs w:val="22"/>
        </w:rPr>
        <w:lastRenderedPageBreak/>
        <w:t>References</w:t>
      </w:r>
    </w:p>
    <w:p w14:paraId="272EBE2F" w14:textId="77777777" w:rsidR="00857A5D" w:rsidRPr="00EE48DE" w:rsidRDefault="00857A5D" w:rsidP="00857A5D">
      <w:pPr>
        <w:rPr>
          <w:rFonts w:ascii="Tahoma" w:hAnsi="Tahoma" w:cs="Tahoma"/>
          <w:szCs w:val="24"/>
        </w:rPr>
      </w:pPr>
    </w:p>
    <w:p w14:paraId="29EC13C7" w14:textId="7077EF18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</w:rPr>
        <w:t>1.</w:t>
      </w:r>
      <w:r w:rsidRPr="00EE48DE">
        <w:rPr>
          <w:rFonts w:ascii="Tahoma" w:hAnsi="Tahoma" w:cs="Tahoma"/>
        </w:rPr>
        <w:tab/>
      </w:r>
      <w:r w:rsidRPr="00EE48DE">
        <w:rPr>
          <w:rFonts w:ascii="Tahoma" w:hAnsi="Tahoma" w:cs="Tahoma"/>
          <w:sz w:val="22"/>
        </w:rPr>
        <w:t>Health Canada. PRODUCT MONOGRAPH COSENTYX® 2017 [cited 16th April 2018]. Available from: https://pdf.hres.ca/dpd_pm/00040683.PDF.</w:t>
      </w:r>
    </w:p>
    <w:p w14:paraId="6C04692D" w14:textId="487D34F1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2.</w:t>
      </w:r>
      <w:r w:rsidRPr="00EE48DE">
        <w:rPr>
          <w:rFonts w:ascii="Tahoma" w:hAnsi="Tahoma" w:cs="Tahoma"/>
          <w:sz w:val="22"/>
        </w:rPr>
        <w:tab/>
        <w:t>Health Canada. PRODUCT MONOGRAPH HUMIRA® 2018 [16th April 2018]. Available from: https://pdf.hres.ca/dpd_pm/00044463.PDF.</w:t>
      </w:r>
    </w:p>
    <w:p w14:paraId="45D6DCE8" w14:textId="2DE07EA4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3.</w:t>
      </w:r>
      <w:r w:rsidRPr="00EE48DE">
        <w:rPr>
          <w:rFonts w:ascii="Tahoma" w:hAnsi="Tahoma" w:cs="Tahoma"/>
          <w:sz w:val="22"/>
        </w:rPr>
        <w:tab/>
        <w:t>Health Canada. PRODUCT MONOGRAPH CIMZIA® 2017 [16th April 2018]. Available from: https://pdf.hres.ca/dpd_pm/00040019.PDF.</w:t>
      </w:r>
    </w:p>
    <w:p w14:paraId="25ABD5EF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4.</w:t>
      </w:r>
      <w:r w:rsidRPr="00EE48DE">
        <w:rPr>
          <w:rFonts w:ascii="Tahoma" w:hAnsi="Tahoma" w:cs="Tahoma"/>
          <w:sz w:val="22"/>
        </w:rPr>
        <w:tab/>
        <w:t>Health Canada. PRODUCT MONOGRAPH Enbrel. 2018.</w:t>
      </w:r>
    </w:p>
    <w:p w14:paraId="3BE9A13E" w14:textId="045FB8F4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5.</w:t>
      </w:r>
      <w:r w:rsidRPr="00EE48DE">
        <w:rPr>
          <w:rFonts w:ascii="Tahoma" w:hAnsi="Tahoma" w:cs="Tahoma"/>
          <w:sz w:val="22"/>
        </w:rPr>
        <w:tab/>
        <w:t>Health Canada. PRODUCT MONOGRAPH SIMPONI® 2018 [16th April 2018]. Available from: https://pdf.hres.ca/dpd_pm/00044615.PDF.</w:t>
      </w:r>
    </w:p>
    <w:p w14:paraId="5F1B11DB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6.</w:t>
      </w:r>
      <w:r w:rsidRPr="00EE48DE">
        <w:rPr>
          <w:rFonts w:ascii="Tahoma" w:hAnsi="Tahoma" w:cs="Tahoma"/>
          <w:sz w:val="22"/>
        </w:rPr>
        <w:tab/>
        <w:t>Health Canada. PRODUCT MONOGRAPH REMICADE® 2018 [16th April 2018].</w:t>
      </w:r>
    </w:p>
    <w:p w14:paraId="2D714547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7.</w:t>
      </w:r>
      <w:r w:rsidRPr="00EE48DE">
        <w:rPr>
          <w:rFonts w:ascii="Tahoma" w:hAnsi="Tahoma" w:cs="Tahoma"/>
          <w:sz w:val="22"/>
        </w:rPr>
        <w:tab/>
        <w:t>D. Baeten PM, V. Strand, I. McInnes, H. Thom, S. Kanters, E. Palaka, K. Gandhi, H. Richards, S. Jugl. Secukinumab for the treatment of ankylosing spondylitis: comparative effectiveness results VERSUS CURRENTLY LICENSED BIOLOGICS FROM A NETWORK META-ANALYSIS Annals of the Rheumatic Diseases. 2016;75 (supplement 2):809.</w:t>
      </w:r>
    </w:p>
    <w:p w14:paraId="6A3AF21B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8.</w:t>
      </w:r>
      <w:r w:rsidRPr="00EE48DE">
        <w:rPr>
          <w:rFonts w:ascii="Tahoma" w:hAnsi="Tahoma" w:cs="Tahoma"/>
          <w:sz w:val="22"/>
        </w:rPr>
        <w:tab/>
        <w:t>Corbett M SM, Jhunti G, Rice S, Spackman E, Sideris E, et al. . TNF-alpha inhibitors for ankylosing spondylitis and axial spondyloarthritis without radiographic evidence of ankylosing spondylitis (including a review of technology appraisal 143 and technology appraisal 233) CRD/CHE Technology Assessment Group (Centre for Review and Dissemination/Centre for Health Economics) University of York. 2014.</w:t>
      </w:r>
    </w:p>
    <w:p w14:paraId="4B94EE92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  <w:lang w:val="es-ES"/>
        </w:rPr>
        <w:t>9.</w:t>
      </w:r>
      <w:r w:rsidRPr="00EE48DE">
        <w:rPr>
          <w:rFonts w:ascii="Tahoma" w:hAnsi="Tahoma" w:cs="Tahoma"/>
          <w:sz w:val="22"/>
          <w:lang w:val="es-ES"/>
        </w:rPr>
        <w:tab/>
        <w:t xml:space="preserve">Ramiro S, Stolwijk C, van Tubergen A, van der Heijde D, Dougados M, van den Bosch F, et al. </w:t>
      </w:r>
      <w:r w:rsidRPr="00EE48DE">
        <w:rPr>
          <w:rFonts w:ascii="Tahoma" w:hAnsi="Tahoma" w:cs="Tahoma"/>
          <w:sz w:val="22"/>
        </w:rPr>
        <w:t>Evolution of radiographic damage in ankylosing spondylitis: a 12 year prospective follow-up of the OASIS study. Annals of the rheumatic diseases. 2013;74(1):52-9.</w:t>
      </w:r>
    </w:p>
    <w:p w14:paraId="637D2B19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10.</w:t>
      </w:r>
      <w:r w:rsidRPr="00EE48DE">
        <w:rPr>
          <w:rFonts w:ascii="Tahoma" w:hAnsi="Tahoma" w:cs="Tahoma"/>
          <w:sz w:val="22"/>
        </w:rPr>
        <w:tab/>
        <w:t>Sieper J, van der Heijde D, Dougados M, Brown LS, Lavie F, Pangan AL. Early response to adalimumab predicts long-term remission through 5 years of treatment in patients with ankylosing spondylitis. Annals of the rheumatic diseases. 2012;71(5):700-6.</w:t>
      </w:r>
    </w:p>
    <w:p w14:paraId="5609A0D5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11.</w:t>
      </w:r>
      <w:r w:rsidRPr="00EE48DE">
        <w:rPr>
          <w:rFonts w:ascii="Tahoma" w:hAnsi="Tahoma" w:cs="Tahoma"/>
          <w:sz w:val="22"/>
        </w:rPr>
        <w:tab/>
        <w:t>van der Heijde D, Kivitz A, Schiff MH, Sieper J, Dijkmans BA, Braun J, et al. Efficacy and safety of adalimumab in patients with ankylosing spondylitis: results of a multicenter, randomized, double-blind, placebo-controlled trial. Arthritis and rheumatism. 2006;54(7):2136-46.</w:t>
      </w:r>
    </w:p>
    <w:p w14:paraId="53E4A716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12.</w:t>
      </w:r>
      <w:r w:rsidRPr="00EE48DE">
        <w:rPr>
          <w:rFonts w:ascii="Tahoma" w:hAnsi="Tahoma" w:cs="Tahoma"/>
          <w:sz w:val="22"/>
        </w:rPr>
        <w:tab/>
        <w:t>Sieper J, Landewe R, Rudwaleit M, van der Heijde D, Dougados M, Mease PJ, et al. Effect of certolizumab pegol over ninety-six weeks in patients with axial spondyloarthritis: results from a phase III randomized trial. Arthritis Rheumatol. 2015;67(3):668-77.</w:t>
      </w:r>
    </w:p>
    <w:p w14:paraId="64B3063E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13.</w:t>
      </w:r>
      <w:r w:rsidRPr="00EE48DE">
        <w:rPr>
          <w:rFonts w:ascii="Tahoma" w:hAnsi="Tahoma" w:cs="Tahoma"/>
          <w:sz w:val="22"/>
        </w:rPr>
        <w:tab/>
        <w:t>Dougados M, Braun J, Szanto S, Combe B, Geher P, Leblanc V, et al. Continuous efficacy of etanercept in severe and advanced ankylosing spondylitis: results from a 12-week open-label extension of the SPINE study. Rheumatology (Oxford, England). 2012;51(9):1687-96.</w:t>
      </w:r>
    </w:p>
    <w:p w14:paraId="45354179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14.</w:t>
      </w:r>
      <w:r w:rsidRPr="00EE48DE">
        <w:rPr>
          <w:rFonts w:ascii="Tahoma" w:hAnsi="Tahoma" w:cs="Tahoma"/>
          <w:sz w:val="22"/>
        </w:rPr>
        <w:tab/>
        <w:t>Navarro-Sarabia F, Fernandez-Sueiro JL, Torre-Alonso JC, Gratacos J, Queiro R, Gonzalez C, et al. High-dose etanercept in ankylosing spondylitis: results of a 12-week randomized, double blind, controlled multicentre study (LOADET study). Rheumatology (Oxford, England). 2011;50(10):1828-37.</w:t>
      </w:r>
    </w:p>
    <w:p w14:paraId="79DFBAAA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15.</w:t>
      </w:r>
      <w:r w:rsidRPr="00EE48DE">
        <w:rPr>
          <w:rFonts w:ascii="Tahoma" w:hAnsi="Tahoma" w:cs="Tahoma"/>
          <w:sz w:val="22"/>
        </w:rPr>
        <w:tab/>
        <w:t>Deodhar A, Braun J, Inman RD, van der Heijde D, Zhou Y, Xu S, et al. Golimumab administered subcutaneously every 4 weeks in ankylosing spondylitis: 5-year results of the GO-RAISE study. Annals of the rheumatic diseases. 2015;74(4):757-61.</w:t>
      </w:r>
    </w:p>
    <w:p w14:paraId="13793A1A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16.</w:t>
      </w:r>
      <w:r w:rsidRPr="00EE48DE">
        <w:rPr>
          <w:rFonts w:ascii="Tahoma" w:hAnsi="Tahoma" w:cs="Tahoma"/>
          <w:sz w:val="22"/>
        </w:rPr>
        <w:tab/>
        <w:t>Braun J, Baraliakos X, Listing J, Fritz C, Alten R, Burmester G, et al. Persistent clinical efficacy and safety of anti-tumour necrosis factor alpha therapy with infliximab in patients with ankylosing spondylitis over 5 years: evidence for different types of response. Annals of the rheumatic diseases. 2008;67(3):340-5.</w:t>
      </w:r>
    </w:p>
    <w:p w14:paraId="7390FE82" w14:textId="4965282E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lastRenderedPageBreak/>
        <w:t>17.</w:t>
      </w:r>
      <w:r w:rsidRPr="00EE48DE">
        <w:rPr>
          <w:rFonts w:ascii="Tahoma" w:hAnsi="Tahoma" w:cs="Tahoma"/>
          <w:sz w:val="22"/>
        </w:rPr>
        <w:tab/>
        <w:t xml:space="preserve">Ontario Ministry of Health and Long-Term Care. Schedule of Benefits Physician Services Under the Health Insurance Act 2014 [4th August 2014]. Available from: http://www.health.gov.on.ca/english/providers/program/ohip/sob/physserv/physserv_mn.html  </w:t>
      </w:r>
    </w:p>
    <w:p w14:paraId="0783A2AE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18.</w:t>
      </w:r>
      <w:r w:rsidRPr="00EE48DE">
        <w:rPr>
          <w:rFonts w:ascii="Tahoma" w:hAnsi="Tahoma" w:cs="Tahoma"/>
          <w:sz w:val="22"/>
        </w:rPr>
        <w:tab/>
        <w:t>Pan F, Brazier NC, Shear NH, Jivraj F, Schenkel B, Brown R. Cost utility analysis based on a head-to-head Phase 3 trial comparing ustekinumab and etanercept in patients with moderate-to-severe plaque psoriasis: a Canadian perspective. Value Health. 2011;14(5):652-6.</w:t>
      </w:r>
    </w:p>
    <w:p w14:paraId="319E9966" w14:textId="62632E8C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19.</w:t>
      </w:r>
      <w:r w:rsidRPr="00EE48DE">
        <w:rPr>
          <w:rFonts w:ascii="Tahoma" w:hAnsi="Tahoma" w:cs="Tahoma"/>
          <w:sz w:val="22"/>
        </w:rPr>
        <w:tab/>
        <w:t>Ministry of Health Province of British Columbia, Schedule of Fees - For the Laboratory Services Outpatient [Internet]. 2015 [cited 07/15/2016]. Available from: http://www2.gov.bc.ca/assets/gov/health/practitioner-pro/laboratory-services/schedule_of_fees_-_laboratory_services_payment_schedule.pdf.</w:t>
      </w:r>
    </w:p>
    <w:p w14:paraId="675C214B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20.</w:t>
      </w:r>
      <w:r w:rsidRPr="00EE48DE">
        <w:rPr>
          <w:rFonts w:ascii="Tahoma" w:hAnsi="Tahoma" w:cs="Tahoma"/>
          <w:sz w:val="22"/>
        </w:rPr>
        <w:tab/>
        <w:t>Coyle D, Judd M, Blumenauer B, Cranney A, Maetzel A, Tugwell P, et al. Infliximab and etanercept in patients with rheumatoid arthritis: a systematic review and economic evaluation. Ottawa: Canadian Coordinating Office for Health Technology Assessment (CCOHTA), 2006  Contract No.: Technology Issue Report 64.</w:t>
      </w:r>
    </w:p>
    <w:p w14:paraId="31C3A63B" w14:textId="4BFA09E2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21.</w:t>
      </w:r>
      <w:r w:rsidRPr="00EE48DE">
        <w:rPr>
          <w:rFonts w:ascii="Tahoma" w:hAnsi="Tahoma" w:cs="Tahoma"/>
          <w:sz w:val="22"/>
        </w:rPr>
        <w:tab/>
        <w:t>Canada Communicable Disease Report 2007 [Internet]. Publich health agnency of Canada.  [Acccessed on 12/28/2016]. Available from: http://www.phac-aspc.gc.ca/publicat/ccdr-rmtc/07vol33/index-eng.php. .</w:t>
      </w:r>
    </w:p>
    <w:p w14:paraId="55EB322C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22.</w:t>
      </w:r>
      <w:r w:rsidRPr="00EE48DE">
        <w:rPr>
          <w:rFonts w:ascii="Tahoma" w:hAnsi="Tahoma" w:cs="Tahoma"/>
          <w:sz w:val="22"/>
        </w:rPr>
        <w:tab/>
        <w:t>Man A, Shojania K, Phoon C, Pal J, de Badyn MH, Pi D, et al. An evaluation of autoimmune antibody testing patterns in a Canadian health region and an evaluation of a laboratory algorithm aimed at reducing unnecessary testing. Clinical rheumatology. 2013;32(5):601-8.</w:t>
      </w:r>
    </w:p>
    <w:p w14:paraId="3273CE3A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23.</w:t>
      </w:r>
      <w:r w:rsidRPr="00EE48DE">
        <w:rPr>
          <w:rFonts w:ascii="Tahoma" w:hAnsi="Tahoma" w:cs="Tahoma"/>
          <w:sz w:val="22"/>
        </w:rPr>
        <w:tab/>
        <w:t>Sieper J, van der Heijde D, Dougados M, Brown LS, Lavie F, Pangan AL. Early response to adalimumab predicts long-term remission through 5 years of treatment in patients with ankylosing spondylitis. Annals of the rheumatic diseases. 2012;71(5):700-6.</w:t>
      </w:r>
    </w:p>
    <w:p w14:paraId="5C6ADC1C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24.</w:t>
      </w:r>
      <w:r w:rsidRPr="00EE48DE">
        <w:rPr>
          <w:rFonts w:ascii="Tahoma" w:hAnsi="Tahoma" w:cs="Tahoma"/>
          <w:sz w:val="22"/>
        </w:rPr>
        <w:tab/>
        <w:t>McLeod C, Bagust A, Boland A, Dagenais P, Dickson R, Dundar Y, et al. Adalimumab, etanercept and infliximab for the treatment of ankylosing spondylitis: a systematic review and economic evaluation. Health Technology Assessment (Winchester, England). 2007;11(28):1-158, iii-iv.</w:t>
      </w:r>
    </w:p>
    <w:p w14:paraId="281CE20A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25.</w:t>
      </w:r>
      <w:r w:rsidRPr="00EE48DE">
        <w:rPr>
          <w:rFonts w:ascii="Tahoma" w:hAnsi="Tahoma" w:cs="Tahoma"/>
          <w:sz w:val="22"/>
        </w:rPr>
        <w:tab/>
        <w:t>Stevenson M, Archer R, Tosh J, Simpson E, Everson-Hock E, Stevens J, et al. Adalimumab, etanercept, infliximab, certolizumab pegol, golimumab, tocilizumab and abatacept for the treatment of rheumatoid arthritis not previously treated with disease-modifying antirheumatic drugs and after the failure of conventional disease-modifying antirheumatic drugs only: systematic review and economic evaluation. Health Technol Assess. 2016;20(35):1-610.</w:t>
      </w:r>
    </w:p>
    <w:p w14:paraId="7D5B19EC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26.</w:t>
      </w:r>
      <w:r w:rsidRPr="00EE48DE">
        <w:rPr>
          <w:rFonts w:ascii="Tahoma" w:hAnsi="Tahoma" w:cs="Tahoma"/>
          <w:sz w:val="22"/>
        </w:rPr>
        <w:tab/>
        <w:t>Sullivan PW, Ghushchyan V. Preference-Based EQ-5D index scores for chronic conditions in the United States. Medical decision making : an international journal of the Society for Medical Decision Making. 2006;26(4):410-20.</w:t>
      </w:r>
    </w:p>
    <w:p w14:paraId="71578C0E" w14:textId="418CBBCC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27.</w:t>
      </w:r>
      <w:r w:rsidRPr="00EE48DE">
        <w:rPr>
          <w:rFonts w:ascii="Tahoma" w:hAnsi="Tahoma" w:cs="Tahoma"/>
          <w:sz w:val="22"/>
        </w:rPr>
        <w:tab/>
        <w:t>Statistics Canada. Probability of dying by age and sex, Canada, 2007/2009 period [Internet] http://www.statcan.gc.ca/pub/91-209-x/2013001/article/11785/c-g/desc/desc02-eng.htm [cited 08/19/2016].</w:t>
      </w:r>
    </w:p>
    <w:p w14:paraId="367310F6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28.</w:t>
      </w:r>
      <w:r w:rsidRPr="00EE48DE">
        <w:rPr>
          <w:rFonts w:ascii="Tahoma" w:hAnsi="Tahoma" w:cs="Tahoma"/>
          <w:sz w:val="22"/>
        </w:rPr>
        <w:tab/>
        <w:t>Bakland G, Gran JT, Nossent JC. Increased mortality in ankylosing spondylitis is related to disease activity. Annals of the rheumatic diseases. 2011;70(11):1921-5.</w:t>
      </w:r>
    </w:p>
    <w:p w14:paraId="4E116915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29.</w:t>
      </w:r>
      <w:r w:rsidRPr="00EE48DE">
        <w:rPr>
          <w:rFonts w:ascii="Tahoma" w:hAnsi="Tahoma" w:cs="Tahoma"/>
          <w:sz w:val="22"/>
        </w:rPr>
        <w:tab/>
        <w:t>Abuabara K, Azfar RS, Shin DB, Neimann AL, Troxel AB, Gelfand JM. Cause-specific mortality in patients with severe psoriasis: a population-based cohort study in the U.K. Br J Dermatol. 2010;163(3):586-92.</w:t>
      </w:r>
    </w:p>
    <w:p w14:paraId="7A42533C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30.</w:t>
      </w:r>
      <w:r w:rsidRPr="00EE48DE">
        <w:rPr>
          <w:rFonts w:ascii="Tahoma" w:hAnsi="Tahoma" w:cs="Tahoma"/>
          <w:sz w:val="22"/>
        </w:rPr>
        <w:tab/>
        <w:t>Sarioz F, Ozdemir O, Direk S, Cavusoglu Sezen S, Barutcugil M. Secukinumab is dominant vs. TNF-inhibitors in the treatment of active ankylosing spondylitis: Results from a Turkish cost-effectiveness model. Value in Health. 2017;20(9):A534.</w:t>
      </w:r>
    </w:p>
    <w:p w14:paraId="17CAA62B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lastRenderedPageBreak/>
        <w:t>31.</w:t>
      </w:r>
      <w:r w:rsidRPr="00EE48DE">
        <w:rPr>
          <w:rFonts w:ascii="Tahoma" w:hAnsi="Tahoma" w:cs="Tahoma"/>
          <w:sz w:val="22"/>
        </w:rPr>
        <w:tab/>
        <w:t>Romero Prada ME, Roa Cardenas NC, Serrano GY, Huerfano LM. Cost-utility analysis of secukinumab use versus tnf-a inhibitors, in patients with ankylosing spondilytis. Value in Health. 2017;20(9):A938-A9.</w:t>
      </w:r>
    </w:p>
    <w:p w14:paraId="71DECCBB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32.</w:t>
      </w:r>
      <w:r w:rsidRPr="00EE48DE">
        <w:rPr>
          <w:rFonts w:ascii="Tahoma" w:hAnsi="Tahoma" w:cs="Tahoma"/>
          <w:sz w:val="22"/>
        </w:rPr>
        <w:tab/>
        <w:t>Marzo-Ortega H, Halliday A, Jugl S, Mokashi S, Gunda P, Graham C, et al. The cost-effectiveness of secukinumab versus tumour necrosis factor a inhibitor biosimilars for ankylosing spondylitis in the UK. Rheumatology (United Kingdom). 2017;56:ii92.</w:t>
      </w:r>
    </w:p>
    <w:p w14:paraId="2639D95B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33.</w:t>
      </w:r>
      <w:r w:rsidRPr="00EE48DE">
        <w:rPr>
          <w:rFonts w:ascii="Tahoma" w:hAnsi="Tahoma" w:cs="Tahoma"/>
          <w:sz w:val="22"/>
        </w:rPr>
        <w:tab/>
        <w:t>Emery P, Van Keep M, Beard SM, Graham CN, Miles L, Jugl SM, et al. Cost-effectiveness of secukinumab for the treatment of active ankylosing spondylitis in the UK. Value in Health. 2017;20(9):A534.</w:t>
      </w:r>
    </w:p>
    <w:p w14:paraId="3587EC0A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34.</w:t>
      </w:r>
      <w:r w:rsidRPr="00EE48DE">
        <w:rPr>
          <w:rFonts w:ascii="Tahoma" w:hAnsi="Tahoma" w:cs="Tahoma"/>
          <w:sz w:val="22"/>
        </w:rPr>
        <w:tab/>
        <w:t>Djambazov S, Vekov T. Incremental cost-effectiveness analysis of biological drug therapies for the treatment of ankylosing spondylitis in Bulgaria, 2016. Value in Health. 2017;20(5):A221.</w:t>
      </w:r>
    </w:p>
    <w:p w14:paraId="39907CB2" w14:textId="77777777" w:rsidR="009525E9" w:rsidRPr="00EE48DE" w:rsidRDefault="009525E9" w:rsidP="009525E9">
      <w:pPr>
        <w:pStyle w:val="EndNoteBibliography"/>
        <w:rPr>
          <w:rFonts w:ascii="Tahoma" w:hAnsi="Tahoma" w:cs="Tahoma"/>
          <w:sz w:val="22"/>
        </w:rPr>
      </w:pPr>
      <w:r w:rsidRPr="00EE48DE">
        <w:rPr>
          <w:rFonts w:ascii="Tahoma" w:hAnsi="Tahoma" w:cs="Tahoma"/>
          <w:sz w:val="22"/>
        </w:rPr>
        <w:t>35.</w:t>
      </w:r>
      <w:r w:rsidRPr="00EE48DE">
        <w:rPr>
          <w:rFonts w:ascii="Tahoma" w:hAnsi="Tahoma" w:cs="Tahoma"/>
          <w:sz w:val="22"/>
        </w:rPr>
        <w:tab/>
        <w:t>Fedyaev D, Derkach EV. Cost-effectiveness analysis of different biologic agents for ankylosing spondylitis treatment in Russia. Value in Health. 2016;19(7):A539.</w:t>
      </w:r>
    </w:p>
    <w:p w14:paraId="0C256163" w14:textId="53293AFD" w:rsidR="00535151" w:rsidRPr="00EE48DE" w:rsidRDefault="00535151" w:rsidP="00A13BAB">
      <w:pPr>
        <w:spacing w:line="480" w:lineRule="auto"/>
        <w:ind w:left="360" w:hanging="360"/>
        <w:jc w:val="both"/>
        <w:rPr>
          <w:rFonts w:ascii="Tahoma" w:hAnsi="Tahoma" w:cs="Tahoma"/>
          <w:sz w:val="20"/>
          <w:szCs w:val="22"/>
        </w:rPr>
      </w:pPr>
    </w:p>
    <w:sectPr w:rsidR="00535151" w:rsidRPr="00EE48DE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BE75" w14:textId="77777777" w:rsidR="00EE48DE" w:rsidRDefault="00EE48DE" w:rsidP="00A5776A">
      <w:pPr>
        <w:spacing w:line="240" w:lineRule="auto"/>
      </w:pPr>
      <w:r>
        <w:separator/>
      </w:r>
    </w:p>
  </w:endnote>
  <w:endnote w:type="continuationSeparator" w:id="0">
    <w:p w14:paraId="211095DB" w14:textId="77777777" w:rsidR="00EE48DE" w:rsidRDefault="00EE48DE" w:rsidP="00A57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875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4567B" w14:textId="0ADCAB45" w:rsidR="00EE48DE" w:rsidRDefault="00EE4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E3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446A371" w14:textId="77777777" w:rsidR="00EE48DE" w:rsidRPr="00084E60" w:rsidRDefault="00EE48DE" w:rsidP="007D1DCB">
    <w:pPr>
      <w:pStyle w:val="Footer"/>
      <w:tabs>
        <w:tab w:val="clear" w:pos="8640"/>
      </w:tabs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C3E1" w14:textId="77777777" w:rsidR="00EE48DE" w:rsidRPr="00084E60" w:rsidRDefault="00EE48DE" w:rsidP="007D1DCB">
    <w:pPr>
      <w:pStyle w:val="Footer"/>
      <w:tabs>
        <w:tab w:val="clear" w:pos="8640"/>
      </w:tabs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05CB" w14:textId="77777777" w:rsidR="00EE48DE" w:rsidRDefault="00EE48DE" w:rsidP="00A5776A">
      <w:pPr>
        <w:spacing w:line="240" w:lineRule="auto"/>
      </w:pPr>
      <w:r>
        <w:separator/>
      </w:r>
    </w:p>
  </w:footnote>
  <w:footnote w:type="continuationSeparator" w:id="0">
    <w:p w14:paraId="0DEEFDAE" w14:textId="77777777" w:rsidR="00EE48DE" w:rsidRDefault="00EE48DE" w:rsidP="00A57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82EC0D4"/>
    <w:lvl w:ilvl="0">
      <w:start w:val="1"/>
      <w:numFmt w:val="bullet"/>
      <w:pStyle w:val="Bullet1"/>
      <w:lvlText w:val="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sz w:val="22"/>
      </w:rPr>
    </w:lvl>
  </w:abstractNum>
  <w:abstractNum w:abstractNumId="1" w15:restartNumberingAfterBreak="0">
    <w:nsid w:val="40F11FAA"/>
    <w:multiLevelType w:val="hybridMultilevel"/>
    <w:tmpl w:val="FFAE3C86"/>
    <w:lvl w:ilvl="0" w:tplc="E6E6B6C4">
      <w:start w:val="1"/>
      <w:numFmt w:val="decimal"/>
      <w:pStyle w:val="TabletitleA"/>
      <w:lvlText w:val="Table A-%1."/>
      <w:lvlJc w:val="left"/>
      <w:pPr>
        <w:tabs>
          <w:tab w:val="num" w:pos="5220"/>
        </w:tabs>
        <w:ind w:left="5580" w:hanging="360"/>
      </w:pPr>
      <w:rPr>
        <w:rFonts w:ascii="Arial Bold" w:hAnsi="Arial Bold" w:cs="Monotype Sort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</w:rPr>
    </w:lvl>
  </w:abstractNum>
  <w:abstractNum w:abstractNumId="2" w15:restartNumberingAfterBreak="0">
    <w:nsid w:val="44A5228F"/>
    <w:multiLevelType w:val="hybridMultilevel"/>
    <w:tmpl w:val="5832E7EA"/>
    <w:lvl w:ilvl="0" w:tplc="BBD44D1E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630"/>
    <w:multiLevelType w:val="hybridMultilevel"/>
    <w:tmpl w:val="459E38D8"/>
    <w:lvl w:ilvl="0" w:tplc="2B1C5D16">
      <w:start w:val="1"/>
      <w:numFmt w:val="decimal"/>
      <w:pStyle w:val="TabletitleB"/>
      <w:lvlText w:val="Table B-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B056D"/>
    <w:multiLevelType w:val="hybridMultilevel"/>
    <w:tmpl w:val="CD1A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699A"/>
    <w:multiLevelType w:val="hybridMultilevel"/>
    <w:tmpl w:val="2C0E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83194"/>
    <w:multiLevelType w:val="hybridMultilevel"/>
    <w:tmpl w:val="6D6C4C30"/>
    <w:lvl w:ilvl="0" w:tplc="9F46AAF6">
      <w:start w:val="1"/>
      <w:numFmt w:val="decimal"/>
      <w:pStyle w:val="TableTitle"/>
      <w:lvlText w:val="Table 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vvvfvsg5zptcedvr25eaw2sp5v0r0wwpfr&quot;&gt;AS CEA Canada&lt;record-ids&gt;&lt;item&gt;27&lt;/item&gt;&lt;item&gt;28&lt;/item&gt;&lt;item&gt;531&lt;/item&gt;&lt;item&gt;1173&lt;/item&gt;&lt;item&gt;1324&lt;/item&gt;&lt;item&gt;1649&lt;/item&gt;&lt;item&gt;1740&lt;/item&gt;&lt;item&gt;1766&lt;/item&gt;&lt;item&gt;1767&lt;/item&gt;&lt;item&gt;1768&lt;/item&gt;&lt;item&gt;2080&lt;/item&gt;&lt;item&gt;3281&lt;/item&gt;&lt;item&gt;3282&lt;/item&gt;&lt;item&gt;3286&lt;/item&gt;&lt;item&gt;3293&lt;/item&gt;&lt;item&gt;3306&lt;/item&gt;&lt;item&gt;3308&lt;/item&gt;&lt;item&gt;3309&lt;/item&gt;&lt;item&gt;3310&lt;/item&gt;&lt;item&gt;3332&lt;/item&gt;&lt;item&gt;3333&lt;/item&gt;&lt;item&gt;3334&lt;/item&gt;&lt;item&gt;3335&lt;/item&gt;&lt;item&gt;3336&lt;/item&gt;&lt;item&gt;3337&lt;/item&gt;&lt;item&gt;3341&lt;/item&gt;&lt;/record-ids&gt;&lt;/item&gt;&lt;/Libraries&gt;"/>
  </w:docVars>
  <w:rsids>
    <w:rsidRoot w:val="00912E0B"/>
    <w:rsid w:val="000007C7"/>
    <w:rsid w:val="0000191F"/>
    <w:rsid w:val="00007101"/>
    <w:rsid w:val="00007861"/>
    <w:rsid w:val="00012C19"/>
    <w:rsid w:val="0001631B"/>
    <w:rsid w:val="000165E3"/>
    <w:rsid w:val="00020B7A"/>
    <w:rsid w:val="0002129F"/>
    <w:rsid w:val="000212C0"/>
    <w:rsid w:val="00030762"/>
    <w:rsid w:val="00042683"/>
    <w:rsid w:val="000427D5"/>
    <w:rsid w:val="00043E6B"/>
    <w:rsid w:val="00045220"/>
    <w:rsid w:val="00045637"/>
    <w:rsid w:val="00045E23"/>
    <w:rsid w:val="00047F02"/>
    <w:rsid w:val="00052D27"/>
    <w:rsid w:val="00057B06"/>
    <w:rsid w:val="00057D96"/>
    <w:rsid w:val="00064453"/>
    <w:rsid w:val="000749FC"/>
    <w:rsid w:val="00074E35"/>
    <w:rsid w:val="00075055"/>
    <w:rsid w:val="00083CA4"/>
    <w:rsid w:val="00090565"/>
    <w:rsid w:val="000C3DD7"/>
    <w:rsid w:val="000C5A72"/>
    <w:rsid w:val="000D239F"/>
    <w:rsid w:val="000D405C"/>
    <w:rsid w:val="000D551A"/>
    <w:rsid w:val="000D64F7"/>
    <w:rsid w:val="000E17E5"/>
    <w:rsid w:val="000E1F3D"/>
    <w:rsid w:val="000F074B"/>
    <w:rsid w:val="000F0F49"/>
    <w:rsid w:val="000F1047"/>
    <w:rsid w:val="000F202D"/>
    <w:rsid w:val="000F7C9B"/>
    <w:rsid w:val="00102892"/>
    <w:rsid w:val="00105F5B"/>
    <w:rsid w:val="00110531"/>
    <w:rsid w:val="00121F36"/>
    <w:rsid w:val="001226C4"/>
    <w:rsid w:val="001237D7"/>
    <w:rsid w:val="0012449C"/>
    <w:rsid w:val="00126079"/>
    <w:rsid w:val="0013129F"/>
    <w:rsid w:val="001320E6"/>
    <w:rsid w:val="001358B0"/>
    <w:rsid w:val="00140038"/>
    <w:rsid w:val="00141F71"/>
    <w:rsid w:val="00142E46"/>
    <w:rsid w:val="00146B55"/>
    <w:rsid w:val="00147A69"/>
    <w:rsid w:val="0016028A"/>
    <w:rsid w:val="00160296"/>
    <w:rsid w:val="00160A8C"/>
    <w:rsid w:val="00176C3F"/>
    <w:rsid w:val="00177664"/>
    <w:rsid w:val="001834F0"/>
    <w:rsid w:val="00183A71"/>
    <w:rsid w:val="00185F6D"/>
    <w:rsid w:val="001864EA"/>
    <w:rsid w:val="00187797"/>
    <w:rsid w:val="001920FF"/>
    <w:rsid w:val="00192388"/>
    <w:rsid w:val="00195ED9"/>
    <w:rsid w:val="001A0F52"/>
    <w:rsid w:val="001A3CD7"/>
    <w:rsid w:val="001A478D"/>
    <w:rsid w:val="001A5CE8"/>
    <w:rsid w:val="001B67D8"/>
    <w:rsid w:val="001C4422"/>
    <w:rsid w:val="001C64DD"/>
    <w:rsid w:val="001D63CB"/>
    <w:rsid w:val="001E17F9"/>
    <w:rsid w:val="001E5CD2"/>
    <w:rsid w:val="001F0E94"/>
    <w:rsid w:val="001F56EA"/>
    <w:rsid w:val="00200594"/>
    <w:rsid w:val="00204FCF"/>
    <w:rsid w:val="00210B9F"/>
    <w:rsid w:val="00211CBD"/>
    <w:rsid w:val="00212B63"/>
    <w:rsid w:val="00224076"/>
    <w:rsid w:val="002359E8"/>
    <w:rsid w:val="002374AC"/>
    <w:rsid w:val="00245003"/>
    <w:rsid w:val="00246A22"/>
    <w:rsid w:val="00246DF8"/>
    <w:rsid w:val="002564B0"/>
    <w:rsid w:val="00264354"/>
    <w:rsid w:val="00270E6F"/>
    <w:rsid w:val="002736F8"/>
    <w:rsid w:val="00276551"/>
    <w:rsid w:val="00277365"/>
    <w:rsid w:val="002A037F"/>
    <w:rsid w:val="002A5E01"/>
    <w:rsid w:val="002A6405"/>
    <w:rsid w:val="002A7384"/>
    <w:rsid w:val="002B0526"/>
    <w:rsid w:val="002B2B34"/>
    <w:rsid w:val="002B38EF"/>
    <w:rsid w:val="002B4745"/>
    <w:rsid w:val="002B5315"/>
    <w:rsid w:val="002B76B6"/>
    <w:rsid w:val="002C0258"/>
    <w:rsid w:val="002C1377"/>
    <w:rsid w:val="002C3ADD"/>
    <w:rsid w:val="002C42A3"/>
    <w:rsid w:val="002C4C64"/>
    <w:rsid w:val="002D5B98"/>
    <w:rsid w:val="002E4BD8"/>
    <w:rsid w:val="002E78AB"/>
    <w:rsid w:val="002F4A7C"/>
    <w:rsid w:val="002F50FC"/>
    <w:rsid w:val="002F56CF"/>
    <w:rsid w:val="002F68D4"/>
    <w:rsid w:val="002F7A38"/>
    <w:rsid w:val="00302E03"/>
    <w:rsid w:val="00307AB9"/>
    <w:rsid w:val="003118A8"/>
    <w:rsid w:val="00315B9A"/>
    <w:rsid w:val="00316562"/>
    <w:rsid w:val="00316FBF"/>
    <w:rsid w:val="003231D1"/>
    <w:rsid w:val="00323BEC"/>
    <w:rsid w:val="00323DDB"/>
    <w:rsid w:val="00327C55"/>
    <w:rsid w:val="00327CE3"/>
    <w:rsid w:val="00331275"/>
    <w:rsid w:val="00332302"/>
    <w:rsid w:val="00340282"/>
    <w:rsid w:val="00343910"/>
    <w:rsid w:val="003547F8"/>
    <w:rsid w:val="00357A4D"/>
    <w:rsid w:val="00361924"/>
    <w:rsid w:val="00363033"/>
    <w:rsid w:val="003637DF"/>
    <w:rsid w:val="003647B4"/>
    <w:rsid w:val="00365754"/>
    <w:rsid w:val="003715F9"/>
    <w:rsid w:val="003728A6"/>
    <w:rsid w:val="00374494"/>
    <w:rsid w:val="00376EA4"/>
    <w:rsid w:val="00380983"/>
    <w:rsid w:val="003841D4"/>
    <w:rsid w:val="00385C95"/>
    <w:rsid w:val="00385D08"/>
    <w:rsid w:val="00387956"/>
    <w:rsid w:val="00392302"/>
    <w:rsid w:val="00393921"/>
    <w:rsid w:val="00395620"/>
    <w:rsid w:val="00396326"/>
    <w:rsid w:val="003A1C1D"/>
    <w:rsid w:val="003A2264"/>
    <w:rsid w:val="003A36E0"/>
    <w:rsid w:val="003B51AC"/>
    <w:rsid w:val="003B6582"/>
    <w:rsid w:val="003C1039"/>
    <w:rsid w:val="003C22F0"/>
    <w:rsid w:val="003C463C"/>
    <w:rsid w:val="003C7E15"/>
    <w:rsid w:val="003D2D04"/>
    <w:rsid w:val="003E182F"/>
    <w:rsid w:val="003E477C"/>
    <w:rsid w:val="003E4D77"/>
    <w:rsid w:val="003E54E2"/>
    <w:rsid w:val="003E5A8B"/>
    <w:rsid w:val="003E6379"/>
    <w:rsid w:val="003F1E3E"/>
    <w:rsid w:val="003F2916"/>
    <w:rsid w:val="003F371F"/>
    <w:rsid w:val="003F4A85"/>
    <w:rsid w:val="00400808"/>
    <w:rsid w:val="00400D91"/>
    <w:rsid w:val="004033D5"/>
    <w:rsid w:val="0041445C"/>
    <w:rsid w:val="00417093"/>
    <w:rsid w:val="00420869"/>
    <w:rsid w:val="004211FE"/>
    <w:rsid w:val="004215AE"/>
    <w:rsid w:val="004304BE"/>
    <w:rsid w:val="00434BEF"/>
    <w:rsid w:val="00447AA0"/>
    <w:rsid w:val="004500D5"/>
    <w:rsid w:val="00450D54"/>
    <w:rsid w:val="0045407D"/>
    <w:rsid w:val="004574BF"/>
    <w:rsid w:val="00464817"/>
    <w:rsid w:val="00465274"/>
    <w:rsid w:val="0046573D"/>
    <w:rsid w:val="00475F68"/>
    <w:rsid w:val="00480CCD"/>
    <w:rsid w:val="00481FFF"/>
    <w:rsid w:val="00482813"/>
    <w:rsid w:val="00483275"/>
    <w:rsid w:val="00486586"/>
    <w:rsid w:val="0048707B"/>
    <w:rsid w:val="00487150"/>
    <w:rsid w:val="00490467"/>
    <w:rsid w:val="004947D2"/>
    <w:rsid w:val="004949EB"/>
    <w:rsid w:val="004A3031"/>
    <w:rsid w:val="004A72C9"/>
    <w:rsid w:val="004B02FF"/>
    <w:rsid w:val="004B27EF"/>
    <w:rsid w:val="004B3131"/>
    <w:rsid w:val="004B3445"/>
    <w:rsid w:val="004B3FCE"/>
    <w:rsid w:val="004C14D0"/>
    <w:rsid w:val="004C7CC3"/>
    <w:rsid w:val="004D05B2"/>
    <w:rsid w:val="004D0607"/>
    <w:rsid w:val="004D3F0D"/>
    <w:rsid w:val="004D5A7A"/>
    <w:rsid w:val="004D6F54"/>
    <w:rsid w:val="004E22F6"/>
    <w:rsid w:val="004E39D9"/>
    <w:rsid w:val="004E6771"/>
    <w:rsid w:val="004E67D3"/>
    <w:rsid w:val="004F08B8"/>
    <w:rsid w:val="004F64DB"/>
    <w:rsid w:val="00503B0D"/>
    <w:rsid w:val="00506BB3"/>
    <w:rsid w:val="00507BA5"/>
    <w:rsid w:val="0051221D"/>
    <w:rsid w:val="00513202"/>
    <w:rsid w:val="0051495D"/>
    <w:rsid w:val="00517DC1"/>
    <w:rsid w:val="00523706"/>
    <w:rsid w:val="005278BD"/>
    <w:rsid w:val="00530A0C"/>
    <w:rsid w:val="00532E3D"/>
    <w:rsid w:val="00534C44"/>
    <w:rsid w:val="00534E22"/>
    <w:rsid w:val="00535151"/>
    <w:rsid w:val="00541905"/>
    <w:rsid w:val="00542181"/>
    <w:rsid w:val="00543146"/>
    <w:rsid w:val="00552B50"/>
    <w:rsid w:val="00565B20"/>
    <w:rsid w:val="00566E00"/>
    <w:rsid w:val="00571621"/>
    <w:rsid w:val="00573339"/>
    <w:rsid w:val="005749C7"/>
    <w:rsid w:val="005806D5"/>
    <w:rsid w:val="00580940"/>
    <w:rsid w:val="00582BB5"/>
    <w:rsid w:val="0059395F"/>
    <w:rsid w:val="005A31A1"/>
    <w:rsid w:val="005A4D01"/>
    <w:rsid w:val="005B5367"/>
    <w:rsid w:val="005C10D4"/>
    <w:rsid w:val="005C4D66"/>
    <w:rsid w:val="005C730E"/>
    <w:rsid w:val="005D1589"/>
    <w:rsid w:val="005E288C"/>
    <w:rsid w:val="005F59BA"/>
    <w:rsid w:val="005F7A6C"/>
    <w:rsid w:val="00604935"/>
    <w:rsid w:val="006110C5"/>
    <w:rsid w:val="00613DBA"/>
    <w:rsid w:val="00614F69"/>
    <w:rsid w:val="00617F81"/>
    <w:rsid w:val="006341CC"/>
    <w:rsid w:val="00634487"/>
    <w:rsid w:val="00643B9D"/>
    <w:rsid w:val="00643D8C"/>
    <w:rsid w:val="00645AD7"/>
    <w:rsid w:val="00651E68"/>
    <w:rsid w:val="00654B98"/>
    <w:rsid w:val="00654DA2"/>
    <w:rsid w:val="00655610"/>
    <w:rsid w:val="00655A4C"/>
    <w:rsid w:val="006561C9"/>
    <w:rsid w:val="00656BE1"/>
    <w:rsid w:val="0066003D"/>
    <w:rsid w:val="00664478"/>
    <w:rsid w:val="006658B1"/>
    <w:rsid w:val="006660D1"/>
    <w:rsid w:val="00670448"/>
    <w:rsid w:val="00674A48"/>
    <w:rsid w:val="00675BB9"/>
    <w:rsid w:val="00680468"/>
    <w:rsid w:val="00681A8B"/>
    <w:rsid w:val="00683621"/>
    <w:rsid w:val="006843E7"/>
    <w:rsid w:val="00686B25"/>
    <w:rsid w:val="0069044C"/>
    <w:rsid w:val="006916F9"/>
    <w:rsid w:val="006A473F"/>
    <w:rsid w:val="006C3F46"/>
    <w:rsid w:val="006C6C5E"/>
    <w:rsid w:val="006D5CAC"/>
    <w:rsid w:val="006D5FD5"/>
    <w:rsid w:val="006E0842"/>
    <w:rsid w:val="006E637A"/>
    <w:rsid w:val="006F2BAE"/>
    <w:rsid w:val="006F5E48"/>
    <w:rsid w:val="0070429F"/>
    <w:rsid w:val="00704FE5"/>
    <w:rsid w:val="007068B8"/>
    <w:rsid w:val="00716E96"/>
    <w:rsid w:val="007205CD"/>
    <w:rsid w:val="0072234A"/>
    <w:rsid w:val="00727635"/>
    <w:rsid w:val="00745FE1"/>
    <w:rsid w:val="00747648"/>
    <w:rsid w:val="00750325"/>
    <w:rsid w:val="007564FA"/>
    <w:rsid w:val="00763307"/>
    <w:rsid w:val="00764ECD"/>
    <w:rsid w:val="00775949"/>
    <w:rsid w:val="00777D76"/>
    <w:rsid w:val="0078003F"/>
    <w:rsid w:val="0078325A"/>
    <w:rsid w:val="007861B3"/>
    <w:rsid w:val="00790C23"/>
    <w:rsid w:val="007A0FAD"/>
    <w:rsid w:val="007A148C"/>
    <w:rsid w:val="007A4839"/>
    <w:rsid w:val="007A62BA"/>
    <w:rsid w:val="007B4909"/>
    <w:rsid w:val="007B4EDE"/>
    <w:rsid w:val="007C0ECA"/>
    <w:rsid w:val="007C2A58"/>
    <w:rsid w:val="007C3790"/>
    <w:rsid w:val="007C3B22"/>
    <w:rsid w:val="007C56E1"/>
    <w:rsid w:val="007C7D83"/>
    <w:rsid w:val="007D1DCB"/>
    <w:rsid w:val="007D2EAE"/>
    <w:rsid w:val="007D625E"/>
    <w:rsid w:val="007E313C"/>
    <w:rsid w:val="007E491C"/>
    <w:rsid w:val="007E4F08"/>
    <w:rsid w:val="007F0B19"/>
    <w:rsid w:val="007F77E7"/>
    <w:rsid w:val="00806749"/>
    <w:rsid w:val="0082196B"/>
    <w:rsid w:val="00827B4A"/>
    <w:rsid w:val="0083275E"/>
    <w:rsid w:val="00834073"/>
    <w:rsid w:val="00837127"/>
    <w:rsid w:val="00843442"/>
    <w:rsid w:val="00843919"/>
    <w:rsid w:val="0084408F"/>
    <w:rsid w:val="00845229"/>
    <w:rsid w:val="0085228F"/>
    <w:rsid w:val="00853A4F"/>
    <w:rsid w:val="00857852"/>
    <w:rsid w:val="00857A5D"/>
    <w:rsid w:val="00866C04"/>
    <w:rsid w:val="00873498"/>
    <w:rsid w:val="0087402B"/>
    <w:rsid w:val="0088002D"/>
    <w:rsid w:val="008804C2"/>
    <w:rsid w:val="008833A0"/>
    <w:rsid w:val="00891235"/>
    <w:rsid w:val="00893F21"/>
    <w:rsid w:val="008940B8"/>
    <w:rsid w:val="008950EE"/>
    <w:rsid w:val="00895392"/>
    <w:rsid w:val="008A0946"/>
    <w:rsid w:val="008A0CDA"/>
    <w:rsid w:val="008A77BD"/>
    <w:rsid w:val="008B0BEA"/>
    <w:rsid w:val="008C1558"/>
    <w:rsid w:val="008C1881"/>
    <w:rsid w:val="008C7B20"/>
    <w:rsid w:val="008D0D5A"/>
    <w:rsid w:val="008D3A4C"/>
    <w:rsid w:val="008E2826"/>
    <w:rsid w:val="008E6FE4"/>
    <w:rsid w:val="008E7BF8"/>
    <w:rsid w:val="008F2BBE"/>
    <w:rsid w:val="008F48AF"/>
    <w:rsid w:val="008F49D1"/>
    <w:rsid w:val="008F6E04"/>
    <w:rsid w:val="008F7813"/>
    <w:rsid w:val="0090016E"/>
    <w:rsid w:val="009035FD"/>
    <w:rsid w:val="00906028"/>
    <w:rsid w:val="009062F2"/>
    <w:rsid w:val="00910DE2"/>
    <w:rsid w:val="00910EEF"/>
    <w:rsid w:val="00911678"/>
    <w:rsid w:val="00912E0B"/>
    <w:rsid w:val="00913D34"/>
    <w:rsid w:val="0091525D"/>
    <w:rsid w:val="00916FEC"/>
    <w:rsid w:val="0092257F"/>
    <w:rsid w:val="009239FA"/>
    <w:rsid w:val="0092706C"/>
    <w:rsid w:val="00930313"/>
    <w:rsid w:val="00930C75"/>
    <w:rsid w:val="009448E7"/>
    <w:rsid w:val="009470E5"/>
    <w:rsid w:val="009525E9"/>
    <w:rsid w:val="0095454B"/>
    <w:rsid w:val="00960A8F"/>
    <w:rsid w:val="00962410"/>
    <w:rsid w:val="00965891"/>
    <w:rsid w:val="00970446"/>
    <w:rsid w:val="00974712"/>
    <w:rsid w:val="00976745"/>
    <w:rsid w:val="00976A41"/>
    <w:rsid w:val="00976BEF"/>
    <w:rsid w:val="0098704A"/>
    <w:rsid w:val="00991962"/>
    <w:rsid w:val="009A0980"/>
    <w:rsid w:val="009A13E7"/>
    <w:rsid w:val="009A365E"/>
    <w:rsid w:val="009A3B34"/>
    <w:rsid w:val="009B4AF7"/>
    <w:rsid w:val="009C2503"/>
    <w:rsid w:val="009C6095"/>
    <w:rsid w:val="009D1645"/>
    <w:rsid w:val="009D268A"/>
    <w:rsid w:val="009D2FD4"/>
    <w:rsid w:val="009D387E"/>
    <w:rsid w:val="009E1A4E"/>
    <w:rsid w:val="009E3101"/>
    <w:rsid w:val="009E5A81"/>
    <w:rsid w:val="009F2E4F"/>
    <w:rsid w:val="009F5917"/>
    <w:rsid w:val="009F5A18"/>
    <w:rsid w:val="00A03602"/>
    <w:rsid w:val="00A05935"/>
    <w:rsid w:val="00A05E62"/>
    <w:rsid w:val="00A11F74"/>
    <w:rsid w:val="00A13522"/>
    <w:rsid w:val="00A13BAB"/>
    <w:rsid w:val="00A154C1"/>
    <w:rsid w:val="00A25DF5"/>
    <w:rsid w:val="00A31255"/>
    <w:rsid w:val="00A32301"/>
    <w:rsid w:val="00A32B22"/>
    <w:rsid w:val="00A32F73"/>
    <w:rsid w:val="00A34ADB"/>
    <w:rsid w:val="00A35DF1"/>
    <w:rsid w:val="00A43BFC"/>
    <w:rsid w:val="00A56C5D"/>
    <w:rsid w:val="00A5776A"/>
    <w:rsid w:val="00A60B77"/>
    <w:rsid w:val="00A66C6F"/>
    <w:rsid w:val="00A702D5"/>
    <w:rsid w:val="00A7034B"/>
    <w:rsid w:val="00A70E61"/>
    <w:rsid w:val="00A75536"/>
    <w:rsid w:val="00A80723"/>
    <w:rsid w:val="00A82E09"/>
    <w:rsid w:val="00A835DA"/>
    <w:rsid w:val="00A877DA"/>
    <w:rsid w:val="00A87B55"/>
    <w:rsid w:val="00A9011E"/>
    <w:rsid w:val="00A914AB"/>
    <w:rsid w:val="00A91AB2"/>
    <w:rsid w:val="00A94FA5"/>
    <w:rsid w:val="00AA1553"/>
    <w:rsid w:val="00AA4DFF"/>
    <w:rsid w:val="00AA7B36"/>
    <w:rsid w:val="00AB5B22"/>
    <w:rsid w:val="00AC4DD8"/>
    <w:rsid w:val="00AC7B25"/>
    <w:rsid w:val="00AD4CAC"/>
    <w:rsid w:val="00AD5782"/>
    <w:rsid w:val="00AE5C6A"/>
    <w:rsid w:val="00AF1AC8"/>
    <w:rsid w:val="00AF1D97"/>
    <w:rsid w:val="00AF7B5C"/>
    <w:rsid w:val="00B01244"/>
    <w:rsid w:val="00B0565D"/>
    <w:rsid w:val="00B06691"/>
    <w:rsid w:val="00B14702"/>
    <w:rsid w:val="00B1635C"/>
    <w:rsid w:val="00B25AF0"/>
    <w:rsid w:val="00B266AA"/>
    <w:rsid w:val="00B27BA5"/>
    <w:rsid w:val="00B3129B"/>
    <w:rsid w:val="00B328A2"/>
    <w:rsid w:val="00B3710F"/>
    <w:rsid w:val="00B41FDE"/>
    <w:rsid w:val="00B46072"/>
    <w:rsid w:val="00B50CD6"/>
    <w:rsid w:val="00B615DD"/>
    <w:rsid w:val="00B704AF"/>
    <w:rsid w:val="00B7156F"/>
    <w:rsid w:val="00B71BEE"/>
    <w:rsid w:val="00B720B7"/>
    <w:rsid w:val="00B72B6A"/>
    <w:rsid w:val="00B77333"/>
    <w:rsid w:val="00B82F9E"/>
    <w:rsid w:val="00B837AC"/>
    <w:rsid w:val="00B83E58"/>
    <w:rsid w:val="00B85D77"/>
    <w:rsid w:val="00B92494"/>
    <w:rsid w:val="00B95AAE"/>
    <w:rsid w:val="00B95CC5"/>
    <w:rsid w:val="00B96CEF"/>
    <w:rsid w:val="00BA1D9E"/>
    <w:rsid w:val="00BA21F1"/>
    <w:rsid w:val="00BA6AD7"/>
    <w:rsid w:val="00BB0634"/>
    <w:rsid w:val="00BB274A"/>
    <w:rsid w:val="00BB3ED1"/>
    <w:rsid w:val="00BC4256"/>
    <w:rsid w:val="00BC7FFA"/>
    <w:rsid w:val="00BD3632"/>
    <w:rsid w:val="00BD3CF0"/>
    <w:rsid w:val="00BD5670"/>
    <w:rsid w:val="00BD5A9B"/>
    <w:rsid w:val="00BD6B09"/>
    <w:rsid w:val="00BE6591"/>
    <w:rsid w:val="00BF04E0"/>
    <w:rsid w:val="00BF1F35"/>
    <w:rsid w:val="00C028ED"/>
    <w:rsid w:val="00C02E68"/>
    <w:rsid w:val="00C11662"/>
    <w:rsid w:val="00C13D65"/>
    <w:rsid w:val="00C1778F"/>
    <w:rsid w:val="00C20CEC"/>
    <w:rsid w:val="00C20F9C"/>
    <w:rsid w:val="00C24827"/>
    <w:rsid w:val="00C26CB0"/>
    <w:rsid w:val="00C31CB2"/>
    <w:rsid w:val="00C321D2"/>
    <w:rsid w:val="00C3337E"/>
    <w:rsid w:val="00C3524B"/>
    <w:rsid w:val="00C35767"/>
    <w:rsid w:val="00C35AE4"/>
    <w:rsid w:val="00C403F5"/>
    <w:rsid w:val="00C4269E"/>
    <w:rsid w:val="00C4676C"/>
    <w:rsid w:val="00C53B58"/>
    <w:rsid w:val="00C54213"/>
    <w:rsid w:val="00C62410"/>
    <w:rsid w:val="00C70EA2"/>
    <w:rsid w:val="00C73130"/>
    <w:rsid w:val="00C77ED1"/>
    <w:rsid w:val="00C834D0"/>
    <w:rsid w:val="00C85375"/>
    <w:rsid w:val="00C8618E"/>
    <w:rsid w:val="00C902CD"/>
    <w:rsid w:val="00C90E0F"/>
    <w:rsid w:val="00C91B24"/>
    <w:rsid w:val="00C96879"/>
    <w:rsid w:val="00CA0588"/>
    <w:rsid w:val="00CA10A3"/>
    <w:rsid w:val="00CB1DE3"/>
    <w:rsid w:val="00CB4280"/>
    <w:rsid w:val="00CB5254"/>
    <w:rsid w:val="00CB791D"/>
    <w:rsid w:val="00CC6035"/>
    <w:rsid w:val="00CC6B36"/>
    <w:rsid w:val="00CC6E46"/>
    <w:rsid w:val="00CC701B"/>
    <w:rsid w:val="00CC7F8A"/>
    <w:rsid w:val="00CD257B"/>
    <w:rsid w:val="00CE1C3A"/>
    <w:rsid w:val="00CE2707"/>
    <w:rsid w:val="00CF0396"/>
    <w:rsid w:val="00CF45ED"/>
    <w:rsid w:val="00CF54F1"/>
    <w:rsid w:val="00CF6469"/>
    <w:rsid w:val="00D01531"/>
    <w:rsid w:val="00D03DAD"/>
    <w:rsid w:val="00D061E1"/>
    <w:rsid w:val="00D065F9"/>
    <w:rsid w:val="00D13C12"/>
    <w:rsid w:val="00D13EB6"/>
    <w:rsid w:val="00D203F4"/>
    <w:rsid w:val="00D33C47"/>
    <w:rsid w:val="00D51294"/>
    <w:rsid w:val="00D51607"/>
    <w:rsid w:val="00D52733"/>
    <w:rsid w:val="00D5332A"/>
    <w:rsid w:val="00D556D9"/>
    <w:rsid w:val="00D56E14"/>
    <w:rsid w:val="00D61A7A"/>
    <w:rsid w:val="00D62162"/>
    <w:rsid w:val="00D65141"/>
    <w:rsid w:val="00D6720C"/>
    <w:rsid w:val="00D73337"/>
    <w:rsid w:val="00D778EC"/>
    <w:rsid w:val="00D77C2F"/>
    <w:rsid w:val="00D82D25"/>
    <w:rsid w:val="00D84182"/>
    <w:rsid w:val="00D86B66"/>
    <w:rsid w:val="00D8751D"/>
    <w:rsid w:val="00D905FD"/>
    <w:rsid w:val="00D90E3A"/>
    <w:rsid w:val="00D97DA4"/>
    <w:rsid w:val="00DA7C55"/>
    <w:rsid w:val="00DB34CE"/>
    <w:rsid w:val="00DC1250"/>
    <w:rsid w:val="00DD1F28"/>
    <w:rsid w:val="00DD4834"/>
    <w:rsid w:val="00DE03A9"/>
    <w:rsid w:val="00DE03DB"/>
    <w:rsid w:val="00DE2E32"/>
    <w:rsid w:val="00DE72B4"/>
    <w:rsid w:val="00DF53C0"/>
    <w:rsid w:val="00DF59BB"/>
    <w:rsid w:val="00DF5F18"/>
    <w:rsid w:val="00E00ADE"/>
    <w:rsid w:val="00E0268B"/>
    <w:rsid w:val="00E02F49"/>
    <w:rsid w:val="00E03D33"/>
    <w:rsid w:val="00E03F4C"/>
    <w:rsid w:val="00E07721"/>
    <w:rsid w:val="00E25760"/>
    <w:rsid w:val="00E25955"/>
    <w:rsid w:val="00E30188"/>
    <w:rsid w:val="00E32C06"/>
    <w:rsid w:val="00E35AA7"/>
    <w:rsid w:val="00E35DD6"/>
    <w:rsid w:val="00E35DF0"/>
    <w:rsid w:val="00E43CDD"/>
    <w:rsid w:val="00E52AA2"/>
    <w:rsid w:val="00E53131"/>
    <w:rsid w:val="00E54F24"/>
    <w:rsid w:val="00E601F5"/>
    <w:rsid w:val="00E6303E"/>
    <w:rsid w:val="00E6492B"/>
    <w:rsid w:val="00E73CD2"/>
    <w:rsid w:val="00E77C31"/>
    <w:rsid w:val="00E80457"/>
    <w:rsid w:val="00E81167"/>
    <w:rsid w:val="00E81A06"/>
    <w:rsid w:val="00E83B6A"/>
    <w:rsid w:val="00E85528"/>
    <w:rsid w:val="00E93720"/>
    <w:rsid w:val="00E944C4"/>
    <w:rsid w:val="00E97E6B"/>
    <w:rsid w:val="00EA1976"/>
    <w:rsid w:val="00EB136C"/>
    <w:rsid w:val="00EB6C74"/>
    <w:rsid w:val="00EC1728"/>
    <w:rsid w:val="00EC2F9C"/>
    <w:rsid w:val="00EC3B5F"/>
    <w:rsid w:val="00EC4B5B"/>
    <w:rsid w:val="00ED3221"/>
    <w:rsid w:val="00ED5275"/>
    <w:rsid w:val="00EE1BDC"/>
    <w:rsid w:val="00EE4892"/>
    <w:rsid w:val="00EE48DE"/>
    <w:rsid w:val="00EE5270"/>
    <w:rsid w:val="00EE6C63"/>
    <w:rsid w:val="00EF7925"/>
    <w:rsid w:val="00F02230"/>
    <w:rsid w:val="00F029EE"/>
    <w:rsid w:val="00F0460F"/>
    <w:rsid w:val="00F0590E"/>
    <w:rsid w:val="00F16FFA"/>
    <w:rsid w:val="00F23049"/>
    <w:rsid w:val="00F244F3"/>
    <w:rsid w:val="00F26A81"/>
    <w:rsid w:val="00F31C72"/>
    <w:rsid w:val="00F324EF"/>
    <w:rsid w:val="00F43932"/>
    <w:rsid w:val="00F50671"/>
    <w:rsid w:val="00F5594E"/>
    <w:rsid w:val="00F644DB"/>
    <w:rsid w:val="00F73402"/>
    <w:rsid w:val="00F73F36"/>
    <w:rsid w:val="00F83340"/>
    <w:rsid w:val="00F86AAC"/>
    <w:rsid w:val="00F95423"/>
    <w:rsid w:val="00FA39FC"/>
    <w:rsid w:val="00FA3CED"/>
    <w:rsid w:val="00FA3E29"/>
    <w:rsid w:val="00FA5136"/>
    <w:rsid w:val="00FA6971"/>
    <w:rsid w:val="00FB27D2"/>
    <w:rsid w:val="00FC5983"/>
    <w:rsid w:val="00FC6E49"/>
    <w:rsid w:val="00FC7406"/>
    <w:rsid w:val="00FD0803"/>
    <w:rsid w:val="00FD64D7"/>
    <w:rsid w:val="00FD715D"/>
    <w:rsid w:val="00FD7BA7"/>
    <w:rsid w:val="00FE57E7"/>
    <w:rsid w:val="00FF0127"/>
    <w:rsid w:val="00FF08F7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EAC6F5"/>
  <w15:docId w15:val="{067A772F-50E2-4EA1-9648-CA9E42F5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5FE1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4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E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745FE1"/>
    <w:pPr>
      <w:pageBreakBefore/>
      <w:spacing w:before="720"/>
      <w:outlineLvl w:val="0"/>
    </w:pPr>
    <w:rPr>
      <w:rFonts w:ascii="Arial Black" w:hAnsi="Arial Black"/>
      <w:kern w:val="28"/>
      <w:sz w:val="48"/>
    </w:rPr>
  </w:style>
  <w:style w:type="paragraph" w:customStyle="1" w:styleId="Bullet1">
    <w:name w:val="Bullet 1"/>
    <w:basedOn w:val="Normal"/>
    <w:link w:val="Bullet1Char"/>
    <w:qFormat/>
    <w:rsid w:val="00745FE1"/>
    <w:pPr>
      <w:numPr>
        <w:numId w:val="1"/>
      </w:numPr>
      <w:tabs>
        <w:tab w:val="clear" w:pos="864"/>
      </w:tabs>
      <w:spacing w:before="120" w:line="300" w:lineRule="exact"/>
      <w:ind w:left="720" w:hanging="360"/>
    </w:pPr>
    <w:rPr>
      <w:rFonts w:ascii="Verdana" w:hAnsi="Verdana"/>
      <w:sz w:val="20"/>
    </w:rPr>
  </w:style>
  <w:style w:type="paragraph" w:customStyle="1" w:styleId="Bullet2">
    <w:name w:val="Bullet 2"/>
    <w:basedOn w:val="Bullet1"/>
    <w:qFormat/>
    <w:rsid w:val="00745FE1"/>
    <w:pPr>
      <w:numPr>
        <w:numId w:val="2"/>
      </w:numPr>
      <w:tabs>
        <w:tab w:val="clear" w:pos="720"/>
        <w:tab w:val="num" w:pos="360"/>
      </w:tabs>
      <w:ind w:left="1080" w:hanging="504"/>
    </w:pPr>
  </w:style>
  <w:style w:type="paragraph" w:styleId="Footer">
    <w:name w:val="footer"/>
    <w:basedOn w:val="Normal"/>
    <w:link w:val="FooterChar"/>
    <w:uiPriority w:val="99"/>
    <w:rsid w:val="00745FE1"/>
    <w:pPr>
      <w:tabs>
        <w:tab w:val="center" w:pos="4320"/>
        <w:tab w:val="right" w:pos="8640"/>
      </w:tabs>
      <w:spacing w:before="120"/>
      <w:jc w:val="right"/>
    </w:pPr>
    <w:rPr>
      <w:rFonts w:ascii="Arial" w:hAnsi="Arial"/>
      <w:b/>
    </w:rPr>
  </w:style>
  <w:style w:type="character" w:customStyle="1" w:styleId="FooterChar">
    <w:name w:val="Footer Char"/>
    <w:basedOn w:val="DefaultParagraphFont"/>
    <w:link w:val="Footer"/>
    <w:uiPriority w:val="99"/>
    <w:rsid w:val="00745FE1"/>
    <w:rPr>
      <w:rFonts w:ascii="Arial" w:eastAsia="Times New Roman" w:hAnsi="Arial" w:cs="Times New Roman"/>
      <w:b/>
      <w:sz w:val="24"/>
      <w:szCs w:val="20"/>
    </w:rPr>
  </w:style>
  <w:style w:type="paragraph" w:customStyle="1" w:styleId="paragraph">
    <w:name w:val="paragraph"/>
    <w:basedOn w:val="Normal"/>
    <w:link w:val="paragraphChar"/>
    <w:qFormat/>
    <w:rsid w:val="00745FE1"/>
    <w:pPr>
      <w:spacing w:before="200" w:line="320" w:lineRule="exact"/>
    </w:pPr>
    <w:rPr>
      <w:rFonts w:ascii="Verdana" w:hAnsi="Verdana"/>
      <w:sz w:val="20"/>
    </w:rPr>
  </w:style>
  <w:style w:type="paragraph" w:customStyle="1" w:styleId="tabfignote">
    <w:name w:val="tab/fig note"/>
    <w:basedOn w:val="Normal"/>
    <w:link w:val="tabfignoteChar"/>
    <w:qFormat/>
    <w:rsid w:val="00745FE1"/>
    <w:pPr>
      <w:keepLines/>
      <w:spacing w:before="120"/>
    </w:pPr>
    <w:rPr>
      <w:rFonts w:ascii="Verdana" w:hAnsi="Verdana"/>
      <w:sz w:val="16"/>
    </w:rPr>
  </w:style>
  <w:style w:type="paragraph" w:customStyle="1" w:styleId="Tableheadings">
    <w:name w:val="Table headings"/>
    <w:basedOn w:val="Normal"/>
    <w:rsid w:val="00745FE1"/>
    <w:pPr>
      <w:keepNext/>
      <w:spacing w:before="160" w:line="320" w:lineRule="exact"/>
    </w:pPr>
    <w:rPr>
      <w:rFonts w:ascii="Verdana" w:hAnsi="Verdana"/>
      <w:b/>
      <w:sz w:val="18"/>
    </w:rPr>
  </w:style>
  <w:style w:type="paragraph" w:customStyle="1" w:styleId="Tabletext">
    <w:name w:val="Table text"/>
    <w:basedOn w:val="Normal"/>
    <w:link w:val="TabletextChar"/>
    <w:qFormat/>
    <w:rsid w:val="00745FE1"/>
    <w:pPr>
      <w:spacing w:before="40" w:after="40"/>
    </w:pPr>
    <w:rPr>
      <w:rFonts w:ascii="Verdana" w:hAnsi="Verdana"/>
      <w:sz w:val="18"/>
    </w:rPr>
  </w:style>
  <w:style w:type="character" w:customStyle="1" w:styleId="TabletextChar">
    <w:name w:val="Table text Char"/>
    <w:basedOn w:val="DefaultParagraphFont"/>
    <w:link w:val="Tabletext"/>
    <w:locked/>
    <w:rsid w:val="00745FE1"/>
    <w:rPr>
      <w:rFonts w:ascii="Verdana" w:eastAsia="Times New Roman" w:hAnsi="Verdana" w:cs="Times New Roman"/>
      <w:sz w:val="18"/>
      <w:szCs w:val="20"/>
    </w:rPr>
  </w:style>
  <w:style w:type="paragraph" w:customStyle="1" w:styleId="TabletitleA">
    <w:name w:val="Table title A"/>
    <w:rsid w:val="00745FE1"/>
    <w:pPr>
      <w:keepNext/>
      <w:numPr>
        <w:numId w:val="3"/>
      </w:numPr>
      <w:spacing w:before="240" w:after="120" w:line="240" w:lineRule="atLeast"/>
      <w:ind w:left="1440" w:hanging="1440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paragraphChar">
    <w:name w:val="paragraph Char"/>
    <w:link w:val="paragraph"/>
    <w:rsid w:val="00745FE1"/>
    <w:rPr>
      <w:rFonts w:ascii="Verdana" w:eastAsia="Times New Roman" w:hAnsi="Verdana" w:cs="Times New Roman"/>
      <w:sz w:val="20"/>
      <w:szCs w:val="20"/>
    </w:rPr>
  </w:style>
  <w:style w:type="character" w:customStyle="1" w:styleId="Bullet1Char">
    <w:name w:val="Bullet 1 Char"/>
    <w:link w:val="Bullet1"/>
    <w:rsid w:val="00745FE1"/>
    <w:rPr>
      <w:rFonts w:ascii="Verdana" w:eastAsia="Times New Roman" w:hAnsi="Verdana" w:cs="Times New Roman"/>
      <w:sz w:val="20"/>
      <w:szCs w:val="20"/>
    </w:rPr>
  </w:style>
  <w:style w:type="character" w:customStyle="1" w:styleId="tabfignoteChar">
    <w:name w:val="tab/fig note Char"/>
    <w:link w:val="tabfignote"/>
    <w:rsid w:val="00745FE1"/>
    <w:rPr>
      <w:rFonts w:ascii="Verdana" w:eastAsia="Times New Roman" w:hAnsi="Verdana" w:cs="Times New Roman"/>
      <w:sz w:val="16"/>
      <w:szCs w:val="20"/>
    </w:rPr>
  </w:style>
  <w:style w:type="paragraph" w:customStyle="1" w:styleId="TabletitleB">
    <w:name w:val="Table title B"/>
    <w:rsid w:val="00E83B6A"/>
    <w:pPr>
      <w:keepNext/>
      <w:numPr>
        <w:numId w:val="4"/>
      </w:numPr>
      <w:spacing w:before="240" w:after="120" w:line="240" w:lineRule="atLeast"/>
      <w:ind w:left="1440" w:hanging="144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7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6A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indented">
    <w:name w:val="Table text indented"/>
    <w:basedOn w:val="Tabletext"/>
    <w:rsid w:val="00A5776A"/>
    <w:pPr>
      <w:spacing w:after="20"/>
      <w:ind w:left="180"/>
    </w:pPr>
  </w:style>
  <w:style w:type="paragraph" w:customStyle="1" w:styleId="TableTitle">
    <w:name w:val="Table Title"/>
    <w:basedOn w:val="Normal"/>
    <w:link w:val="TableTitleChar"/>
    <w:rsid w:val="00D5332A"/>
    <w:pPr>
      <w:keepNext/>
      <w:keepLines/>
      <w:numPr>
        <w:numId w:val="5"/>
      </w:numPr>
      <w:spacing w:before="240" w:after="120"/>
    </w:pPr>
    <w:rPr>
      <w:rFonts w:ascii="Arial" w:hAnsi="Arial"/>
      <w:b/>
    </w:rPr>
  </w:style>
  <w:style w:type="character" w:customStyle="1" w:styleId="TableTitleChar">
    <w:name w:val="Table Title Char"/>
    <w:basedOn w:val="DefaultParagraphFont"/>
    <w:link w:val="TableTitle"/>
    <w:locked/>
    <w:rsid w:val="00D5332A"/>
    <w:rPr>
      <w:rFonts w:ascii="Arial" w:eastAsia="Times New Roman" w:hAnsi="Arial" w:cs="Times New Roman"/>
      <w:b/>
      <w:sz w:val="24"/>
      <w:szCs w:val="20"/>
    </w:rPr>
  </w:style>
  <w:style w:type="table" w:styleId="LightShading">
    <w:name w:val="Light Shading"/>
    <w:basedOn w:val="TableNormal"/>
    <w:uiPriority w:val="60"/>
    <w:rsid w:val="007D62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D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2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C35AE4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PlainTable11">
    <w:name w:val="Plain Table 11"/>
    <w:basedOn w:val="TableNormal"/>
    <w:uiPriority w:val="41"/>
    <w:rsid w:val="00C35A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50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1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DC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D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D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CB"/>
    <w:rPr>
      <w:rFonts w:ascii="Segoe UI" w:eastAsia="Times New Roman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F86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3E182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TableTitleChar"/>
    <w:link w:val="EndNoteBibliographyTitle"/>
    <w:rsid w:val="003E182F"/>
    <w:rPr>
      <w:rFonts w:ascii="Times New Roman" w:eastAsia="Times New Roman" w:hAnsi="Times New Roman" w:cs="Times New Roman"/>
      <w:b w:val="0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3E182F"/>
    <w:pPr>
      <w:jc w:val="both"/>
    </w:pPr>
    <w:rPr>
      <w:noProof/>
    </w:rPr>
  </w:style>
  <w:style w:type="character" w:customStyle="1" w:styleId="EndNoteBibliographyChar">
    <w:name w:val="EndNote Bibliography Char"/>
    <w:basedOn w:val="TableTitleChar"/>
    <w:link w:val="EndNoteBibliography"/>
    <w:rsid w:val="003E182F"/>
    <w:rPr>
      <w:rFonts w:ascii="Times New Roman" w:eastAsia="Times New Roman" w:hAnsi="Times New Roman" w:cs="Times New Roman"/>
      <w:b w:val="0"/>
      <w:noProof/>
      <w:sz w:val="24"/>
      <w:szCs w:val="20"/>
    </w:rPr>
  </w:style>
  <w:style w:type="table" w:customStyle="1" w:styleId="PlainTable12">
    <w:name w:val="Plain Table 12"/>
    <w:basedOn w:val="TableNormal"/>
    <w:uiPriority w:val="41"/>
    <w:rsid w:val="004E39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E65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ListTable31">
    <w:name w:val="List Table 31"/>
    <w:basedOn w:val="TableNormal"/>
    <w:uiPriority w:val="48"/>
    <w:rsid w:val="003619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3619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3619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F0E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F7813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unhideWhenUsed/>
    <w:rsid w:val="007C56E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57A5D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lainTable211">
    <w:name w:val="Plain Table 211"/>
    <w:basedOn w:val="TableNormal"/>
    <w:uiPriority w:val="42"/>
    <w:rsid w:val="00857A5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857A5D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86B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C6035"/>
    <w:pPr>
      <w:spacing w:after="0" w:line="240" w:lineRule="auto"/>
    </w:pPr>
    <w:rPr>
      <w:rFonts w:ascii="Cambria" w:eastAsia="MS ??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6B36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B5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6BA2-63D5-42D6-8F09-E44C6CBD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Chatterjee, Satabdi</dc:creator>
  <cp:lastModifiedBy>GS, RAMAKRISHNA</cp:lastModifiedBy>
  <cp:revision>75</cp:revision>
  <cp:lastPrinted>2017-01-11T08:29:00Z</cp:lastPrinted>
  <dcterms:created xsi:type="dcterms:W3CDTF">2017-11-16T10:23:00Z</dcterms:created>
  <dcterms:modified xsi:type="dcterms:W3CDTF">2018-07-26T08:56:00Z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Ref">
    <vt:lpwstr>https://api.informationprotection.azure.com/api/f35a6974-607f-47d4-82d7-ff31d7dc53a5</vt:lpwstr>
  </property>
  <property fmtid="{D5CDD505-2E9C-101B-9397-08002B2CF9AE}" pid="5" name="MSIP_Label_4929bff8-5b33-42aa-95d2-28f72e792cb0_Owner">
    <vt:lpwstr>GSRA1@novartis.net</vt:lpwstr>
  </property>
  <property fmtid="{D5CDD505-2E9C-101B-9397-08002B2CF9AE}" pid="6" name="MSIP_Label_4929bff8-5b33-42aa-95d2-28f72e792cb0_SetDate">
    <vt:lpwstr>2018-07-20T15:04:03.1510557+05:30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Application">
    <vt:lpwstr>Microsoft Azure Information Protection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