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2F" w:rsidRPr="002A64F9" w:rsidRDefault="00F65B2F" w:rsidP="00E140A6">
      <w:pPr>
        <w:tabs>
          <w:tab w:val="left" w:pos="13590"/>
        </w:tabs>
        <w:spacing w:line="360" w:lineRule="auto"/>
        <w:rPr>
          <w:b/>
          <w:sz w:val="28"/>
          <w:szCs w:val="28"/>
        </w:rPr>
      </w:pPr>
      <w:r w:rsidRPr="002A64F9">
        <w:rPr>
          <w:b/>
          <w:sz w:val="28"/>
          <w:szCs w:val="28"/>
        </w:rPr>
        <w:t>Compositional patterns of overstorey and understorey woody communities in a forest-savanna boundary in Ghana</w:t>
      </w:r>
    </w:p>
    <w:p w:rsidR="00F65B2F" w:rsidRDefault="00F65B2F" w:rsidP="00E140A6">
      <w:pPr>
        <w:tabs>
          <w:tab w:val="left" w:pos="13590"/>
        </w:tabs>
        <w:spacing w:line="240" w:lineRule="auto"/>
        <w:rPr>
          <w:sz w:val="28"/>
          <w:szCs w:val="28"/>
        </w:rPr>
      </w:pPr>
    </w:p>
    <w:p w:rsidR="00F65B2F" w:rsidRDefault="00F65B2F" w:rsidP="00E140A6">
      <w:pPr>
        <w:tabs>
          <w:tab w:val="left" w:pos="13590"/>
        </w:tabs>
        <w:spacing w:line="360" w:lineRule="auto"/>
      </w:pPr>
      <w:r w:rsidRPr="002D26D3">
        <w:rPr>
          <w:sz w:val="28"/>
          <w:szCs w:val="28"/>
          <w:lang w:val="nl-NL"/>
        </w:rPr>
        <w:t>Mohammed Armani</w:t>
      </w:r>
      <w:r w:rsidRPr="002D26D3">
        <w:rPr>
          <w:sz w:val="28"/>
          <w:szCs w:val="28"/>
          <w:vertAlign w:val="superscript"/>
          <w:lang w:val="nl-NL"/>
        </w:rPr>
        <w:t>*</w:t>
      </w:r>
      <w:r w:rsidRPr="002D26D3">
        <w:rPr>
          <w:i/>
          <w:sz w:val="28"/>
          <w:szCs w:val="28"/>
          <w:vertAlign w:val="superscript"/>
          <w:lang w:val="nl-NL"/>
        </w:rPr>
        <w:t>1, 2</w:t>
      </w:r>
      <w:r w:rsidRPr="002D26D3">
        <w:rPr>
          <w:sz w:val="28"/>
          <w:szCs w:val="28"/>
          <w:lang w:val="nl-NL"/>
        </w:rPr>
        <w:t xml:space="preserve">, Frank van Langevelde </w:t>
      </w:r>
      <w:r w:rsidR="00E140A6" w:rsidRPr="002D26D3">
        <w:rPr>
          <w:i/>
          <w:sz w:val="28"/>
          <w:szCs w:val="28"/>
          <w:vertAlign w:val="superscript"/>
          <w:lang w:val="nl-NL"/>
        </w:rPr>
        <w:t>3</w:t>
      </w:r>
      <w:r w:rsidR="00E140A6">
        <w:rPr>
          <w:i/>
          <w:sz w:val="28"/>
          <w:szCs w:val="28"/>
          <w:vertAlign w:val="superscript"/>
          <w:lang w:val="nl-NL"/>
        </w:rPr>
        <w:t>,5</w:t>
      </w:r>
      <w:r w:rsidRPr="002D26D3">
        <w:rPr>
          <w:sz w:val="28"/>
          <w:szCs w:val="28"/>
          <w:lang w:val="nl-NL"/>
        </w:rPr>
        <w:t>, Kyle Warwick Tomlinson</w:t>
      </w:r>
      <w:r w:rsidRPr="002D26D3">
        <w:rPr>
          <w:sz w:val="28"/>
          <w:szCs w:val="28"/>
          <w:vertAlign w:val="superscript"/>
          <w:lang w:val="nl-NL"/>
        </w:rPr>
        <w:t xml:space="preserve"> </w:t>
      </w:r>
      <w:r w:rsidRPr="002D26D3">
        <w:rPr>
          <w:i/>
          <w:sz w:val="28"/>
          <w:szCs w:val="28"/>
          <w:vertAlign w:val="superscript"/>
          <w:lang w:val="nl-NL"/>
        </w:rPr>
        <w:t>1</w:t>
      </w:r>
      <w:r w:rsidRPr="002D26D3">
        <w:rPr>
          <w:sz w:val="28"/>
          <w:szCs w:val="28"/>
          <w:lang w:val="nl-NL"/>
        </w:rPr>
        <w:t>, Stephen Adu-Bredu</w:t>
      </w:r>
      <w:r w:rsidRPr="002D26D3">
        <w:rPr>
          <w:sz w:val="28"/>
          <w:szCs w:val="28"/>
          <w:vertAlign w:val="superscript"/>
          <w:lang w:val="nl-NL"/>
        </w:rPr>
        <w:t xml:space="preserve"> </w:t>
      </w:r>
      <w:r w:rsidRPr="002D26D3">
        <w:rPr>
          <w:i/>
          <w:sz w:val="28"/>
          <w:szCs w:val="28"/>
          <w:vertAlign w:val="superscript"/>
          <w:lang w:val="nl-NL"/>
        </w:rPr>
        <w:t>4</w:t>
      </w:r>
      <w:r w:rsidRPr="002D26D3">
        <w:rPr>
          <w:sz w:val="28"/>
          <w:szCs w:val="28"/>
          <w:lang w:val="nl-NL"/>
        </w:rPr>
        <w:t xml:space="preserve">, Gloria Djagbletey </w:t>
      </w:r>
      <w:r w:rsidRPr="002D26D3">
        <w:rPr>
          <w:i/>
          <w:sz w:val="28"/>
          <w:szCs w:val="28"/>
          <w:vertAlign w:val="superscript"/>
          <w:lang w:val="nl-NL"/>
        </w:rPr>
        <w:t>4</w:t>
      </w:r>
      <w:r w:rsidRPr="002D26D3">
        <w:rPr>
          <w:sz w:val="28"/>
          <w:szCs w:val="28"/>
          <w:lang w:val="nl-NL"/>
        </w:rPr>
        <w:t xml:space="preserve">,  Elmar M. Veenendaal </w:t>
      </w:r>
      <w:r w:rsidRPr="002D26D3">
        <w:rPr>
          <w:i/>
          <w:sz w:val="28"/>
          <w:szCs w:val="28"/>
          <w:vertAlign w:val="superscript"/>
          <w:lang w:val="nl-NL"/>
        </w:rPr>
        <w:t>2</w:t>
      </w:r>
    </w:p>
    <w:p w:rsidR="00F65B2F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  <w:rPr>
          <w:b/>
        </w:rPr>
      </w:pPr>
      <w:r w:rsidRPr="00E509CD">
        <w:rPr>
          <w:b/>
        </w:rPr>
        <w:t>Supplementary Information (SI)</w:t>
      </w:r>
    </w:p>
    <w:p w:rsidR="00F65B2F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</w:pPr>
      <w:r>
        <w:rPr>
          <w:b/>
        </w:rPr>
        <w:t xml:space="preserve">Fig. </w:t>
      </w:r>
      <w:r w:rsidRPr="00E509CD">
        <w:rPr>
          <w:b/>
        </w:rPr>
        <w:t>SI. 1:</w:t>
      </w:r>
      <w:r w:rsidRPr="00E509CD">
        <w:t xml:space="preserve"> Cluster dendrogram of study plots in Kogyae Strict Nature Reserve</w:t>
      </w:r>
    </w:p>
    <w:p w:rsidR="00630F13" w:rsidRDefault="009B5030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</w:pPr>
      <w:r>
        <w:rPr>
          <w:b/>
        </w:rPr>
        <w:t>Fig. S1. 2</w:t>
      </w:r>
      <w:r w:rsidR="00630F13" w:rsidRPr="009B5030">
        <w:rPr>
          <w:b/>
        </w:rPr>
        <w:t>:</w:t>
      </w:r>
      <w:r w:rsidR="00630F13">
        <w:t xml:space="preserve"> Vegetation map of KNSR</w:t>
      </w:r>
      <w:r w:rsidR="00FB55BB">
        <w:t xml:space="preserve"> </w:t>
      </w:r>
    </w:p>
    <w:p w:rsidR="002A1A40" w:rsidRDefault="002A1A40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</w:pPr>
      <w:r>
        <w:rPr>
          <w:b/>
        </w:rPr>
        <w:t>Fig. S1. 3</w:t>
      </w:r>
      <w:r w:rsidRPr="009B5030">
        <w:rPr>
          <w:b/>
        </w:rPr>
        <w:t>:</w:t>
      </w:r>
      <w:r>
        <w:t xml:space="preserve"> N</w:t>
      </w:r>
      <w:r w:rsidRPr="00491591">
        <w:t>on-metric multi-</w:t>
      </w:r>
      <w:r w:rsidRPr="00391E8C">
        <w:t>dimensional scaling (NMDS)</w:t>
      </w:r>
      <w:r w:rsidR="00953859">
        <w:t xml:space="preserve"> ordination of overstorey</w:t>
      </w:r>
      <w:r>
        <w:t xml:space="preserve"> and understorey communities of 24 plots with significant (p</w:t>
      </w:r>
      <w:r w:rsidR="00953859">
        <w:t xml:space="preserve"> </w:t>
      </w:r>
      <w:r>
        <w:t>&lt;</w:t>
      </w:r>
      <w:r w:rsidR="00953859">
        <w:t xml:space="preserve"> </w:t>
      </w:r>
      <w:r>
        <w:t>0.05) environmental variables.</w:t>
      </w:r>
    </w:p>
    <w:p w:rsidR="000C2588" w:rsidRPr="00543F25" w:rsidRDefault="000C2588" w:rsidP="00E140A6">
      <w:pPr>
        <w:pStyle w:val="Tabletitle"/>
        <w:tabs>
          <w:tab w:val="left" w:pos="13590"/>
        </w:tabs>
      </w:pPr>
      <w:r>
        <w:t xml:space="preserve">Table SI. </w:t>
      </w:r>
      <w:r w:rsidR="00532A25">
        <w:t>1</w:t>
      </w:r>
      <w:r>
        <w:t>.</w:t>
      </w:r>
      <w:r w:rsidRPr="00543F25">
        <w:t xml:space="preserve"> Pairwise PERMANOVA testing for differences in s</w:t>
      </w:r>
      <w:r w:rsidR="00953859">
        <w:t>pecies composition between overstorey</w:t>
      </w:r>
      <w:r w:rsidRPr="00543F25">
        <w:t xml:space="preserve"> and understorey strata in forest and savanna vegetations. Significant differences are represented as P &lt;</w:t>
      </w:r>
      <w:r w:rsidR="00953859">
        <w:t xml:space="preserve"> </w:t>
      </w:r>
      <w:r w:rsidRPr="00543F25">
        <w:t>0.001 = ***, &lt;</w:t>
      </w:r>
      <w:r w:rsidR="00953859">
        <w:t xml:space="preserve"> </w:t>
      </w:r>
      <w:r w:rsidRPr="00543F25">
        <w:t>0.01= **, &lt;</w:t>
      </w:r>
      <w:r w:rsidR="00953859">
        <w:t xml:space="preserve"> </w:t>
      </w:r>
      <w:r w:rsidRPr="00543F25">
        <w:t>0.05</w:t>
      </w:r>
      <w:r w:rsidR="00953859">
        <w:t xml:space="preserve"> </w:t>
      </w:r>
      <w:r w:rsidRPr="00543F25">
        <w:t>=</w:t>
      </w:r>
      <w:r w:rsidR="00953859">
        <w:t xml:space="preserve"> </w:t>
      </w:r>
      <w:r w:rsidRPr="00543F25">
        <w:t>*</w:t>
      </w:r>
      <w:r>
        <w:t>.</w:t>
      </w:r>
    </w:p>
    <w:p w:rsidR="00F65B2F" w:rsidRPr="00E509CD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</w:pPr>
      <w:r>
        <w:rPr>
          <w:b/>
        </w:rPr>
        <w:t xml:space="preserve">Table </w:t>
      </w:r>
      <w:r w:rsidRPr="00E509CD">
        <w:rPr>
          <w:b/>
        </w:rPr>
        <w:t>SI. 2</w:t>
      </w:r>
      <w:r w:rsidRPr="00E509CD">
        <w:t xml:space="preserve">: Comparison of structural attributes between forest and savanna formations in Kogyae Strict Nature Reserve. </w:t>
      </w:r>
    </w:p>
    <w:p w:rsidR="00F65B2F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</w:pPr>
      <w:r>
        <w:rPr>
          <w:b/>
        </w:rPr>
        <w:t xml:space="preserve">Table </w:t>
      </w:r>
      <w:r w:rsidRPr="00E509CD">
        <w:rPr>
          <w:b/>
        </w:rPr>
        <w:t>SI. 3</w:t>
      </w:r>
      <w:r w:rsidRPr="00E05368">
        <w:t xml:space="preserve">: Output of GLMMs (with poisson error distribution) testing for significant differences in abundance of species functional types (i.e. forest, savanna and </w:t>
      </w:r>
      <w:r w:rsidR="00953859">
        <w:t>ubiquitous species) in the overstorey</w:t>
      </w:r>
      <w:r w:rsidRPr="00E05368">
        <w:t xml:space="preserve"> and understorey of forest and savanna vegetation.</w:t>
      </w:r>
    </w:p>
    <w:p w:rsidR="00F65B2F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</w:pPr>
      <w:r>
        <w:rPr>
          <w:b/>
        </w:rPr>
        <w:t>Table SI. 4</w:t>
      </w:r>
      <w:r w:rsidRPr="00E509CD">
        <w:rPr>
          <w:b/>
        </w:rPr>
        <w:t xml:space="preserve">: </w:t>
      </w:r>
      <w:r>
        <w:t>Correlations between soil fertility elements and vegetation structure in the study area. Subscripts 10 and 20 denotes soil mineral concentrations sampled from 0-10</w:t>
      </w:r>
      <w:r w:rsidR="00953859">
        <w:t xml:space="preserve"> </w:t>
      </w:r>
      <w:r>
        <w:t>cm and 10-20</w:t>
      </w:r>
      <w:r w:rsidR="00953859">
        <w:t xml:space="preserve"> </w:t>
      </w:r>
      <w:r>
        <w:t>cm depths respectively.</w:t>
      </w:r>
    </w:p>
    <w:p w:rsidR="00F65B2F" w:rsidRPr="00E509CD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</w:pPr>
      <w:r>
        <w:rPr>
          <w:b/>
        </w:rPr>
        <w:t>Table SI. 5</w:t>
      </w:r>
      <w:r w:rsidRPr="00E509CD">
        <w:rPr>
          <w:b/>
        </w:rPr>
        <w:t xml:space="preserve">: </w:t>
      </w:r>
      <w:r w:rsidRPr="00E509CD">
        <w:t>Species summary across strata and formations</w:t>
      </w:r>
      <w:r w:rsidR="00C1728A">
        <w:t xml:space="preserve"> (Numbers represent count data)</w:t>
      </w:r>
    </w:p>
    <w:p w:rsidR="00F65B2F" w:rsidRPr="00E509CD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/>
      </w:pPr>
    </w:p>
    <w:p w:rsidR="00F65B2F" w:rsidRPr="00E509CD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/>
        <w:rPr>
          <w:b/>
        </w:rPr>
        <w:sectPr w:rsidR="00F65B2F" w:rsidRPr="00E509CD" w:rsidSect="00261D58">
          <w:pgSz w:w="12240" w:h="15840"/>
          <w:pgMar w:top="1166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F65B2F" w:rsidRPr="00E509CD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/>
      </w:pPr>
      <w:bookmarkStart w:id="0" w:name="_GoBack"/>
      <w:r w:rsidRPr="00E509CD">
        <w:rPr>
          <w:noProof/>
          <w:lang w:eastAsia="zh-CN"/>
        </w:rPr>
        <w:lastRenderedPageBreak/>
        <w:drawing>
          <wp:inline distT="0" distB="0" distL="0" distR="0" wp14:anchorId="5AD4F6A9" wp14:editId="3707A1CA">
            <wp:extent cx="4754880" cy="381304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ppen_2_Denclust.tiff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92"/>
                    <a:stretch/>
                  </pic:blipFill>
                  <pic:spPr bwMode="auto">
                    <a:xfrm>
                      <a:off x="0" y="0"/>
                      <a:ext cx="4754880" cy="3813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65B2F" w:rsidRPr="00E509CD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/>
      </w:pPr>
      <w:r>
        <w:rPr>
          <w:b/>
        </w:rPr>
        <w:t xml:space="preserve">Fig. </w:t>
      </w:r>
      <w:r w:rsidRPr="00E509CD">
        <w:rPr>
          <w:b/>
        </w:rPr>
        <w:t>SI. 1:</w:t>
      </w:r>
      <w:r w:rsidRPr="00E509CD">
        <w:t xml:space="preserve"> Cluster dendrogram of study plots in Kogyae Strict Nature Reserve</w:t>
      </w:r>
    </w:p>
    <w:p w:rsidR="00FB55BB" w:rsidRPr="00A37B90" w:rsidRDefault="00F65B2F" w:rsidP="00E140A6">
      <w:pPr>
        <w:widowControl w:val="0"/>
        <w:tabs>
          <w:tab w:val="left" w:pos="13590"/>
        </w:tabs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  <w:r>
        <w:br w:type="page"/>
      </w:r>
    </w:p>
    <w:p w:rsidR="00FB55BB" w:rsidRDefault="00FB55BB" w:rsidP="00E140A6">
      <w:pPr>
        <w:widowControl w:val="0"/>
        <w:tabs>
          <w:tab w:val="left" w:pos="135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408FE">
        <w:rPr>
          <w:rFonts w:ascii="Arial" w:hAnsi="Arial" w:cs="Arial"/>
          <w:noProof/>
          <w:sz w:val="22"/>
          <w:szCs w:val="22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171450</wp:posOffset>
            </wp:positionV>
            <wp:extent cx="5734050" cy="6343650"/>
            <wp:effectExtent l="38100" t="38100" r="38100" b="38100"/>
            <wp:wrapSquare wrapText="bothSides"/>
            <wp:docPr id="1" name="Picture 1" descr="map%204%20kogy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%204%20kogy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4179" r="7932" b="2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43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5BB" w:rsidRDefault="000C2588" w:rsidP="00E140A6">
      <w:pPr>
        <w:widowControl w:val="0"/>
        <w:tabs>
          <w:tab w:val="left" w:pos="13590"/>
        </w:tabs>
        <w:autoSpaceDE w:val="0"/>
        <w:autoSpaceDN w:val="0"/>
        <w:adjustRightInd w:val="0"/>
        <w:jc w:val="both"/>
      </w:pPr>
      <w:r>
        <w:rPr>
          <w:b/>
        </w:rPr>
        <w:t xml:space="preserve">Fig. </w:t>
      </w:r>
      <w:r w:rsidR="0031259F">
        <w:rPr>
          <w:b/>
        </w:rPr>
        <w:t>SI. 2</w:t>
      </w:r>
      <w:r w:rsidRPr="00E509CD">
        <w:rPr>
          <w:b/>
        </w:rPr>
        <w:t>:</w:t>
      </w:r>
      <w:r w:rsidRPr="00E509CD">
        <w:t xml:space="preserve"> </w:t>
      </w:r>
      <w:r w:rsidR="00FB55BB">
        <w:t xml:space="preserve">Vegetation map of KNSR </w:t>
      </w:r>
      <w:r w:rsidR="00FB55BB">
        <w:fldChar w:fldCharType="begin" w:fldLock="1"/>
      </w:r>
      <w:r w:rsidR="00FB55BB">
        <w:instrText>ADDIN CSL_CITATION { "citationItems" : [ { "id" : "ITEM-1", "itemData" : { "author" : [ { "dropping-particle" : "", "family" : "Wildlife Department", "given" : "Ghana", "non-dropping-particle" : "", "parse-names" : false, "suffix" : "" } ], "id" : "ITEM-1", "issued" : { "date-parts" : [ [ "1994" ] ] }, "title" : "Kogyae Strict Nature Reserve Development and Management Plan", "type" : "report" }, "prefix" : "Source:", "suffix" : ": Kogyae Strict Nature Reserve Development and Management Plan", "uris" : [ "http://www.mendeley.com/documents/?uuid=afa44a6d-e654-4151-902c-056046cc0b40" ] } ], "mendeley" : { "formattedCitation" : "(Source: Wildlife Department 1994: Kogyae Strict Nature Reserve Development and Management Plan)", "plainTextFormattedCitation" : "(Source: Wildlife Department 1994: Kogyae Strict Nature Reserve Development and Management Plan)", "previouslyFormattedCitation" : "(Source: Wildlife Department 1994: Kogyae Strict Nature Reserve Development and Management Plan)" }, "properties" : { "noteIndex" : 0 }, "schema" : "https://github.com/citation-style-language/schema/raw/master/csl-citation.json" }</w:instrText>
      </w:r>
      <w:r w:rsidR="00FB55BB">
        <w:fldChar w:fldCharType="separate"/>
      </w:r>
      <w:r w:rsidR="00FB55BB" w:rsidRPr="00FB55BB">
        <w:rPr>
          <w:noProof/>
        </w:rPr>
        <w:t>(Source: Wildlife Department 1994: Kogyae Strict Nature Reserve Development and Management Plan)</w:t>
      </w:r>
      <w:r w:rsidR="00FB55BB">
        <w:fldChar w:fldCharType="end"/>
      </w:r>
    </w:p>
    <w:p w:rsidR="00FB55BB" w:rsidRDefault="00FB55BB" w:rsidP="00E140A6">
      <w:pPr>
        <w:widowControl w:val="0"/>
        <w:tabs>
          <w:tab w:val="left" w:pos="13590"/>
        </w:tabs>
        <w:autoSpaceDE w:val="0"/>
        <w:autoSpaceDN w:val="0"/>
        <w:adjustRightInd w:val="0"/>
        <w:jc w:val="both"/>
      </w:pPr>
    </w:p>
    <w:p w:rsidR="00FB55BB" w:rsidRDefault="00FB55BB" w:rsidP="00E140A6">
      <w:pPr>
        <w:widowControl w:val="0"/>
        <w:tabs>
          <w:tab w:val="left" w:pos="13590"/>
        </w:tabs>
        <w:autoSpaceDE w:val="0"/>
        <w:autoSpaceDN w:val="0"/>
        <w:adjustRightInd w:val="0"/>
        <w:jc w:val="both"/>
      </w:pPr>
    </w:p>
    <w:p w:rsidR="0031259F" w:rsidRDefault="00AF157A" w:rsidP="00E140A6">
      <w:pPr>
        <w:tabs>
          <w:tab w:val="left" w:pos="13590"/>
        </w:tabs>
      </w:pPr>
      <w:r>
        <w:rPr>
          <w:noProof/>
          <w:lang w:eastAsia="zh-CN"/>
        </w:rPr>
        <w:lastRenderedPageBreak/>
        <w:drawing>
          <wp:inline distT="0" distB="0" distL="0" distR="0">
            <wp:extent cx="5943600" cy="3696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DS_envi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5"/>
                    <a:stretch/>
                  </pic:blipFill>
                  <pic:spPr bwMode="auto"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59F" w:rsidRDefault="0031259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</w:pPr>
      <w:r>
        <w:rPr>
          <w:b/>
        </w:rPr>
        <w:t>Fig. S1. 3</w:t>
      </w:r>
      <w:r w:rsidRPr="009B5030">
        <w:rPr>
          <w:b/>
        </w:rPr>
        <w:t>:</w:t>
      </w:r>
      <w:r>
        <w:t xml:space="preserve"> N</w:t>
      </w:r>
      <w:r w:rsidRPr="00491591">
        <w:t>on-metric multi-</w:t>
      </w:r>
      <w:r w:rsidRPr="00391E8C">
        <w:t>dimensional scaling (NMDS)</w:t>
      </w:r>
      <w:r>
        <w:t xml:space="preserve"> ordination of over</w:t>
      </w:r>
      <w:r w:rsidR="00953859">
        <w:t xml:space="preserve">storey </w:t>
      </w:r>
      <w:r>
        <w:t>and understorey communities of 24 plots with significant (p</w:t>
      </w:r>
      <w:r w:rsidR="00953859">
        <w:t xml:space="preserve"> </w:t>
      </w:r>
      <w:r>
        <w:t>&lt;</w:t>
      </w:r>
      <w:r w:rsidR="00953859">
        <w:t xml:space="preserve"> </w:t>
      </w:r>
      <w:r>
        <w:t>0.05) environmental variables.</w:t>
      </w:r>
    </w:p>
    <w:p w:rsidR="0031259F" w:rsidRDefault="0031259F" w:rsidP="00E140A6">
      <w:pPr>
        <w:tabs>
          <w:tab w:val="left" w:pos="13590"/>
        </w:tabs>
      </w:pPr>
    </w:p>
    <w:p w:rsidR="0031259F" w:rsidRDefault="0031259F" w:rsidP="00E140A6">
      <w:pPr>
        <w:tabs>
          <w:tab w:val="left" w:pos="13590"/>
        </w:tabs>
      </w:pPr>
    </w:p>
    <w:p w:rsidR="0031259F" w:rsidRDefault="0031259F" w:rsidP="00E140A6">
      <w:pPr>
        <w:tabs>
          <w:tab w:val="left" w:pos="13590"/>
        </w:tabs>
      </w:pPr>
    </w:p>
    <w:p w:rsidR="0031259F" w:rsidRDefault="0031259F" w:rsidP="00E140A6">
      <w:pPr>
        <w:tabs>
          <w:tab w:val="left" w:pos="13590"/>
        </w:tabs>
      </w:pPr>
    </w:p>
    <w:p w:rsidR="0031259F" w:rsidRDefault="0031259F" w:rsidP="00E140A6">
      <w:pPr>
        <w:tabs>
          <w:tab w:val="left" w:pos="13590"/>
        </w:tabs>
      </w:pPr>
    </w:p>
    <w:p w:rsidR="0031259F" w:rsidRDefault="0031259F" w:rsidP="00E140A6">
      <w:pPr>
        <w:tabs>
          <w:tab w:val="left" w:pos="13590"/>
        </w:tabs>
      </w:pPr>
    </w:p>
    <w:p w:rsidR="0031259F" w:rsidRDefault="0031259F" w:rsidP="00E140A6">
      <w:pPr>
        <w:tabs>
          <w:tab w:val="left" w:pos="13590"/>
        </w:tabs>
      </w:pPr>
    </w:p>
    <w:p w:rsidR="0031259F" w:rsidRDefault="0031259F" w:rsidP="00E140A6">
      <w:pPr>
        <w:tabs>
          <w:tab w:val="left" w:pos="13590"/>
        </w:tabs>
      </w:pPr>
    </w:p>
    <w:p w:rsidR="009D5404" w:rsidRDefault="009D5404" w:rsidP="00E140A6">
      <w:pPr>
        <w:pStyle w:val="Tabletitle"/>
        <w:tabs>
          <w:tab w:val="left" w:pos="13590"/>
        </w:tabs>
      </w:pPr>
      <w:r>
        <w:lastRenderedPageBreak/>
        <w:t>Table SI. 1.</w:t>
      </w:r>
      <w:r w:rsidRPr="00543F25">
        <w:t xml:space="preserve"> Pairwise PERMANOVA testing for differences in species composition between over</w:t>
      </w:r>
      <w:r w:rsidR="00953859">
        <w:t xml:space="preserve">storey </w:t>
      </w:r>
      <w:r w:rsidRPr="00543F25">
        <w:t>and understorey strata in forest and savanna vegetations. Significant differences are represented as P &lt;</w:t>
      </w:r>
      <w:r w:rsidR="00953859">
        <w:t xml:space="preserve"> </w:t>
      </w:r>
      <w:r w:rsidRPr="00543F25">
        <w:t>0.001 = ***, &lt;0.01= **, &lt;</w:t>
      </w:r>
      <w:r w:rsidR="00953859">
        <w:t xml:space="preserve"> </w:t>
      </w:r>
      <w:r w:rsidRPr="00543F25">
        <w:t>0.05=</w:t>
      </w:r>
      <w:r w:rsidR="00953859">
        <w:t xml:space="preserve"> </w:t>
      </w:r>
      <w:r w:rsidRPr="00543F25">
        <w:t>*</w:t>
      </w:r>
      <w:r>
        <w:t>.</w:t>
      </w:r>
    </w:p>
    <w:p w:rsidR="0031259F" w:rsidRDefault="0031259F" w:rsidP="00E140A6">
      <w:pPr>
        <w:tabs>
          <w:tab w:val="left" w:pos="13590"/>
        </w:tabs>
      </w:pPr>
    </w:p>
    <w:tbl>
      <w:tblPr>
        <w:tblStyle w:val="TableGrid"/>
        <w:tblpPr w:leftFromText="180" w:rightFromText="180" w:vertAnchor="text" w:horzAnchor="margin" w:tblpY="302"/>
        <w:tblW w:w="10336" w:type="dxa"/>
        <w:tblLook w:val="04A0" w:firstRow="1" w:lastRow="0" w:firstColumn="1" w:lastColumn="0" w:noHBand="0" w:noVBand="1"/>
      </w:tblPr>
      <w:tblGrid>
        <w:gridCol w:w="2250"/>
        <w:gridCol w:w="2340"/>
        <w:gridCol w:w="1165"/>
        <w:gridCol w:w="1090"/>
        <w:gridCol w:w="720"/>
        <w:gridCol w:w="885"/>
        <w:gridCol w:w="764"/>
        <w:gridCol w:w="1122"/>
      </w:tblGrid>
      <w:tr w:rsidR="0031259F" w:rsidRPr="00364F50" w:rsidTr="0031259F">
        <w:trPr>
          <w:trHeight w:val="216"/>
        </w:trPr>
        <w:tc>
          <w:tcPr>
            <w:tcW w:w="4590" w:type="dxa"/>
            <w:gridSpan w:val="2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line="360" w:lineRule="auto"/>
              <w:rPr>
                <w:b/>
                <w:bCs/>
                <w:color w:val="000000"/>
              </w:rPr>
            </w:pPr>
            <w:r w:rsidRPr="00364F50">
              <w:rPr>
                <w:b/>
                <w:bCs/>
                <w:color w:val="000000"/>
              </w:rPr>
              <w:t>Pairwise comparison</w:t>
            </w:r>
          </w:p>
        </w:tc>
        <w:tc>
          <w:tcPr>
            <w:tcW w:w="116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line="360" w:lineRule="auto"/>
              <w:rPr>
                <w:b/>
                <w:bCs/>
                <w:color w:val="000000"/>
              </w:rPr>
            </w:pPr>
            <w:r w:rsidRPr="00364F50">
              <w:rPr>
                <w:b/>
                <w:bCs/>
                <w:color w:val="000000"/>
              </w:rPr>
              <w:t>Sum Sq.</w:t>
            </w:r>
          </w:p>
        </w:tc>
        <w:tc>
          <w:tcPr>
            <w:tcW w:w="109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line="360" w:lineRule="auto"/>
              <w:rPr>
                <w:b/>
                <w:bCs/>
                <w:color w:val="000000"/>
              </w:rPr>
            </w:pPr>
            <w:r w:rsidRPr="00364F50">
              <w:rPr>
                <w:b/>
                <w:bCs/>
                <w:color w:val="000000"/>
              </w:rPr>
              <w:t>Mean Sum Sq.</w:t>
            </w:r>
          </w:p>
        </w:tc>
        <w:tc>
          <w:tcPr>
            <w:tcW w:w="72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line="360" w:lineRule="auto"/>
              <w:rPr>
                <w:b/>
                <w:bCs/>
                <w:color w:val="000000"/>
              </w:rPr>
            </w:pPr>
            <w:r w:rsidRPr="00364F50">
              <w:rPr>
                <w:b/>
                <w:bCs/>
                <w:color w:val="000000"/>
              </w:rPr>
              <w:t>df</w:t>
            </w:r>
          </w:p>
        </w:tc>
        <w:tc>
          <w:tcPr>
            <w:tcW w:w="88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line="360" w:lineRule="auto"/>
              <w:rPr>
                <w:b/>
                <w:bCs/>
                <w:color w:val="000000"/>
              </w:rPr>
            </w:pPr>
            <w:r w:rsidRPr="00364F50">
              <w:rPr>
                <w:b/>
                <w:bCs/>
                <w:color w:val="000000"/>
              </w:rPr>
              <w:t>F</w:t>
            </w:r>
          </w:p>
        </w:tc>
        <w:tc>
          <w:tcPr>
            <w:tcW w:w="764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line="360" w:lineRule="auto"/>
              <w:rPr>
                <w:b/>
                <w:bCs/>
                <w:color w:val="000000"/>
              </w:rPr>
            </w:pPr>
            <w:r w:rsidRPr="00364F50">
              <w:rPr>
                <w:b/>
                <w:bCs/>
                <w:color w:val="000000"/>
              </w:rPr>
              <w:t>R2</w:t>
            </w:r>
          </w:p>
        </w:tc>
        <w:tc>
          <w:tcPr>
            <w:tcW w:w="1122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line="360" w:lineRule="auto"/>
              <w:rPr>
                <w:b/>
                <w:bCs/>
                <w:color w:val="000000"/>
              </w:rPr>
            </w:pPr>
            <w:r w:rsidRPr="00364F50">
              <w:rPr>
                <w:b/>
                <w:bCs/>
                <w:color w:val="000000"/>
              </w:rPr>
              <w:t>P(&gt;F)</w:t>
            </w:r>
          </w:p>
        </w:tc>
      </w:tr>
      <w:tr w:rsidR="0031259F" w:rsidRPr="00364F50" w:rsidTr="0031259F">
        <w:trPr>
          <w:trHeight w:val="216"/>
        </w:trPr>
        <w:tc>
          <w:tcPr>
            <w:tcW w:w="225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Forest overstorey</w:t>
            </w:r>
          </w:p>
        </w:tc>
        <w:tc>
          <w:tcPr>
            <w:tcW w:w="234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Forest understorey</w:t>
            </w:r>
          </w:p>
        </w:tc>
        <w:tc>
          <w:tcPr>
            <w:tcW w:w="116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0.985</w:t>
            </w:r>
          </w:p>
        </w:tc>
        <w:tc>
          <w:tcPr>
            <w:tcW w:w="109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0.985</w:t>
            </w:r>
          </w:p>
        </w:tc>
        <w:tc>
          <w:tcPr>
            <w:tcW w:w="72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</w:t>
            </w:r>
          </w:p>
        </w:tc>
        <w:tc>
          <w:tcPr>
            <w:tcW w:w="88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3.753</w:t>
            </w:r>
          </w:p>
        </w:tc>
        <w:tc>
          <w:tcPr>
            <w:tcW w:w="764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0.173</w:t>
            </w:r>
          </w:p>
        </w:tc>
        <w:tc>
          <w:tcPr>
            <w:tcW w:w="1122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0.013*</w:t>
            </w:r>
          </w:p>
        </w:tc>
      </w:tr>
      <w:tr w:rsidR="0031259F" w:rsidRPr="00364F50" w:rsidTr="0031259F">
        <w:trPr>
          <w:trHeight w:val="216"/>
        </w:trPr>
        <w:tc>
          <w:tcPr>
            <w:tcW w:w="225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Forest overstorey</w:t>
            </w:r>
          </w:p>
        </w:tc>
        <w:tc>
          <w:tcPr>
            <w:tcW w:w="234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Savanna overstorey</w:t>
            </w:r>
          </w:p>
        </w:tc>
        <w:tc>
          <w:tcPr>
            <w:tcW w:w="116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1.816</w:t>
            </w:r>
          </w:p>
        </w:tc>
        <w:tc>
          <w:tcPr>
            <w:tcW w:w="109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1.816</w:t>
            </w:r>
          </w:p>
        </w:tc>
        <w:tc>
          <w:tcPr>
            <w:tcW w:w="72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</w:t>
            </w:r>
          </w:p>
        </w:tc>
        <w:tc>
          <w:tcPr>
            <w:tcW w:w="88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5.671</w:t>
            </w:r>
          </w:p>
        </w:tc>
        <w:tc>
          <w:tcPr>
            <w:tcW w:w="764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0.205</w:t>
            </w:r>
          </w:p>
        </w:tc>
        <w:tc>
          <w:tcPr>
            <w:tcW w:w="1122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0.001***</w:t>
            </w:r>
          </w:p>
        </w:tc>
      </w:tr>
      <w:tr w:rsidR="0031259F" w:rsidRPr="00364F50" w:rsidTr="0031259F">
        <w:trPr>
          <w:trHeight w:val="216"/>
        </w:trPr>
        <w:tc>
          <w:tcPr>
            <w:tcW w:w="225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Forest overstorey</w:t>
            </w:r>
          </w:p>
        </w:tc>
        <w:tc>
          <w:tcPr>
            <w:tcW w:w="234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Savanna understorey</w:t>
            </w:r>
          </w:p>
        </w:tc>
        <w:tc>
          <w:tcPr>
            <w:tcW w:w="116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2.181</w:t>
            </w:r>
          </w:p>
        </w:tc>
        <w:tc>
          <w:tcPr>
            <w:tcW w:w="109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2.181</w:t>
            </w:r>
          </w:p>
        </w:tc>
        <w:tc>
          <w:tcPr>
            <w:tcW w:w="72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</w:t>
            </w:r>
          </w:p>
        </w:tc>
        <w:tc>
          <w:tcPr>
            <w:tcW w:w="88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8.838</w:t>
            </w:r>
          </w:p>
        </w:tc>
        <w:tc>
          <w:tcPr>
            <w:tcW w:w="764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0.287</w:t>
            </w:r>
          </w:p>
        </w:tc>
        <w:tc>
          <w:tcPr>
            <w:tcW w:w="1122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0.001***</w:t>
            </w:r>
          </w:p>
        </w:tc>
      </w:tr>
      <w:tr w:rsidR="0031259F" w:rsidRPr="00364F50" w:rsidTr="0031259F">
        <w:trPr>
          <w:trHeight w:val="216"/>
        </w:trPr>
        <w:tc>
          <w:tcPr>
            <w:tcW w:w="225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Forest understorey</w:t>
            </w:r>
          </w:p>
        </w:tc>
        <w:tc>
          <w:tcPr>
            <w:tcW w:w="234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Savanna overstorey</w:t>
            </w:r>
          </w:p>
        </w:tc>
        <w:tc>
          <w:tcPr>
            <w:tcW w:w="116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2.872</w:t>
            </w:r>
          </w:p>
        </w:tc>
        <w:tc>
          <w:tcPr>
            <w:tcW w:w="109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2.872</w:t>
            </w:r>
          </w:p>
        </w:tc>
        <w:tc>
          <w:tcPr>
            <w:tcW w:w="72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</w:t>
            </w:r>
          </w:p>
        </w:tc>
        <w:tc>
          <w:tcPr>
            <w:tcW w:w="88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11.303</w:t>
            </w:r>
          </w:p>
        </w:tc>
        <w:tc>
          <w:tcPr>
            <w:tcW w:w="764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0.339</w:t>
            </w:r>
          </w:p>
        </w:tc>
        <w:tc>
          <w:tcPr>
            <w:tcW w:w="1122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0.001***</w:t>
            </w:r>
          </w:p>
        </w:tc>
      </w:tr>
      <w:tr w:rsidR="0031259F" w:rsidRPr="00364F50" w:rsidTr="0031259F">
        <w:trPr>
          <w:trHeight w:val="216"/>
        </w:trPr>
        <w:tc>
          <w:tcPr>
            <w:tcW w:w="225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Forest understorey</w:t>
            </w:r>
          </w:p>
        </w:tc>
        <w:tc>
          <w:tcPr>
            <w:tcW w:w="234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Savanna understorey</w:t>
            </w:r>
          </w:p>
        </w:tc>
        <w:tc>
          <w:tcPr>
            <w:tcW w:w="116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1.251</w:t>
            </w:r>
          </w:p>
        </w:tc>
        <w:tc>
          <w:tcPr>
            <w:tcW w:w="109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1.251</w:t>
            </w:r>
          </w:p>
        </w:tc>
        <w:tc>
          <w:tcPr>
            <w:tcW w:w="72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</w:t>
            </w:r>
          </w:p>
        </w:tc>
        <w:tc>
          <w:tcPr>
            <w:tcW w:w="88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3.817</w:t>
            </w:r>
          </w:p>
        </w:tc>
        <w:tc>
          <w:tcPr>
            <w:tcW w:w="764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0.148</w:t>
            </w:r>
          </w:p>
        </w:tc>
        <w:tc>
          <w:tcPr>
            <w:tcW w:w="1122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0.001***</w:t>
            </w:r>
          </w:p>
        </w:tc>
      </w:tr>
      <w:tr w:rsidR="0031259F" w:rsidRPr="00364F50" w:rsidTr="0031259F">
        <w:trPr>
          <w:trHeight w:val="216"/>
        </w:trPr>
        <w:tc>
          <w:tcPr>
            <w:tcW w:w="225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Savanna Overstorey</w:t>
            </w:r>
          </w:p>
        </w:tc>
        <w:tc>
          <w:tcPr>
            <w:tcW w:w="234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Savanna understorey</w:t>
            </w:r>
          </w:p>
        </w:tc>
        <w:tc>
          <w:tcPr>
            <w:tcW w:w="116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1.371</w:t>
            </w:r>
          </w:p>
        </w:tc>
        <w:tc>
          <w:tcPr>
            <w:tcW w:w="109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1.371</w:t>
            </w:r>
          </w:p>
        </w:tc>
        <w:tc>
          <w:tcPr>
            <w:tcW w:w="720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1</w:t>
            </w:r>
          </w:p>
        </w:tc>
        <w:tc>
          <w:tcPr>
            <w:tcW w:w="885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4.506</w:t>
            </w:r>
          </w:p>
        </w:tc>
        <w:tc>
          <w:tcPr>
            <w:tcW w:w="764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0.148</w:t>
            </w:r>
          </w:p>
        </w:tc>
        <w:tc>
          <w:tcPr>
            <w:tcW w:w="1122" w:type="dxa"/>
            <w:noWrap/>
            <w:hideMark/>
          </w:tcPr>
          <w:p w:rsidR="0031259F" w:rsidRPr="00364F50" w:rsidRDefault="0031259F" w:rsidP="00E140A6">
            <w:pPr>
              <w:tabs>
                <w:tab w:val="left" w:pos="13590"/>
              </w:tabs>
              <w:spacing w:after="60" w:line="360" w:lineRule="auto"/>
              <w:rPr>
                <w:color w:val="000000"/>
              </w:rPr>
            </w:pPr>
            <w:r w:rsidRPr="00364F50">
              <w:rPr>
                <w:color w:val="000000"/>
              </w:rPr>
              <w:t>0.001***</w:t>
            </w:r>
          </w:p>
        </w:tc>
      </w:tr>
    </w:tbl>
    <w:p w:rsidR="0031259F" w:rsidRDefault="0031259F" w:rsidP="00E140A6">
      <w:pPr>
        <w:tabs>
          <w:tab w:val="left" w:pos="13590"/>
        </w:tabs>
      </w:pPr>
    </w:p>
    <w:p w:rsidR="0031259F" w:rsidRDefault="0031259F" w:rsidP="00E140A6">
      <w:pPr>
        <w:tabs>
          <w:tab w:val="left" w:pos="13590"/>
        </w:tabs>
      </w:pPr>
    </w:p>
    <w:p w:rsidR="00F65B2F" w:rsidRPr="007C314F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</w:pPr>
      <w:r>
        <w:rPr>
          <w:b/>
        </w:rPr>
        <w:t xml:space="preserve">Table </w:t>
      </w:r>
      <w:r w:rsidRPr="00E509CD">
        <w:rPr>
          <w:b/>
        </w:rPr>
        <w:t>SI. 2</w:t>
      </w:r>
      <w:r w:rsidRPr="00E509CD">
        <w:t xml:space="preserve">: Comparison of structural attributes between forest and savanna formations in Kogyae Strict Nature Reserve. </w:t>
      </w:r>
    </w:p>
    <w:tbl>
      <w:tblPr>
        <w:tblpPr w:leftFromText="180" w:rightFromText="180" w:vertAnchor="text" w:horzAnchor="margin" w:tblpY="86"/>
        <w:tblOverlap w:val="never"/>
        <w:tblW w:w="10435" w:type="dxa"/>
        <w:tblLook w:val="04A0" w:firstRow="1" w:lastRow="0" w:firstColumn="1" w:lastColumn="0" w:noHBand="0" w:noVBand="1"/>
      </w:tblPr>
      <w:tblGrid>
        <w:gridCol w:w="2674"/>
        <w:gridCol w:w="1244"/>
        <w:gridCol w:w="1489"/>
        <w:gridCol w:w="1687"/>
        <w:gridCol w:w="1395"/>
        <w:gridCol w:w="1062"/>
        <w:gridCol w:w="884"/>
      </w:tblGrid>
      <w:tr w:rsidR="00F65B2F" w:rsidRPr="00B91D37" w:rsidTr="00C1728A">
        <w:trPr>
          <w:trHeight w:val="3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B91D37" w:rsidRDefault="00F65B2F" w:rsidP="00E140A6">
            <w:pPr>
              <w:tabs>
                <w:tab w:val="left" w:pos="13590"/>
              </w:tabs>
              <w:spacing w:line="360" w:lineRule="auto"/>
              <w:rPr>
                <w:b/>
                <w:color w:val="000000"/>
              </w:rPr>
            </w:pPr>
            <w:r w:rsidRPr="00B91D37">
              <w:rPr>
                <w:b/>
                <w:color w:val="000000"/>
              </w:rPr>
              <w:t>Structure attribute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B91D37" w:rsidRDefault="00F65B2F" w:rsidP="00E140A6">
            <w:pPr>
              <w:tabs>
                <w:tab w:val="left" w:pos="13590"/>
              </w:tabs>
              <w:spacing w:line="360" w:lineRule="auto"/>
              <w:rPr>
                <w:b/>
                <w:color w:val="000000"/>
              </w:rPr>
            </w:pPr>
            <w:r w:rsidRPr="00B91D37">
              <w:rPr>
                <w:b/>
                <w:color w:val="000000"/>
              </w:rPr>
              <w:t>Unit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B91D37" w:rsidRDefault="00F65B2F" w:rsidP="00E140A6">
            <w:pPr>
              <w:tabs>
                <w:tab w:val="left" w:pos="13590"/>
              </w:tabs>
              <w:spacing w:line="360" w:lineRule="auto"/>
              <w:rPr>
                <w:b/>
                <w:color w:val="000000"/>
              </w:rPr>
            </w:pPr>
            <w:r w:rsidRPr="00B91D37">
              <w:rPr>
                <w:b/>
                <w:color w:val="000000"/>
              </w:rPr>
              <w:t>Forest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B91D37" w:rsidRDefault="00F65B2F" w:rsidP="00E140A6">
            <w:pPr>
              <w:tabs>
                <w:tab w:val="left" w:pos="13590"/>
              </w:tabs>
              <w:spacing w:line="360" w:lineRule="auto"/>
              <w:rPr>
                <w:b/>
                <w:color w:val="000000"/>
              </w:rPr>
            </w:pPr>
            <w:r w:rsidRPr="00B91D37">
              <w:rPr>
                <w:b/>
                <w:color w:val="000000"/>
              </w:rPr>
              <w:t>Savanna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B91D37" w:rsidRDefault="00F65B2F" w:rsidP="00E140A6">
            <w:pPr>
              <w:tabs>
                <w:tab w:val="left" w:pos="13590"/>
              </w:tabs>
              <w:spacing w:line="360" w:lineRule="auto"/>
              <w:rPr>
                <w:b/>
                <w:color w:val="000000"/>
              </w:rPr>
            </w:pPr>
            <w:r w:rsidRPr="00B91D37">
              <w:rPr>
                <w:b/>
                <w:color w:val="000000"/>
              </w:rPr>
              <w:t>statistic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B91D37" w:rsidRDefault="00F65B2F" w:rsidP="00E140A6">
            <w:pPr>
              <w:tabs>
                <w:tab w:val="left" w:pos="13590"/>
              </w:tabs>
              <w:spacing w:line="360" w:lineRule="auto"/>
              <w:rPr>
                <w:b/>
                <w:color w:val="000000"/>
              </w:rPr>
            </w:pPr>
            <w:r w:rsidRPr="00B91D37">
              <w:rPr>
                <w:b/>
                <w:color w:val="000000"/>
              </w:rPr>
              <w:t>df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B91D37" w:rsidRDefault="00F65B2F" w:rsidP="00E140A6">
            <w:pPr>
              <w:tabs>
                <w:tab w:val="left" w:pos="13590"/>
              </w:tabs>
              <w:spacing w:line="360" w:lineRule="auto"/>
              <w:rPr>
                <w:b/>
                <w:color w:val="000000"/>
              </w:rPr>
            </w:pPr>
            <w:r w:rsidRPr="00B91D37">
              <w:rPr>
                <w:b/>
                <w:color w:val="000000"/>
              </w:rPr>
              <w:t>P</w:t>
            </w:r>
          </w:p>
        </w:tc>
      </w:tr>
      <w:tr w:rsidR="00F65B2F" w:rsidRPr="00E509CD" w:rsidTr="00C1728A">
        <w:trPr>
          <w:trHeight w:val="346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Stem Density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C1728A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F328E8">
              <w:rPr>
                <w:color w:val="000000"/>
              </w:rPr>
              <w:t>4</w:t>
            </w:r>
            <w:r>
              <w:rPr>
                <w:color w:val="000000"/>
              </w:rPr>
              <w:t>ha</w:t>
            </w:r>
            <w:r w:rsidRPr="00C1728A">
              <w:rPr>
                <w:color w:val="000000"/>
                <w:vertAlign w:val="superscript"/>
              </w:rPr>
              <w:t>-1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18.0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2.30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28.4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4.78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t=-1.96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jc w:val="right"/>
              <w:rPr>
                <w:color w:val="000000"/>
              </w:rPr>
            </w:pPr>
            <w:r w:rsidRPr="00E509CD">
              <w:rPr>
                <w:color w:val="000000"/>
              </w:rPr>
              <w:t>19.599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jc w:val="right"/>
              <w:rPr>
                <w:color w:val="000000"/>
              </w:rPr>
            </w:pPr>
            <w:r w:rsidRPr="00E509CD">
              <w:rPr>
                <w:color w:val="000000"/>
              </w:rPr>
              <w:t>0.065</w:t>
            </w:r>
          </w:p>
        </w:tc>
      </w:tr>
      <w:tr w:rsidR="00F65B2F" w:rsidRPr="00E509CD" w:rsidTr="00C1728A">
        <w:trPr>
          <w:trHeight w:val="346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Basal Area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m</w:t>
            </w:r>
            <w:r w:rsidRPr="00B91D37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0.77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0.10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0.45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0.11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t=2.57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jc w:val="right"/>
              <w:rPr>
                <w:color w:val="000000"/>
              </w:rPr>
            </w:pPr>
            <w:r w:rsidRPr="00E509CD">
              <w:rPr>
                <w:color w:val="000000"/>
              </w:rPr>
              <w:t>22.685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jc w:val="right"/>
              <w:rPr>
                <w:color w:val="000000"/>
              </w:rPr>
            </w:pPr>
            <w:r w:rsidRPr="00E509CD">
              <w:rPr>
                <w:color w:val="000000"/>
              </w:rPr>
              <w:t>0.017</w:t>
            </w:r>
          </w:p>
        </w:tc>
      </w:tr>
      <w:tr w:rsidR="00F65B2F" w:rsidRPr="00E509CD" w:rsidTr="00C1728A">
        <w:trPr>
          <w:trHeight w:val="346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Crown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Index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8316E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m</w:t>
            </w:r>
            <w:r w:rsidRPr="00B91D37">
              <w:rPr>
                <w:color w:val="000000"/>
                <w:vertAlign w:val="superscript"/>
              </w:rPr>
              <w:t>2</w:t>
            </w:r>
            <w:r w:rsidR="008316ED">
              <w:rPr>
                <w:color w:val="000000"/>
              </w:rPr>
              <w:t>m</w:t>
            </w:r>
            <w:r w:rsidR="008316ED" w:rsidRPr="008316ED">
              <w:rPr>
                <w:color w:val="000000"/>
                <w:vertAlign w:val="superscript"/>
              </w:rPr>
              <w:t>-2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1.05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0.22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0.61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0.13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t=1.93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jc w:val="right"/>
              <w:rPr>
                <w:color w:val="000000"/>
              </w:rPr>
            </w:pPr>
            <w:r w:rsidRPr="00E509CD">
              <w:rPr>
                <w:color w:val="000000"/>
              </w:rPr>
              <w:t>19.605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jc w:val="right"/>
              <w:rPr>
                <w:color w:val="000000"/>
              </w:rPr>
            </w:pPr>
            <w:r w:rsidRPr="00E509CD">
              <w:rPr>
                <w:color w:val="000000"/>
              </w:rPr>
              <w:t>0.067</w:t>
            </w:r>
          </w:p>
        </w:tc>
      </w:tr>
      <w:tr w:rsidR="00F65B2F" w:rsidRPr="00E509CD" w:rsidTr="00C1728A">
        <w:trPr>
          <w:trHeight w:val="346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328E8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Leaf </w:t>
            </w:r>
            <w:r w:rsidR="00F65B2F" w:rsidRPr="00E509CD">
              <w:rPr>
                <w:color w:val="000000"/>
              </w:rPr>
              <w:t>Area Index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8316E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m</w:t>
            </w:r>
            <w:r w:rsidRPr="00B91D37">
              <w:rPr>
                <w:color w:val="000000"/>
                <w:vertAlign w:val="superscript"/>
              </w:rPr>
              <w:t>2</w:t>
            </w:r>
            <w:r w:rsidR="008316ED">
              <w:rPr>
                <w:color w:val="000000"/>
              </w:rPr>
              <w:t>m</w:t>
            </w:r>
            <w:r w:rsidR="008316ED" w:rsidRPr="008316ED">
              <w:rPr>
                <w:color w:val="000000"/>
                <w:vertAlign w:val="superscript"/>
              </w:rPr>
              <w:t>-2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1.13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0.18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0.73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0.11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t=1.84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jc w:val="right"/>
              <w:rPr>
                <w:color w:val="000000"/>
              </w:rPr>
            </w:pPr>
            <w:r w:rsidRPr="00E509CD">
              <w:rPr>
                <w:color w:val="000000"/>
              </w:rPr>
              <w:t>16.938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jc w:val="right"/>
              <w:rPr>
                <w:color w:val="000000"/>
              </w:rPr>
            </w:pPr>
            <w:r w:rsidRPr="00E509CD">
              <w:rPr>
                <w:color w:val="000000"/>
              </w:rPr>
              <w:t>0.082</w:t>
            </w:r>
          </w:p>
        </w:tc>
      </w:tr>
      <w:tr w:rsidR="00F65B2F" w:rsidRPr="00E509CD" w:rsidTr="00C1728A">
        <w:trPr>
          <w:trHeight w:val="346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Ground Cover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0.40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0.15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0.66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 </w:t>
            </w:r>
            <w:r w:rsidRPr="00E509CD">
              <w:rPr>
                <w:color w:val="000000"/>
              </w:rPr>
              <w:t>0.0.08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rPr>
                <w:color w:val="000000"/>
              </w:rPr>
            </w:pPr>
            <w:r w:rsidRPr="00E509CD">
              <w:rPr>
                <w:color w:val="000000"/>
              </w:rPr>
              <w:t>X</w:t>
            </w:r>
            <w:r w:rsidRPr="00135D27">
              <w:rPr>
                <w:color w:val="000000"/>
                <w:vertAlign w:val="superscript"/>
              </w:rPr>
              <w:t>2</w:t>
            </w:r>
            <w:r w:rsidRPr="00E509CD">
              <w:rPr>
                <w:color w:val="000000"/>
              </w:rPr>
              <w:t>=0.0078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jc w:val="right"/>
              <w:rPr>
                <w:color w:val="000000"/>
              </w:rPr>
            </w:pPr>
            <w:r w:rsidRPr="00E509CD">
              <w:rPr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2F" w:rsidRPr="00E509CD" w:rsidRDefault="00F65B2F" w:rsidP="00E140A6">
            <w:pPr>
              <w:tabs>
                <w:tab w:val="left" w:pos="13590"/>
              </w:tabs>
              <w:spacing w:line="360" w:lineRule="auto"/>
              <w:jc w:val="right"/>
              <w:rPr>
                <w:color w:val="000000"/>
              </w:rPr>
            </w:pPr>
            <w:r w:rsidRPr="00E509CD">
              <w:rPr>
                <w:color w:val="000000"/>
              </w:rPr>
              <w:t>0.93</w:t>
            </w:r>
          </w:p>
        </w:tc>
      </w:tr>
    </w:tbl>
    <w:p w:rsidR="00F65B2F" w:rsidRPr="00E509CD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/>
      </w:pPr>
    </w:p>
    <w:p w:rsidR="00F65B2F" w:rsidRDefault="00F65B2F" w:rsidP="00E140A6">
      <w:pPr>
        <w:tabs>
          <w:tab w:val="left" w:pos="13590"/>
        </w:tabs>
      </w:pPr>
      <w:r>
        <w:br w:type="page"/>
      </w:r>
    </w:p>
    <w:p w:rsidR="00F65B2F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 w:line="360" w:lineRule="auto"/>
      </w:pPr>
      <w:r>
        <w:rPr>
          <w:b/>
        </w:rPr>
        <w:lastRenderedPageBreak/>
        <w:t xml:space="preserve">Table </w:t>
      </w:r>
      <w:r w:rsidRPr="00E509CD">
        <w:rPr>
          <w:b/>
        </w:rPr>
        <w:t>SI. 3</w:t>
      </w:r>
      <w:r w:rsidRPr="00E05368">
        <w:t>: Output of GLMMs (with poisson error distribution) testing for significant differences in abundance of species functional types (i.e. forest, savanna and ubiquitous species) in the over</w:t>
      </w:r>
      <w:r w:rsidR="00953859">
        <w:t>storey</w:t>
      </w:r>
      <w:r w:rsidRPr="00E05368">
        <w:t xml:space="preserve"> and understorey of forest and savanna vegetation.</w:t>
      </w:r>
    </w:p>
    <w:tbl>
      <w:tblPr>
        <w:tblStyle w:val="TableGrid"/>
        <w:tblW w:w="7739" w:type="dxa"/>
        <w:tblLook w:val="04A0" w:firstRow="1" w:lastRow="0" w:firstColumn="1" w:lastColumn="0" w:noHBand="0" w:noVBand="1"/>
      </w:tblPr>
      <w:tblGrid>
        <w:gridCol w:w="1677"/>
        <w:gridCol w:w="1423"/>
        <w:gridCol w:w="1296"/>
        <w:gridCol w:w="1163"/>
        <w:gridCol w:w="963"/>
        <w:gridCol w:w="1252"/>
      </w:tblGrid>
      <w:tr w:rsidR="00F65B2F" w:rsidRPr="00CD4875" w:rsidTr="00261D58">
        <w:trPr>
          <w:trHeight w:val="265"/>
        </w:trPr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Coefficient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Std. Error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Z-value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Pr(&gt;|Z|)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gridSpan w:val="6"/>
            <w:shd w:val="clear" w:color="auto" w:fill="E7E6E6" w:themeFill="background2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  <w:rPr>
                <w:b/>
              </w:rPr>
            </w:pPr>
            <w:r w:rsidRPr="00CD4875">
              <w:rPr>
                <w:b/>
              </w:rPr>
              <w:t>Forest overstorey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Savanna.spp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Forest.spp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-1.1465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0.1957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-5.858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&lt;0.001***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Ubiquitous.spp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Forest.spp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-1.0352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0.1877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-5.515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&lt;0.001***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Ubiquitous.spp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Savanna.spp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0.1112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0.2347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0.474</w:t>
            </w:r>
          </w:p>
        </w:tc>
        <w:tc>
          <w:tcPr>
            <w:tcW w:w="0" w:type="auto"/>
            <w:noWrap/>
            <w:hideMark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0.882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gridSpan w:val="6"/>
            <w:shd w:val="clear" w:color="auto" w:fill="E7E6E6" w:themeFill="background2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  <w:rPr>
                <w:b/>
              </w:rPr>
            </w:pPr>
            <w:r w:rsidRPr="00CD4875">
              <w:rPr>
                <w:b/>
              </w:rPr>
              <w:t>Forest understorey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Savanna.spp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Forest.spp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-0.958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0.1494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-6.411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&lt;0.001***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Ubiquitous.spp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Forest.spp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-1.4854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0.1831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-8.111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&lt;0.001***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Ubiquitous.spp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Savanna.spp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-0.5274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0.2085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-2.529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0.0297*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gridSpan w:val="6"/>
            <w:shd w:val="clear" w:color="auto" w:fill="E7E6E6" w:themeFill="background2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  <w:rPr>
                <w:b/>
              </w:rPr>
            </w:pPr>
            <w:r w:rsidRPr="00CD4875">
              <w:rPr>
                <w:b/>
              </w:rPr>
              <w:t>Savanna overstorey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Savanna.spp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Forest.spp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1.5853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0.1681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9.431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&lt;0.001***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Ubiquitous.spp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Forest.spp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1.3186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0.1724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7.648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&lt;0.001***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Ubiquitous.spp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Savanna.spp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-0.2668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0.1053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-2.534</w:t>
            </w:r>
          </w:p>
        </w:tc>
        <w:tc>
          <w:tcPr>
            <w:tcW w:w="0" w:type="auto"/>
            <w:noWrap/>
            <w:vAlign w:val="bottom"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rPr>
                <w:color w:val="000000"/>
              </w:rPr>
              <w:t>0.0288*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gridSpan w:val="6"/>
            <w:shd w:val="clear" w:color="auto" w:fill="E7E6E6" w:themeFill="background2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  <w:rPr>
                <w:b/>
              </w:rPr>
            </w:pPr>
            <w:r w:rsidRPr="00CD4875">
              <w:rPr>
                <w:b/>
              </w:rPr>
              <w:t>Savanna understorey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Savanna.spp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Forest.spp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0.6215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0.1271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4.89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&lt;0.001***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Ubiquitous.spp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Forest.spp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-0.3092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0.1576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-1.962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0.12</w:t>
            </w:r>
          </w:p>
        </w:tc>
      </w:tr>
      <w:tr w:rsidR="00F65B2F" w:rsidRPr="00CD4875" w:rsidTr="00261D58">
        <w:trPr>
          <w:trHeight w:val="20"/>
        </w:trPr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Ubiquitous.spp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Savanna.spp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-0.9307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0.1413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-6.587</w:t>
            </w:r>
          </w:p>
        </w:tc>
        <w:tc>
          <w:tcPr>
            <w:tcW w:w="0" w:type="auto"/>
            <w:noWrap/>
          </w:tcPr>
          <w:p w:rsidR="00F65B2F" w:rsidRPr="00CD4875" w:rsidRDefault="00F65B2F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 w:line="360" w:lineRule="auto"/>
            </w:pPr>
            <w:r w:rsidRPr="00CD4875">
              <w:t>0.0288*</w:t>
            </w:r>
          </w:p>
        </w:tc>
      </w:tr>
    </w:tbl>
    <w:p w:rsidR="00F65B2F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/>
        <w:rPr>
          <w:b/>
        </w:rPr>
      </w:pPr>
    </w:p>
    <w:p w:rsidR="00F65B2F" w:rsidRDefault="00F65B2F" w:rsidP="00E140A6">
      <w:pPr>
        <w:tabs>
          <w:tab w:val="left" w:pos="13590"/>
        </w:tabs>
        <w:rPr>
          <w:b/>
        </w:rPr>
      </w:pPr>
      <w:r>
        <w:rPr>
          <w:b/>
        </w:rPr>
        <w:br w:type="page"/>
      </w:r>
    </w:p>
    <w:p w:rsidR="00F65B2F" w:rsidRDefault="00F65B2F" w:rsidP="00E140A6">
      <w:pPr>
        <w:tabs>
          <w:tab w:val="left" w:pos="1524"/>
          <w:tab w:val="left" w:pos="13590"/>
        </w:tabs>
        <w:spacing w:line="360" w:lineRule="auto"/>
      </w:pPr>
      <w:r>
        <w:rPr>
          <w:b/>
        </w:rPr>
        <w:lastRenderedPageBreak/>
        <w:t>Table SI. 4</w:t>
      </w:r>
      <w:r w:rsidRPr="00E509CD">
        <w:rPr>
          <w:b/>
        </w:rPr>
        <w:t xml:space="preserve">: </w:t>
      </w:r>
      <w:r>
        <w:t>Correlations between soil fertility elements and vegetation structure in the study area. Subscripts 10 and 20 denotes soil mineral concentrations sampled from 0-10</w:t>
      </w:r>
      <w:r w:rsidR="00953859">
        <w:t xml:space="preserve"> </w:t>
      </w:r>
      <w:r>
        <w:t>cm and 10-20</w:t>
      </w:r>
      <w:r w:rsidR="00953859">
        <w:t xml:space="preserve"> </w:t>
      </w:r>
      <w:r>
        <w:t xml:space="preserve">cm depths respectively. </w:t>
      </w:r>
    </w:p>
    <w:tbl>
      <w:tblPr>
        <w:tblStyle w:val="TableGrid"/>
        <w:tblW w:w="8797" w:type="dxa"/>
        <w:tblLook w:val="04A0" w:firstRow="1" w:lastRow="0" w:firstColumn="1" w:lastColumn="0" w:noHBand="0" w:noVBand="1"/>
      </w:tblPr>
      <w:tblGrid>
        <w:gridCol w:w="990"/>
        <w:gridCol w:w="1690"/>
        <w:gridCol w:w="1440"/>
        <w:gridCol w:w="1170"/>
        <w:gridCol w:w="1830"/>
        <w:gridCol w:w="1677"/>
      </w:tblGrid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Stem Density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Basal area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L</w:t>
            </w:r>
            <w:r w:rsidRPr="00AF75F5">
              <w:rPr>
                <w:b/>
              </w:rPr>
              <w:t>AI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 xml:space="preserve">Ground cover 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Chao’s index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N</w:t>
            </w:r>
            <w:r w:rsidRPr="00AF75F5">
              <w:rPr>
                <w:b/>
                <w:vertAlign w:val="subscript"/>
              </w:rPr>
              <w:t>10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0.038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0.734***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0.560**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-0.518**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0.084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N</w:t>
            </w:r>
            <w:r w:rsidRPr="00AF75F5">
              <w:rPr>
                <w:b/>
                <w:vertAlign w:val="subscript"/>
              </w:rPr>
              <w:t>20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0.257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0.115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0.482*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-0.307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-0.116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P</w:t>
            </w:r>
            <w:r w:rsidRPr="00AF75F5">
              <w:rPr>
                <w:b/>
                <w:vertAlign w:val="subscript"/>
              </w:rPr>
              <w:t>10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0.108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0.340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0.423*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-0.302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-0.010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P</w:t>
            </w:r>
            <w:r w:rsidRPr="00AF75F5">
              <w:rPr>
                <w:b/>
                <w:vertAlign w:val="subscript"/>
              </w:rPr>
              <w:t>20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0.130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-0.025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0.186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-0.248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-0.299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K</w:t>
            </w:r>
            <w:r w:rsidRPr="00AF75F5">
              <w:rPr>
                <w:b/>
                <w:vertAlign w:val="subscript"/>
              </w:rPr>
              <w:t>10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-0.222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0.585**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0.503*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-0.324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0.049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K</w:t>
            </w:r>
            <w:r w:rsidRPr="00AF75F5">
              <w:rPr>
                <w:b/>
                <w:vertAlign w:val="subscript"/>
              </w:rPr>
              <w:t>20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-0.053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0.547**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0.533**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-0.477*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-0.095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Mg</w:t>
            </w:r>
            <w:r w:rsidRPr="00AF75F5">
              <w:rPr>
                <w:b/>
                <w:vertAlign w:val="subscript"/>
              </w:rPr>
              <w:t>10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0.063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0.152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0.243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-0.197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-0.366'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Mg</w:t>
            </w:r>
            <w:r w:rsidRPr="00AF75F5">
              <w:rPr>
                <w:b/>
                <w:vertAlign w:val="subscript"/>
              </w:rPr>
              <w:t>20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0.044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0.708***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0.588**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-0.639***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0.140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Na</w:t>
            </w:r>
            <w:r w:rsidRPr="00AF75F5">
              <w:rPr>
                <w:b/>
                <w:vertAlign w:val="subscript"/>
              </w:rPr>
              <w:t>10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0.295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0.436*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0.615**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-0.467*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0.097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Na</w:t>
            </w:r>
            <w:r w:rsidRPr="00AF75F5">
              <w:rPr>
                <w:b/>
                <w:vertAlign w:val="subscript"/>
              </w:rPr>
              <w:t>20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0.230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0.143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0.416*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-0.484*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-0.119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C</w:t>
            </w:r>
            <w:r w:rsidRPr="00AF75F5">
              <w:rPr>
                <w:b/>
                <w:vertAlign w:val="subscript"/>
              </w:rPr>
              <w:t>10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0.059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0.662**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0.589**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-0.456*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0.080</w:t>
            </w:r>
          </w:p>
        </w:tc>
      </w:tr>
      <w:tr w:rsidR="00E140A6" w:rsidRPr="00AF75F5" w:rsidTr="00E140A6">
        <w:trPr>
          <w:trHeight w:val="303"/>
        </w:trPr>
        <w:tc>
          <w:tcPr>
            <w:tcW w:w="9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</w:rPr>
            </w:pPr>
            <w:r w:rsidRPr="00AF75F5">
              <w:rPr>
                <w:b/>
              </w:rPr>
              <w:t>C</w:t>
            </w:r>
            <w:r w:rsidRPr="00AF75F5">
              <w:rPr>
                <w:b/>
                <w:vertAlign w:val="subscript"/>
              </w:rPr>
              <w:t>20</w:t>
            </w:r>
          </w:p>
        </w:tc>
        <w:tc>
          <w:tcPr>
            <w:tcW w:w="169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0.095</w:t>
            </w:r>
          </w:p>
        </w:tc>
        <w:tc>
          <w:tcPr>
            <w:tcW w:w="144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0.427*</w:t>
            </w:r>
          </w:p>
        </w:tc>
        <w:tc>
          <w:tcPr>
            <w:tcW w:w="117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0.667***</w:t>
            </w:r>
          </w:p>
        </w:tc>
        <w:tc>
          <w:tcPr>
            <w:tcW w:w="1830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  <w:rPr>
                <w:b/>
                <w:bCs/>
              </w:rPr>
            </w:pPr>
            <w:r w:rsidRPr="00AF75F5">
              <w:rPr>
                <w:b/>
                <w:bCs/>
              </w:rPr>
              <w:t>-0.527**</w:t>
            </w:r>
          </w:p>
        </w:tc>
        <w:tc>
          <w:tcPr>
            <w:tcW w:w="1677" w:type="dxa"/>
            <w:noWrap/>
            <w:hideMark/>
          </w:tcPr>
          <w:p w:rsidR="00E140A6" w:rsidRPr="00AF75F5" w:rsidRDefault="00E140A6" w:rsidP="00E140A6">
            <w:pPr>
              <w:tabs>
                <w:tab w:val="left" w:pos="1524"/>
                <w:tab w:val="left" w:pos="13590"/>
              </w:tabs>
              <w:spacing w:line="360" w:lineRule="auto"/>
            </w:pPr>
            <w:r w:rsidRPr="00AF75F5">
              <w:t>-0.093</w:t>
            </w:r>
          </w:p>
        </w:tc>
      </w:tr>
    </w:tbl>
    <w:p w:rsidR="00F65B2F" w:rsidRDefault="00F65B2F" w:rsidP="00E140A6">
      <w:pPr>
        <w:tabs>
          <w:tab w:val="left" w:pos="1524"/>
          <w:tab w:val="left" w:pos="13590"/>
        </w:tabs>
      </w:pPr>
    </w:p>
    <w:p w:rsidR="00F65B2F" w:rsidRDefault="00F65B2F" w:rsidP="00E140A6">
      <w:pPr>
        <w:tabs>
          <w:tab w:val="left" w:pos="1524"/>
          <w:tab w:val="left" w:pos="13590"/>
        </w:tabs>
      </w:pPr>
    </w:p>
    <w:p w:rsidR="00F65B2F" w:rsidRDefault="00F65B2F" w:rsidP="00E140A6">
      <w:pPr>
        <w:tabs>
          <w:tab w:val="left" w:pos="1524"/>
          <w:tab w:val="left" w:pos="13590"/>
        </w:tabs>
        <w:rPr>
          <w:b/>
        </w:rPr>
        <w:sectPr w:rsidR="00F65B2F" w:rsidSect="00261D58">
          <w:pgSz w:w="12240" w:h="15840" w:code="1"/>
          <w:pgMar w:top="1440" w:right="1440" w:bottom="1166" w:left="1440" w:header="720" w:footer="720" w:gutter="0"/>
          <w:lnNumType w:countBy="1" w:restart="continuous"/>
          <w:cols w:space="720"/>
          <w:docGrid w:linePitch="360"/>
        </w:sectPr>
      </w:pPr>
    </w:p>
    <w:p w:rsidR="00F65B2F" w:rsidRDefault="00F65B2F" w:rsidP="00E140A6">
      <w:pPr>
        <w:keepLines/>
        <w:widowControl w:val="0"/>
        <w:tabs>
          <w:tab w:val="left" w:pos="13590"/>
        </w:tabs>
        <w:suppressAutoHyphens/>
        <w:spacing w:before="100" w:beforeAutospacing="1" w:after="100" w:afterAutospacing="1"/>
      </w:pPr>
      <w:r>
        <w:rPr>
          <w:b/>
        </w:rPr>
        <w:lastRenderedPageBreak/>
        <w:t>Table SI. 5</w:t>
      </w:r>
      <w:r w:rsidRPr="00E509CD">
        <w:rPr>
          <w:b/>
        </w:rPr>
        <w:t xml:space="preserve">: </w:t>
      </w:r>
      <w:r w:rsidRPr="00E509CD">
        <w:t>Species summary across strata and formations</w:t>
      </w:r>
      <w:r w:rsidR="00C1728A">
        <w:t xml:space="preserve"> (Numbers represent count data)</w:t>
      </w:r>
    </w:p>
    <w:tbl>
      <w:tblPr>
        <w:tblStyle w:val="TableGrid"/>
        <w:tblW w:w="13192" w:type="dxa"/>
        <w:tblLook w:val="04A0" w:firstRow="1" w:lastRow="0" w:firstColumn="1" w:lastColumn="0" w:noHBand="0" w:noVBand="1"/>
      </w:tblPr>
      <w:tblGrid>
        <w:gridCol w:w="1962"/>
        <w:gridCol w:w="3183"/>
        <w:gridCol w:w="1403"/>
        <w:gridCol w:w="936"/>
        <w:gridCol w:w="1150"/>
        <w:gridCol w:w="1296"/>
        <w:gridCol w:w="936"/>
        <w:gridCol w:w="1097"/>
        <w:gridCol w:w="1296"/>
      </w:tblGrid>
      <w:tr w:rsidR="00B956EB" w:rsidRPr="00B956EB" w:rsidTr="00B956EB">
        <w:trPr>
          <w:trHeight w:val="345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Family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Species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Habitat</w:t>
            </w:r>
          </w:p>
        </w:tc>
        <w:tc>
          <w:tcPr>
            <w:tcW w:w="3382" w:type="dxa"/>
            <w:gridSpan w:val="3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Overstorey</w:t>
            </w:r>
          </w:p>
        </w:tc>
        <w:tc>
          <w:tcPr>
            <w:tcW w:w="3262" w:type="dxa"/>
            <w:gridSpan w:val="3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Understorey</w:t>
            </w:r>
          </w:p>
        </w:tc>
      </w:tr>
      <w:tr w:rsidR="00B956EB" w:rsidRPr="00B956EB" w:rsidTr="00B956EB">
        <w:trPr>
          <w:trHeight w:val="315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</w:rPr>
            </w:pPr>
            <w:r w:rsidRPr="00B956EB">
              <w:rPr>
                <w:b/>
              </w:rPr>
              <w:t> 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</w:rPr>
            </w:pPr>
            <w:r w:rsidRPr="00B956EB">
              <w:rPr>
                <w:b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</w:rPr>
            </w:pPr>
            <w:r w:rsidRPr="00B956EB">
              <w:rPr>
                <w:b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Forest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Savanna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Sub-Total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Forest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Savanna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  <w:rPr>
                <w:b/>
                <w:bCs/>
              </w:rPr>
            </w:pPr>
            <w:r w:rsidRPr="00B956EB">
              <w:rPr>
                <w:b/>
                <w:bCs/>
              </w:rPr>
              <w:t>Sub-Total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Malvaceae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Sterculia tragacantha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64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68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68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Sapotaceae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Pouteria alnifolia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12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7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19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8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19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27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Apocynaceae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Holarrhena floribunda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Rubiaceae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Didymosalpinx abbeokutae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13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13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7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12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Sapotaceae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Manilkara obovata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7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12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Leguminosae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Lonchocarpus sericeus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9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10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Annonaceae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Monodora tenuifolia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7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17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20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Rubiaceae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Pavetta mollissima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7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7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9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9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Chrysobalanaceae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Chrysobalanus icaco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Arecaceae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proofErr w:type="spellStart"/>
            <w:r w:rsidRPr="00B956EB">
              <w:t>Elaeis</w:t>
            </w:r>
            <w:proofErr w:type="spellEnd"/>
            <w:r w:rsidRPr="00B956EB">
              <w:t xml:space="preserve"> guineensis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Leguminosae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Detarium senegalense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lastRenderedPageBreak/>
              <w:t>Burseraceae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Dacryodes klaineana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Myrtaceae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Syzygium guineense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Malvaceae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Cola caricifolia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Malvaceae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Cola gigantea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Ochnaceae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Gomphia squamosa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Rubiaceae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Robynsia glabrata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8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8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Malvaceae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Cola millenii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Phyllanthaceae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Antidesma membranaceum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Anacardiaceae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Antrocaryon micraster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Leguminosae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Berlinia tomentella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Malvaceae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Cola lateritia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Moraceae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Milicia excelsa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Sapotaceae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Mimusops kummel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Rubiaceae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Pavetta ixorifolia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Dichapetalaceae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Tapura fischeri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lastRenderedPageBreak/>
              <w:t>Sapindaceae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Lecaniodiscus cupaniodes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15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Dilleniaceae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Tetracera affinis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17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17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Rutaceae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Clausena anisata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Vitaceae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Leea guineensis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Connaraceae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Agelaea pentagynatrifolia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Leguminosae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Dabergia oblongifolia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Malvaceae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Nesogordonia papaverifera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Connaraceae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Cnestis ferruginea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Apocynaceae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Saba camorensis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Apocynaceae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saba thompsonii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Rubiaceae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Coffea stenophylla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Leguminosae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Erythrophleum ivorense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Leguminsoae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Millettia zechiana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Sapindaceae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Pancovia pedicellaris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Apocynaceae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Rauvofia vomitoria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lastRenderedPageBreak/>
              <w:t>Rubiaceae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Tricalysia pallerns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Forest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Chrysobalanaceae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Dactyladenia dinklagei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 xml:space="preserve">Forest 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Combretaceae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Terminalia glaucescens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47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Phyllanthaceae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Hymenocardie acida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40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40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13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Ochnaceae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Lophira lanceolata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25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13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Combretaceae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Anogeissus leiocarpus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16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19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8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23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Leguminosae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Daniellia oliveri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17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18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Sapotaceae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Vitellaria paradoxa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10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10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15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Rutaceae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Zanthoxylum Zanthoxyloides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7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7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Rubiaceae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Sarcocephalus latifolius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8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8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Annonaceae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Uvaria chamae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42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44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86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Lamiaceae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Vitex grandifolia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8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leguminosae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Parkia biglobosa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Icacinaceae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Icacina Oliviformis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17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17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Gentianaceae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Anthocleista djalonensis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lastRenderedPageBreak/>
              <w:t>Arecaceae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 xml:space="preserve">Phoenix </w:t>
            </w:r>
            <w:proofErr w:type="spellStart"/>
            <w:r w:rsidRPr="00B956EB">
              <w:t>niclinata</w:t>
            </w:r>
            <w:proofErr w:type="spellEnd"/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Leguminosae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Pterocarpus erinaceus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8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13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Araliaceae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Cussonia arborea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Myrtaceae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Eugenia coronata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Arecaceae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Borassus aethiopum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Salicaceae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Oncoba spinoza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Annonaceae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Uvaria afzelii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savanna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Meliaceae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Khaya senegalensis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47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19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22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Phyllanthaceae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Bridelia micrantha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7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7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Anacardiaceae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Lannea nigritana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18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19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12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Moraceae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Ficus sur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17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17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Leguminosae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Dialium guineense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Sapindaceae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Allophylus africanus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Phyllanthaceae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Phyllanthus  muellerianus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4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Ebenaceae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 xml:space="preserve">Diospyros mespiliformis 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18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14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32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lastRenderedPageBreak/>
              <w:t>Phyllanthaceae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Margaritaria discoidea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Apocynaceae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Landolphia owariensis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6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Annonaceae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Annona glabra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5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Olacaceae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Olax subcorpioidea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2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</w:tr>
      <w:tr w:rsidR="00B956EB" w:rsidRPr="00B956EB" w:rsidTr="00B956EB">
        <w:trPr>
          <w:trHeight w:val="300"/>
        </w:trPr>
        <w:tc>
          <w:tcPr>
            <w:tcW w:w="1962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Sapindaceae</w:t>
            </w:r>
          </w:p>
        </w:tc>
        <w:tc>
          <w:tcPr>
            <w:tcW w:w="318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Paullinia pinnata</w:t>
            </w:r>
          </w:p>
        </w:tc>
        <w:tc>
          <w:tcPr>
            <w:tcW w:w="1403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Ubiquitous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15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 </w:t>
            </w:r>
          </w:p>
        </w:tc>
        <w:tc>
          <w:tcPr>
            <w:tcW w:w="93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3</w:t>
            </w:r>
          </w:p>
        </w:tc>
        <w:tc>
          <w:tcPr>
            <w:tcW w:w="1030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9</w:t>
            </w:r>
          </w:p>
        </w:tc>
        <w:tc>
          <w:tcPr>
            <w:tcW w:w="1296" w:type="dxa"/>
            <w:noWrap/>
            <w:hideMark/>
          </w:tcPr>
          <w:p w:rsidR="00B956EB" w:rsidRPr="00B956EB" w:rsidRDefault="00B956EB" w:rsidP="00E140A6">
            <w:pPr>
              <w:keepLines/>
              <w:widowControl w:val="0"/>
              <w:tabs>
                <w:tab w:val="left" w:pos="13590"/>
              </w:tabs>
              <w:suppressAutoHyphens/>
              <w:spacing w:before="100" w:beforeAutospacing="1" w:after="100" w:afterAutospacing="1"/>
            </w:pPr>
            <w:r w:rsidRPr="00B956EB">
              <w:t>12</w:t>
            </w:r>
          </w:p>
        </w:tc>
      </w:tr>
    </w:tbl>
    <w:p w:rsidR="00FB55BB" w:rsidRDefault="00FB55BB" w:rsidP="00E140A6">
      <w:pPr>
        <w:tabs>
          <w:tab w:val="left" w:pos="13590"/>
        </w:tabs>
      </w:pPr>
    </w:p>
    <w:sectPr w:rsidR="00FB55BB" w:rsidSect="004253A7">
      <w:pgSz w:w="16840" w:h="11901" w:orient="landscape" w:code="9"/>
      <w:pgMar w:top="1699" w:right="1411" w:bottom="1699" w:left="1411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sDA1NDS1MDQwMDBW0lEKTi0uzszPAykwqgUAWsE3lywAAAA="/>
  </w:docVars>
  <w:rsids>
    <w:rsidRoot w:val="00F65B2F"/>
    <w:rsid w:val="000C2588"/>
    <w:rsid w:val="00261D58"/>
    <w:rsid w:val="002A1A40"/>
    <w:rsid w:val="0031259F"/>
    <w:rsid w:val="004253A7"/>
    <w:rsid w:val="00442FF6"/>
    <w:rsid w:val="00480E4F"/>
    <w:rsid w:val="00532A25"/>
    <w:rsid w:val="00630F13"/>
    <w:rsid w:val="00662858"/>
    <w:rsid w:val="008316ED"/>
    <w:rsid w:val="00842891"/>
    <w:rsid w:val="00953859"/>
    <w:rsid w:val="009B38CE"/>
    <w:rsid w:val="009B5030"/>
    <w:rsid w:val="009D5404"/>
    <w:rsid w:val="00A14FD1"/>
    <w:rsid w:val="00A868CE"/>
    <w:rsid w:val="00AF157A"/>
    <w:rsid w:val="00B53D0B"/>
    <w:rsid w:val="00B956EB"/>
    <w:rsid w:val="00C1728A"/>
    <w:rsid w:val="00CA3102"/>
    <w:rsid w:val="00E140A6"/>
    <w:rsid w:val="00F328E8"/>
    <w:rsid w:val="00F65B2F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44CE-0261-4BC7-9C3A-2BAD6E6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2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B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65B2F"/>
  </w:style>
  <w:style w:type="paragraph" w:styleId="BalloonText">
    <w:name w:val="Balloon Text"/>
    <w:basedOn w:val="Normal"/>
    <w:link w:val="BalloonTextChar"/>
    <w:uiPriority w:val="99"/>
    <w:semiHidden/>
    <w:unhideWhenUsed/>
    <w:rsid w:val="009B5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3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261D58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D58"/>
    <w:rPr>
      <w:rFonts w:eastAsiaTheme="minorEastAsia"/>
      <w:sz w:val="20"/>
      <w:szCs w:val="20"/>
      <w:lang w:val="en-GB"/>
    </w:rPr>
  </w:style>
  <w:style w:type="paragraph" w:customStyle="1" w:styleId="Tabletitle">
    <w:name w:val="Table title"/>
    <w:basedOn w:val="Normal"/>
    <w:next w:val="Normal"/>
    <w:qFormat/>
    <w:rsid w:val="000C2588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FF58-4EFF-451F-9595-468AB53C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Armani</dc:creator>
  <cp:keywords/>
  <dc:description/>
  <cp:lastModifiedBy>Armani Mohammed</cp:lastModifiedBy>
  <cp:revision>5</cp:revision>
  <dcterms:created xsi:type="dcterms:W3CDTF">2018-07-17T03:08:00Z</dcterms:created>
  <dcterms:modified xsi:type="dcterms:W3CDTF">2018-08-23T05:23:00Z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16th edition (full note)</vt:lpwstr>
  </property>
  <property fmtid="{D5CDD505-2E9C-101B-9397-08002B2CF9AE}" pid="12" name="Mendeley Recent Style Id 5_1">
    <vt:lpwstr>http://csl.mendeley.com/styles/211891801/council-of-science-editors-author-date</vt:lpwstr>
  </property>
  <property fmtid="{D5CDD505-2E9C-101B-9397-08002B2CF9AE}" pid="13" name="Mendeley Recent Style Name 5_1">
    <vt:lpwstr>Council of Science Editors, Name-Year (author-date) - Mohammed Armani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a4e711fb-123c-313a-8ea3-dab0f554a64b</vt:lpwstr>
  </property>
  <property fmtid="{D5CDD505-2E9C-101B-9397-08002B2CF9AE}" pid="24" name="Mendeley Citation Style_1">
    <vt:lpwstr>http://csl.mendeley.com/styles/211891801/council-of-science-editors-author-date</vt:lpwstr>
  </property>
</Properties>
</file>