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margin" w:tblpX="86" w:tblpY="1930"/>
        <w:tblW w:w="8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12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Compound</w:t>
            </w:r>
          </w:p>
        </w:tc>
        <w:tc>
          <w:tcPr>
            <w:tcW w:w="312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Constituent</w:t>
            </w:r>
          </w:p>
        </w:tc>
        <w:tc>
          <w:tcPr>
            <w:tcW w:w="4536" w:type="dxa"/>
            <w:tcBorders>
              <w:top w:val="single" w:color="auto" w:sz="8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Content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restart"/>
            <w:tcBorders>
              <w:top w:val="single" w:color="auto" w:sz="4" w:space="0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LBPs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vertAlign w:val="superscript"/>
                <w:lang w:val="en-US" w:eastAsia="zh-CN"/>
              </w:rPr>
              <w:t>a</w:t>
            </w: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Raw polysaccharides 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Rha: Fuc: Ara: Xyl: Man: Gal: Glc: Uronic acid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0.47: 0.1: 8.84: 0.57: 0.22: 1.65: 1: 26.87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nil"/>
              <w:bottom w:val="single" w:color="BFBFBF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nil"/>
              <w:bottom w:val="single" w:color="BFBFBF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Purified polysaccharides 1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Rha: Ara: Xyl: Gal: Man: GalA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1:7.85: 0.37: 0.65: 3.01: 8.16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nil"/>
              <w:bottom w:val="single" w:color="BFBFBF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nil"/>
              <w:bottom w:val="single" w:color="BFBFBF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Purified polysaccharides 2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Rha: Ara: Xyl: Man: Glc: Gal: GalA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1: 8.34: 1.25: 1.26: 1.91: 7.05: 15.28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LP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vertAlign w:val="superscript"/>
                <w:lang w:val="en-US" w:eastAsia="zh-CN"/>
              </w:rPr>
              <w:t>b</w:t>
            </w:r>
          </w:p>
        </w:tc>
        <w:tc>
          <w:tcPr>
            <w:tcW w:w="3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Zeaxanthin dipalmitate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vertAlign w:val="superscript"/>
                <w:lang w:val="en-US" w:eastAsia="zh-CN"/>
              </w:rPr>
              <w:t>c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80.51%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Zeaxanthin 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0.10%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Zeaxanthin monopalmitate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6.05%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β-Cryptoxanthin monopalmitate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11.67%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2" w:type="dxa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β-carotene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lang w:val="en-US" w:eastAsia="zh-CN"/>
              </w:rPr>
              <w:t>1.67%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S1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The main components in LBPs and LP.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</w:rPr>
        <w:t>The monosaccharide constituents of LBPs were cited from previous studies</w:t>
      </w:r>
      <w:r>
        <w:rPr>
          <w:rFonts w:hint="eastAsia" w:ascii="Times New Roman" w:hAnsi="Times New Roman" w:cs="Times New Roman"/>
          <w:sz w:val="24"/>
          <w:lang w:eastAsia="zh-CN"/>
        </w:rPr>
        <w:t xml:space="preserve"> (</w:t>
      </w:r>
      <w:r>
        <w:rPr>
          <w:rFonts w:ascii="Times New Roman" w:hAnsi="Times New Roman" w:cs="Times New Roman"/>
          <w:sz w:val="24"/>
          <w:lang w:val="en-US" w:eastAsia="zh-CN"/>
        </w:rPr>
        <w:t>Masci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et al., 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lang w:val="en-US" w:eastAsia="zh-CN"/>
        </w:rPr>
        <w:t>2018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; </w:t>
      </w:r>
      <w:r>
        <w:rPr>
          <w:rFonts w:ascii="Times New Roman" w:hAnsi="Times New Roman" w:cs="Times New Roman"/>
          <w:sz w:val="24"/>
          <w:lang w:val="en-US" w:eastAsia="zh-CN"/>
        </w:rPr>
        <w:t>Zou</w:t>
      </w:r>
      <w:r>
        <w:rPr>
          <w:rFonts w:hint="eastAsia" w:ascii="Times New Roman" w:hAnsi="Times New Roman" w:cs="Times New Roman"/>
          <w:sz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lang w:val="en-US" w:eastAsia="zh-CN"/>
        </w:rPr>
        <w:t xml:space="preserve"> Zhang</w:t>
      </w:r>
      <w:r>
        <w:rPr>
          <w:rFonts w:hint="eastAsia" w:ascii="Times New Roman" w:hAnsi="Times New Roman" w:cs="Times New Roman"/>
          <w:sz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lang w:val="en-US" w:eastAsia="zh-CN"/>
        </w:rPr>
        <w:t xml:space="preserve"> Yao,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lang w:val="en-US" w:eastAsia="zh-CN"/>
        </w:rPr>
        <w:t>Niu</w:t>
      </w:r>
      <w:r>
        <w:rPr>
          <w:rFonts w:hint="eastAsia" w:ascii="Times New Roman" w:hAnsi="Times New Roman" w:cs="Times New Roman"/>
          <w:sz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&amp; </w:t>
      </w:r>
      <w:r>
        <w:rPr>
          <w:rFonts w:ascii="Times New Roman" w:hAnsi="Times New Roman" w:cs="Times New Roman"/>
          <w:sz w:val="24"/>
          <w:lang w:val="en-US" w:eastAsia="zh-CN"/>
        </w:rPr>
        <w:t>Gao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lang w:val="en-US" w:eastAsia="zh-CN"/>
        </w:rPr>
        <w:t>2010</w:t>
      </w:r>
      <w:r>
        <w:rPr>
          <w:rFonts w:hint="eastAsia" w:ascii="Times New Roman" w:hAnsi="Times New Roman" w:cs="Times New Roman"/>
          <w:sz w:val="24"/>
          <w:lang w:val="en-US" w:eastAsia="zh-CN"/>
        </w:rPr>
        <w:t>)</w:t>
      </w:r>
      <w:r>
        <w:rPr>
          <w:rFonts w:hint="eastAsia" w:ascii="Times New Roman" w:hAnsi="Times New Roman" w:cs="Times New Roman"/>
          <w:sz w:val="24"/>
          <w:lang w:eastAsia="zh-CN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</w:rPr>
        <w:t>The constituents of LP were cited from one previous study</w:t>
      </w:r>
      <w:r>
        <w:rPr>
          <w:rFonts w:hint="eastAsia" w:ascii="Times New Roman" w:hAnsi="Times New Roman" w:cs="Times New Roman"/>
          <w:sz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>(</w:t>
      </w:r>
      <w:r>
        <w:rPr>
          <w:rFonts w:ascii="Times New Roman" w:hAnsi="Times New Roman" w:cs="Times New Roman"/>
          <w:sz w:val="24"/>
          <w:lang w:val="en-US" w:eastAsia="zh-CN"/>
        </w:rPr>
        <w:t>Amagase</w:t>
      </w:r>
      <w:r>
        <w:rPr>
          <w:rFonts w:hint="eastAsia" w:ascii="Times New Roman" w:hAnsi="Times New Roman" w:cs="Times New Roman"/>
          <w:sz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&amp; </w:t>
      </w:r>
      <w:r>
        <w:rPr>
          <w:rFonts w:ascii="Times New Roman" w:hAnsi="Times New Roman" w:cs="Times New Roman"/>
          <w:sz w:val="24"/>
          <w:lang w:val="en-US" w:eastAsia="zh-CN"/>
        </w:rPr>
        <w:t>Farnsworth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lang w:val="en-US" w:eastAsia="zh-CN"/>
        </w:rPr>
        <w:t>2011</w:t>
      </w:r>
      <w:r>
        <w:rPr>
          <w:rFonts w:hint="eastAsia" w:ascii="Times New Roman" w:hAnsi="Times New Roman" w:cs="Times New Roman"/>
          <w:sz w:val="24"/>
          <w:lang w:val="en-US" w:eastAsia="zh-CN"/>
        </w:rPr>
        <w:t>)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  <w:lang w:eastAsia="zh-CN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c </w:t>
      </w:r>
      <w:r>
        <w:rPr>
          <w:rFonts w:ascii="Times New Roman" w:hAnsi="Times New Roman" w:cs="Times New Roman"/>
          <w:sz w:val="24"/>
        </w:rPr>
        <w:t>The contents of these compounds were the respective percentages in carotenoids that were suggested to be the major component in LP</w:t>
      </w:r>
      <w:r>
        <w:rPr>
          <w:rFonts w:hint="eastAsia" w:ascii="Times New Roman" w:hAnsi="Times New Roman" w:cs="Times New Roman"/>
          <w:sz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>(</w:t>
      </w:r>
      <w:r>
        <w:rPr>
          <w:rFonts w:ascii="Times New Roman" w:hAnsi="Times New Roman" w:cs="Times New Roman"/>
          <w:sz w:val="24"/>
          <w:lang w:val="en-US" w:eastAsia="zh-CN"/>
        </w:rPr>
        <w:t>Amagase</w:t>
      </w:r>
      <w:r>
        <w:rPr>
          <w:rFonts w:hint="eastAsia" w:ascii="Times New Roman" w:hAnsi="Times New Roman" w:cs="Times New Roman"/>
          <w:sz w:val="24"/>
          <w:lang w:val="en-US" w:eastAsia="zh-CN"/>
        </w:rPr>
        <w:t>,</w:t>
      </w:r>
      <w:r>
        <w:rPr>
          <w:rFonts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&amp; </w:t>
      </w:r>
      <w:r>
        <w:rPr>
          <w:rFonts w:ascii="Times New Roman" w:hAnsi="Times New Roman" w:cs="Times New Roman"/>
          <w:sz w:val="24"/>
          <w:lang w:val="en-US" w:eastAsia="zh-CN"/>
        </w:rPr>
        <w:t>Farnsworth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color w:val="0000FF"/>
          <w:kern w:val="2"/>
          <w:sz w:val="24"/>
          <w:lang w:val="en-US" w:eastAsia="zh-CN"/>
        </w:rPr>
        <w:t>2011</w:t>
      </w:r>
      <w:r>
        <w:rPr>
          <w:rFonts w:hint="eastAsia" w:ascii="Times New Roman" w:hAnsi="Times New Roman" w:cs="Times New Roman"/>
          <w:sz w:val="24"/>
          <w:lang w:val="en-US" w:eastAsia="zh-CN"/>
        </w:rPr>
        <w:t>)</w:t>
      </w:r>
      <w:r>
        <w:rPr>
          <w:rFonts w:ascii="Times New Roman" w:hAnsi="Times New Roman" w:cs="Times New Roman"/>
          <w:sz w:val="24"/>
        </w:rPr>
        <w:t>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A7"/>
    <w:rsid w:val="0009744D"/>
    <w:rsid w:val="00152BEF"/>
    <w:rsid w:val="001A2F85"/>
    <w:rsid w:val="00223F96"/>
    <w:rsid w:val="00397F92"/>
    <w:rsid w:val="003C19A5"/>
    <w:rsid w:val="004F1FD6"/>
    <w:rsid w:val="0077201D"/>
    <w:rsid w:val="007B10C2"/>
    <w:rsid w:val="00946DAD"/>
    <w:rsid w:val="009658DD"/>
    <w:rsid w:val="009E3C89"/>
    <w:rsid w:val="00B2034E"/>
    <w:rsid w:val="00CC24A7"/>
    <w:rsid w:val="00CE0D13"/>
    <w:rsid w:val="00E72B19"/>
    <w:rsid w:val="00F36BB7"/>
    <w:rsid w:val="1A677AC2"/>
    <w:rsid w:val="22FA3AC6"/>
    <w:rsid w:val="31D254B6"/>
    <w:rsid w:val="3F98747A"/>
    <w:rsid w:val="42AB2475"/>
    <w:rsid w:val="472348C2"/>
    <w:rsid w:val="616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Theme="minorEastAsia" w:cstheme="minorBidi"/>
      <w:sz w:val="22"/>
      <w:szCs w:val="24"/>
      <w:lang w:val="en-A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widowControl w:val="0"/>
      <w:spacing w:before="200"/>
      <w:jc w:val="both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2"/>
      <w:sz w:val="26"/>
      <w:szCs w:val="26"/>
      <w:lang w:val="en-US" w:eastAsia="zh-CN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00" w:line="276" w:lineRule="auto"/>
      <w:outlineLvl w:val="2"/>
    </w:pPr>
    <w:rPr>
      <w:rFonts w:ascii="Times New Roman" w:hAnsi="Times New Roman" w:eastAsiaTheme="majorEastAsia" w:cstheme="majorBidi"/>
      <w:b/>
      <w:bCs/>
      <w:szCs w:val="22"/>
      <w:lang w:eastAsia="zh-CN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  <w:rPr>
      <w:rFonts w:cs="Times New Roman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rPr>
      <w:rFonts w:cs="Times New Roman"/>
    </w:rPr>
  </w:style>
  <w:style w:type="paragraph" w:styleId="10">
    <w:name w:val="toc 2"/>
    <w:basedOn w:val="1"/>
    <w:next w:val="1"/>
    <w:semiHidden/>
    <w:unhideWhenUsed/>
    <w:qFormat/>
    <w:uiPriority w:val="39"/>
    <w:pPr>
      <w:spacing w:after="100" w:line="276" w:lineRule="auto"/>
      <w:ind w:left="220"/>
    </w:pPr>
    <w:rPr>
      <w:rFonts w:asciiTheme="minorHAnsi" w:hAnsiTheme="minorHAnsi"/>
      <w:szCs w:val="22"/>
      <w:lang w:val="en-US" w:eastAsia="zh-CN"/>
    </w:rPr>
  </w:style>
  <w:style w:type="character" w:styleId="12">
    <w:name w:val="Emphasis"/>
    <w:qFormat/>
    <w:uiPriority w:val="0"/>
    <w:rPr>
      <w:i/>
      <w:iCs/>
    </w:rPr>
  </w:style>
  <w:style w:type="character" w:customStyle="1" w:styleId="14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5">
    <w:name w:val="标题 3 Char"/>
    <w:basedOn w:val="11"/>
    <w:link w:val="4"/>
    <w:qFormat/>
    <w:uiPriority w:val="9"/>
    <w:rPr>
      <w:rFonts w:ascii="Times New Roman" w:hAnsi="Times New Roman" w:eastAsiaTheme="majorEastAsia" w:cstheme="majorBidi"/>
      <w:b/>
      <w:bCs/>
      <w:kern w:val="0"/>
      <w:sz w:val="22"/>
      <w:lang w:val="en-AU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7">
    <w:name w:val="题注1"/>
    <w:basedOn w:val="4"/>
    <w:link w:val="18"/>
    <w:qFormat/>
    <w:uiPriority w:val="0"/>
    <w:pPr>
      <w:spacing w:before="0" w:line="360" w:lineRule="auto"/>
      <w:jc w:val="both"/>
    </w:pPr>
    <w:rPr>
      <w:rFonts w:cs="Times New Roman"/>
      <w:b w:val="0"/>
      <w:sz w:val="24"/>
      <w:szCs w:val="24"/>
    </w:rPr>
  </w:style>
  <w:style w:type="character" w:customStyle="1" w:styleId="18">
    <w:name w:val="caption Char"/>
    <w:basedOn w:val="15"/>
    <w:link w:val="17"/>
    <w:qFormat/>
    <w:uiPriority w:val="0"/>
    <w:rPr>
      <w:rFonts w:ascii="Times New Roman" w:hAnsi="Times New Roman" w:cs="Times New Roman" w:eastAsiaTheme="majorEastAsia"/>
      <w:b w:val="0"/>
      <w:kern w:val="0"/>
      <w:sz w:val="24"/>
      <w:szCs w:val="24"/>
      <w:lang w:val="en-AU"/>
    </w:rPr>
  </w:style>
  <w:style w:type="character" w:customStyle="1" w:styleId="19">
    <w:name w:val="标题 1 Char"/>
    <w:basedOn w:val="11"/>
    <w:link w:val="2"/>
    <w:qFormat/>
    <w:uiPriority w:val="9"/>
    <w:rPr>
      <w:rFonts w:ascii="Arial" w:hAnsi="Arial" w:cs="Times New Roman"/>
      <w:b/>
      <w:bCs/>
      <w:kern w:val="44"/>
      <w:sz w:val="44"/>
      <w:szCs w:val="44"/>
      <w:lang w:val="en-AU" w:eastAsia="en-US"/>
    </w:rPr>
  </w:style>
  <w:style w:type="paragraph" w:customStyle="1" w:styleId="20">
    <w:name w:val="TOC 标题1"/>
    <w:basedOn w:val="2"/>
    <w:next w:val="1"/>
    <w:semiHidden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  <w:lang w:val="en-US" w:eastAsia="zh-CN"/>
    </w:rPr>
  </w:style>
  <w:style w:type="character" w:customStyle="1" w:styleId="21">
    <w:name w:val="页眉 Char"/>
    <w:basedOn w:val="11"/>
    <w:link w:val="8"/>
    <w:qFormat/>
    <w:uiPriority w:val="99"/>
    <w:rPr>
      <w:rFonts w:ascii="Arial" w:hAnsi="Arial"/>
      <w:kern w:val="0"/>
      <w:sz w:val="18"/>
      <w:szCs w:val="18"/>
      <w:lang w:val="en-AU" w:eastAsia="en-US"/>
    </w:rPr>
  </w:style>
  <w:style w:type="character" w:customStyle="1" w:styleId="22">
    <w:name w:val="页脚 Char"/>
    <w:basedOn w:val="11"/>
    <w:link w:val="7"/>
    <w:qFormat/>
    <w:uiPriority w:val="99"/>
    <w:rPr>
      <w:rFonts w:ascii="Arial" w:hAnsi="Arial"/>
      <w:kern w:val="0"/>
      <w:sz w:val="18"/>
      <w:szCs w:val="18"/>
      <w:lang w:val="en-AU" w:eastAsia="en-US"/>
    </w:rPr>
  </w:style>
  <w:style w:type="character" w:customStyle="1" w:styleId="23">
    <w:name w:val="批注框文本 Char"/>
    <w:basedOn w:val="11"/>
    <w:link w:val="6"/>
    <w:semiHidden/>
    <w:qFormat/>
    <w:uiPriority w:val="99"/>
    <w:rPr>
      <w:rFonts w:ascii="Arial" w:hAnsi="Arial"/>
      <w:kern w:val="0"/>
      <w:sz w:val="18"/>
      <w:szCs w:val="18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814</Characters>
  <Lines>6</Lines>
  <Paragraphs>1</Paragraphs>
  <TotalTime>32</TotalTime>
  <ScaleCrop>false</ScaleCrop>
  <LinksUpToDate>false</LinksUpToDate>
  <CharactersWithSpaces>955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2018-04-22T08:41:00Z</dcterms:created>
  <dc:creator>Lijun</dc:creator>
  <cp:lastModifiedBy>dell</cp:lastModifiedBy>
  <dcterms:modified xsi:type="dcterms:W3CDTF">2018-07-31T00:19:14Z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