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C0D6D" w14:textId="77777777" w:rsidR="006C112E" w:rsidRPr="00BF26C8" w:rsidRDefault="00A379C8" w:rsidP="00A933FA">
      <w:pPr>
        <w:autoSpaceDE w:val="0"/>
        <w:autoSpaceDN w:val="0"/>
        <w:adjustRightInd w:val="0"/>
        <w:spacing w:after="0" w:line="240" w:lineRule="auto"/>
        <w:jc w:val="center"/>
        <w:rPr>
          <w:rFonts w:ascii="Times New Roman" w:hAnsi="Times New Roman" w:cs="Times New Roman"/>
          <w:b/>
          <w:bCs/>
          <w:sz w:val="32"/>
          <w:szCs w:val="20"/>
        </w:rPr>
      </w:pPr>
      <w:r w:rsidRPr="00BF26C8">
        <w:rPr>
          <w:rFonts w:ascii="Times New Roman" w:hAnsi="Times New Roman" w:cs="Times New Roman"/>
          <w:b/>
          <w:bCs/>
          <w:sz w:val="32"/>
          <w:szCs w:val="20"/>
        </w:rPr>
        <w:t>S</w:t>
      </w:r>
      <w:r w:rsidR="00A933FA" w:rsidRPr="00BF26C8">
        <w:rPr>
          <w:rFonts w:ascii="Times New Roman" w:hAnsi="Times New Roman" w:cs="Times New Roman"/>
          <w:b/>
          <w:bCs/>
          <w:sz w:val="32"/>
          <w:szCs w:val="20"/>
        </w:rPr>
        <w:t>upplemental</w:t>
      </w:r>
      <w:r w:rsidRPr="00BF26C8">
        <w:rPr>
          <w:rFonts w:ascii="Times New Roman" w:hAnsi="Times New Roman" w:cs="Times New Roman"/>
          <w:b/>
          <w:bCs/>
          <w:sz w:val="32"/>
          <w:szCs w:val="20"/>
        </w:rPr>
        <w:t xml:space="preserve"> M</w:t>
      </w:r>
      <w:r w:rsidR="00415CCA" w:rsidRPr="00BF26C8">
        <w:rPr>
          <w:rFonts w:ascii="Times New Roman" w:hAnsi="Times New Roman" w:cs="Times New Roman"/>
          <w:b/>
          <w:bCs/>
          <w:sz w:val="32"/>
          <w:szCs w:val="20"/>
        </w:rPr>
        <w:t>aterial</w:t>
      </w:r>
    </w:p>
    <w:p w14:paraId="6D9C0D6E" w14:textId="77777777" w:rsidR="00DF6A3B" w:rsidRPr="00BF26C8" w:rsidRDefault="00DF6A3B" w:rsidP="006C112E">
      <w:pPr>
        <w:autoSpaceDE w:val="0"/>
        <w:autoSpaceDN w:val="0"/>
        <w:adjustRightInd w:val="0"/>
        <w:spacing w:after="0" w:line="240" w:lineRule="auto"/>
        <w:rPr>
          <w:rFonts w:ascii="Times New Roman" w:hAnsi="Times New Roman" w:cs="Times New Roman"/>
          <w:sz w:val="36"/>
        </w:rPr>
      </w:pPr>
    </w:p>
    <w:p w14:paraId="6D9C0D6F" w14:textId="77777777" w:rsidR="00DF6A3B" w:rsidRPr="00BF26C8" w:rsidRDefault="00DF6A3B" w:rsidP="006C112E">
      <w:pPr>
        <w:autoSpaceDE w:val="0"/>
        <w:autoSpaceDN w:val="0"/>
        <w:adjustRightInd w:val="0"/>
        <w:spacing w:after="0" w:line="240" w:lineRule="auto"/>
        <w:rPr>
          <w:rFonts w:ascii="Times New Roman" w:hAnsi="Times New Roman" w:cs="Times New Roman"/>
          <w:b/>
        </w:rPr>
      </w:pPr>
    </w:p>
    <w:p w14:paraId="6D9C0D70" w14:textId="77777777" w:rsidR="00A933FA" w:rsidRPr="00BF26C8" w:rsidRDefault="00A933FA" w:rsidP="00A933FA">
      <w:pPr>
        <w:rPr>
          <w:rFonts w:ascii="Times New Roman" w:eastAsia="Calibri" w:hAnsi="Times New Roman"/>
          <w:b/>
          <w:sz w:val="24"/>
        </w:rPr>
      </w:pPr>
    </w:p>
    <w:p w14:paraId="7789A86A" w14:textId="77777777" w:rsidR="00177716" w:rsidRPr="00BF26C8" w:rsidRDefault="00177716" w:rsidP="00177716">
      <w:pPr>
        <w:rPr>
          <w:rFonts w:ascii="Times New Roman" w:eastAsia="Calibri" w:hAnsi="Times New Roman"/>
          <w:b/>
          <w:bCs/>
          <w:sz w:val="26"/>
          <w:szCs w:val="26"/>
        </w:rPr>
      </w:pPr>
      <w:r w:rsidRPr="00BF26C8">
        <w:rPr>
          <w:rFonts w:ascii="Times New Roman" w:eastAsia="Calibri" w:hAnsi="Times New Roman"/>
          <w:b/>
          <w:bCs/>
          <w:sz w:val="26"/>
          <w:szCs w:val="26"/>
        </w:rPr>
        <w:t xml:space="preserve">Characterization and </w:t>
      </w:r>
      <w:r w:rsidRPr="00BF26C8">
        <w:rPr>
          <w:rFonts w:ascii="Times New Roman" w:eastAsia="Calibri" w:hAnsi="Times New Roman"/>
          <w:b/>
          <w:bCs/>
          <w:i/>
          <w:iCs/>
          <w:sz w:val="26"/>
          <w:szCs w:val="26"/>
        </w:rPr>
        <w:t>in vitro</w:t>
      </w:r>
      <w:r w:rsidRPr="00BF26C8">
        <w:rPr>
          <w:rFonts w:ascii="Times New Roman" w:eastAsia="Calibri" w:hAnsi="Times New Roman"/>
          <w:b/>
          <w:bCs/>
          <w:sz w:val="26"/>
          <w:szCs w:val="26"/>
        </w:rPr>
        <w:t xml:space="preserve"> biological effects of ambient air PM</w:t>
      </w:r>
      <w:r w:rsidRPr="00BF26C8">
        <w:rPr>
          <w:rFonts w:ascii="Times New Roman" w:eastAsia="Calibri" w:hAnsi="Times New Roman"/>
          <w:b/>
          <w:bCs/>
          <w:sz w:val="26"/>
          <w:szCs w:val="26"/>
          <w:vertAlign w:val="subscript"/>
        </w:rPr>
        <w:t>10</w:t>
      </w:r>
      <w:r w:rsidRPr="00BF26C8">
        <w:rPr>
          <w:rFonts w:ascii="Times New Roman" w:eastAsia="Calibri" w:hAnsi="Times New Roman"/>
          <w:b/>
          <w:sz w:val="26"/>
          <w:szCs w:val="26"/>
        </w:rPr>
        <w:t xml:space="preserve"> from a rural, an industrial and an urban site in </w:t>
      </w:r>
      <w:proofErr w:type="spellStart"/>
      <w:r w:rsidRPr="00BF26C8">
        <w:rPr>
          <w:rFonts w:ascii="Times New Roman" w:eastAsia="Calibri" w:hAnsi="Times New Roman"/>
          <w:b/>
          <w:sz w:val="26"/>
          <w:szCs w:val="26"/>
        </w:rPr>
        <w:t>Sulaimani</w:t>
      </w:r>
      <w:proofErr w:type="spellEnd"/>
      <w:r w:rsidRPr="00BF26C8">
        <w:rPr>
          <w:rFonts w:ascii="Times New Roman" w:eastAsia="Calibri" w:hAnsi="Times New Roman"/>
          <w:b/>
          <w:sz w:val="26"/>
          <w:szCs w:val="26"/>
        </w:rPr>
        <w:t xml:space="preserve"> City, Iraq</w:t>
      </w:r>
    </w:p>
    <w:p w14:paraId="770ED341" w14:textId="77777777" w:rsidR="00177716" w:rsidRPr="00BF26C8" w:rsidRDefault="00177716" w:rsidP="00177716">
      <w:pPr>
        <w:rPr>
          <w:rFonts w:ascii="Times New Roman" w:eastAsia="Calibri" w:hAnsi="Times New Roman" w:cs="Times New Roman"/>
          <w:b/>
          <w:sz w:val="24"/>
        </w:rPr>
      </w:pPr>
    </w:p>
    <w:p w14:paraId="2DB28B21" w14:textId="77777777" w:rsidR="00177716" w:rsidRPr="00BF26C8" w:rsidRDefault="00177716" w:rsidP="00177716">
      <w:pPr>
        <w:rPr>
          <w:rFonts w:ascii="Times New Roman" w:eastAsia="Calibri" w:hAnsi="Times New Roman" w:cs="Times New Roman"/>
          <w:b/>
          <w:sz w:val="24"/>
        </w:rPr>
      </w:pPr>
    </w:p>
    <w:p w14:paraId="0ECB6245" w14:textId="77777777" w:rsidR="00177716" w:rsidRPr="00BF26C8" w:rsidRDefault="00177716" w:rsidP="00177716">
      <w:pPr>
        <w:spacing w:after="0" w:line="240" w:lineRule="auto"/>
        <w:jc w:val="both"/>
        <w:rPr>
          <w:rFonts w:ascii="Times New Roman" w:eastAsia="Times New Roman" w:hAnsi="Times New Roman" w:cs="Times New Roman"/>
          <w:b/>
          <w:sz w:val="20"/>
          <w:szCs w:val="20"/>
          <w:lang w:eastAsia="it-IT"/>
        </w:rPr>
      </w:pPr>
      <w:r w:rsidRPr="00BF26C8">
        <w:rPr>
          <w:rFonts w:ascii="Times New Roman" w:eastAsia="Times New Roman" w:hAnsi="Times New Roman" w:cs="Times New Roman"/>
          <w:b/>
          <w:sz w:val="20"/>
          <w:szCs w:val="20"/>
          <w:lang w:eastAsia="it-IT"/>
        </w:rPr>
        <w:t>Ali Talib Arif</w:t>
      </w:r>
      <w:r w:rsidRPr="00BF26C8">
        <w:rPr>
          <w:rFonts w:ascii="Times New Roman" w:eastAsia="Times New Roman" w:hAnsi="Times New Roman" w:cs="Times New Roman"/>
          <w:b/>
          <w:sz w:val="20"/>
          <w:szCs w:val="20"/>
          <w:vertAlign w:val="superscript"/>
          <w:lang w:eastAsia="it-IT"/>
        </w:rPr>
        <w:t>1, 2, 6, 7</w:t>
      </w:r>
      <w:r w:rsidRPr="00BF26C8">
        <w:rPr>
          <w:rFonts w:ascii="Times New Roman" w:eastAsia="Times New Roman" w:hAnsi="Times New Roman" w:cs="Times New Roman"/>
          <w:b/>
          <w:sz w:val="20"/>
          <w:szCs w:val="20"/>
          <w:lang w:eastAsia="it-IT"/>
        </w:rPr>
        <w:t>, Christoph Maschowski</w:t>
      </w:r>
      <w:r w:rsidRPr="00BF26C8">
        <w:rPr>
          <w:rFonts w:ascii="Times New Roman" w:eastAsia="Times New Roman" w:hAnsi="Times New Roman" w:cs="Times New Roman"/>
          <w:b/>
          <w:sz w:val="20"/>
          <w:szCs w:val="20"/>
          <w:vertAlign w:val="superscript"/>
          <w:lang w:eastAsia="it-IT"/>
        </w:rPr>
        <w:t>6</w:t>
      </w:r>
      <w:r w:rsidRPr="00BF26C8">
        <w:rPr>
          <w:rFonts w:ascii="Times New Roman" w:eastAsia="Times New Roman" w:hAnsi="Times New Roman" w:cs="Times New Roman"/>
          <w:b/>
          <w:sz w:val="20"/>
          <w:szCs w:val="20"/>
          <w:lang w:eastAsia="it-IT"/>
        </w:rPr>
        <w:t>, Polla Khanaqa</w:t>
      </w:r>
      <w:r w:rsidRPr="00BF26C8">
        <w:rPr>
          <w:rFonts w:ascii="Times New Roman" w:eastAsia="Times New Roman" w:hAnsi="Times New Roman" w:cs="Times New Roman"/>
          <w:b/>
          <w:sz w:val="20"/>
          <w:szCs w:val="20"/>
          <w:vertAlign w:val="superscript"/>
          <w:lang w:eastAsia="it-IT"/>
        </w:rPr>
        <w:t>1, 7</w:t>
      </w:r>
      <w:r w:rsidRPr="00BF26C8">
        <w:rPr>
          <w:rFonts w:ascii="Times New Roman" w:eastAsia="Times New Roman" w:hAnsi="Times New Roman" w:cs="Times New Roman"/>
          <w:b/>
          <w:sz w:val="20"/>
          <w:szCs w:val="20"/>
          <w:lang w:eastAsia="it-IT"/>
        </w:rPr>
        <w:t xml:space="preserve">, </w:t>
      </w:r>
      <w:r w:rsidRPr="00BF26C8">
        <w:rPr>
          <w:rFonts w:ascii="Times New Roman" w:eastAsia="Calibri" w:hAnsi="Times New Roman" w:cs="Times New Roman"/>
          <w:b/>
          <w:sz w:val="20"/>
        </w:rPr>
        <w:t>Patxi Garra</w:t>
      </w:r>
      <w:r w:rsidRPr="00BF26C8">
        <w:rPr>
          <w:rFonts w:ascii="Times New Roman" w:eastAsia="Calibri" w:hAnsi="Times New Roman" w:cs="Times New Roman"/>
          <w:b/>
          <w:sz w:val="20"/>
          <w:vertAlign w:val="superscript"/>
        </w:rPr>
        <w:t>3, 4</w:t>
      </w:r>
      <w:r w:rsidRPr="00BF26C8">
        <w:rPr>
          <w:rFonts w:ascii="Times New Roman" w:eastAsia="Times New Roman" w:hAnsi="Times New Roman" w:cs="Times New Roman"/>
          <w:b/>
          <w:sz w:val="20"/>
          <w:szCs w:val="20"/>
          <w:lang w:eastAsia="it-IT"/>
        </w:rPr>
        <w:t>, Manuel Garcia-Käufer</w:t>
      </w:r>
      <w:r w:rsidRPr="00BF26C8">
        <w:rPr>
          <w:rFonts w:ascii="Times New Roman" w:eastAsia="Times New Roman" w:hAnsi="Times New Roman" w:cs="Times New Roman"/>
          <w:b/>
          <w:sz w:val="20"/>
          <w:szCs w:val="20"/>
          <w:vertAlign w:val="superscript"/>
          <w:lang w:eastAsia="it-IT"/>
        </w:rPr>
        <w:t>2</w:t>
      </w:r>
      <w:r w:rsidRPr="00BF26C8">
        <w:rPr>
          <w:rFonts w:ascii="Times New Roman" w:eastAsia="Times New Roman" w:hAnsi="Times New Roman" w:cs="Times New Roman"/>
          <w:b/>
          <w:sz w:val="20"/>
          <w:szCs w:val="20"/>
          <w:lang w:eastAsia="it-IT"/>
        </w:rPr>
        <w:t>, Nadja Wingert</w:t>
      </w:r>
      <w:r w:rsidRPr="00BF26C8">
        <w:rPr>
          <w:rFonts w:ascii="Times New Roman" w:eastAsia="Times New Roman" w:hAnsi="Times New Roman" w:cs="Times New Roman"/>
          <w:b/>
          <w:sz w:val="20"/>
          <w:szCs w:val="20"/>
          <w:vertAlign w:val="superscript"/>
          <w:lang w:eastAsia="it-IT"/>
        </w:rPr>
        <w:t>2</w:t>
      </w:r>
      <w:r w:rsidRPr="00BF26C8">
        <w:rPr>
          <w:rFonts w:ascii="Times New Roman" w:eastAsia="Calibri" w:hAnsi="Times New Roman" w:cs="Times New Roman"/>
          <w:b/>
          <w:sz w:val="20"/>
        </w:rPr>
        <w:t>,</w:t>
      </w:r>
      <w:r w:rsidRPr="00BF26C8">
        <w:rPr>
          <w:rFonts w:ascii="Times New Roman" w:eastAsia="Times New Roman" w:hAnsi="Times New Roman" w:cs="Times New Roman"/>
          <w:b/>
          <w:sz w:val="20"/>
          <w:szCs w:val="20"/>
          <w:lang w:eastAsia="it-IT"/>
        </w:rPr>
        <w:t>Volker Mersch-Sundermann</w:t>
      </w:r>
      <w:r w:rsidRPr="00BF26C8">
        <w:rPr>
          <w:rFonts w:ascii="Times New Roman" w:eastAsia="Times New Roman" w:hAnsi="Times New Roman" w:cs="Times New Roman"/>
          <w:b/>
          <w:sz w:val="20"/>
          <w:szCs w:val="20"/>
          <w:vertAlign w:val="superscript"/>
          <w:lang w:eastAsia="it-IT"/>
        </w:rPr>
        <w:t>2</w:t>
      </w:r>
      <w:r w:rsidRPr="00BF26C8">
        <w:rPr>
          <w:rFonts w:ascii="Times New Roman" w:eastAsia="Times New Roman" w:hAnsi="Times New Roman" w:cs="Times New Roman"/>
          <w:b/>
          <w:sz w:val="20"/>
          <w:szCs w:val="20"/>
          <w:lang w:eastAsia="it-IT"/>
        </w:rPr>
        <w:t>, Richard Gminski</w:t>
      </w:r>
      <w:r w:rsidRPr="00BF26C8">
        <w:rPr>
          <w:rFonts w:ascii="Times New Roman" w:eastAsia="Times New Roman" w:hAnsi="Times New Roman" w:cs="Times New Roman"/>
          <w:b/>
          <w:sz w:val="20"/>
          <w:szCs w:val="20"/>
          <w:vertAlign w:val="superscript"/>
          <w:lang w:eastAsia="it-IT"/>
        </w:rPr>
        <w:t>2</w:t>
      </w:r>
      <w:r w:rsidRPr="00BF26C8">
        <w:rPr>
          <w:rFonts w:ascii="Times New Roman" w:eastAsia="Times New Roman" w:hAnsi="Times New Roman" w:cs="Times New Roman"/>
          <w:b/>
          <w:sz w:val="20"/>
          <w:szCs w:val="20"/>
          <w:lang w:eastAsia="it-IT"/>
        </w:rPr>
        <w:t xml:space="preserve">, </w:t>
      </w:r>
      <w:proofErr w:type="spellStart"/>
      <w:r w:rsidRPr="00BF26C8">
        <w:rPr>
          <w:rFonts w:ascii="Times New Roman" w:eastAsia="Calibri" w:hAnsi="Times New Roman" w:cs="Times New Roman"/>
          <w:b/>
          <w:sz w:val="20"/>
        </w:rPr>
        <w:t>Gwenaëlle</w:t>
      </w:r>
      <w:proofErr w:type="spellEnd"/>
      <w:r w:rsidRPr="00BF26C8">
        <w:rPr>
          <w:rFonts w:ascii="Times New Roman" w:eastAsia="Calibri" w:hAnsi="Times New Roman" w:cs="Times New Roman"/>
          <w:b/>
          <w:sz w:val="20"/>
        </w:rPr>
        <w:t xml:space="preserve"> Trouvé</w:t>
      </w:r>
      <w:r w:rsidRPr="00BF26C8">
        <w:rPr>
          <w:rFonts w:ascii="Times New Roman" w:eastAsia="Calibri" w:hAnsi="Times New Roman" w:cs="Times New Roman"/>
          <w:b/>
          <w:sz w:val="20"/>
          <w:vertAlign w:val="superscript"/>
        </w:rPr>
        <w:t>3</w:t>
      </w:r>
      <w:r w:rsidRPr="00BF26C8">
        <w:rPr>
          <w:rFonts w:ascii="Times New Roman" w:eastAsia="Calibri" w:hAnsi="Times New Roman" w:cs="Times New Roman"/>
          <w:b/>
          <w:sz w:val="20"/>
        </w:rPr>
        <w:t xml:space="preserve">, </w:t>
      </w:r>
      <w:r w:rsidRPr="00BF26C8">
        <w:rPr>
          <w:rFonts w:ascii="Times New Roman" w:eastAsia="Times New Roman" w:hAnsi="Times New Roman" w:cs="Times New Roman"/>
          <w:b/>
          <w:sz w:val="20"/>
          <w:szCs w:val="20"/>
          <w:lang w:eastAsia="it-IT"/>
        </w:rPr>
        <w:t>Reto Gieré</w:t>
      </w:r>
      <w:r w:rsidRPr="00BF26C8">
        <w:rPr>
          <w:rFonts w:ascii="Times New Roman" w:eastAsia="Times New Roman" w:hAnsi="Times New Roman" w:cs="Times New Roman"/>
          <w:b/>
          <w:sz w:val="20"/>
          <w:szCs w:val="20"/>
          <w:vertAlign w:val="superscript"/>
          <w:lang w:eastAsia="it-IT"/>
        </w:rPr>
        <w:t>5</w:t>
      </w:r>
    </w:p>
    <w:p w14:paraId="2B85BC12" w14:textId="77777777" w:rsidR="00177716" w:rsidRPr="00BF26C8" w:rsidRDefault="00177716" w:rsidP="00177716">
      <w:pPr>
        <w:spacing w:after="0" w:line="240" w:lineRule="auto"/>
        <w:jc w:val="both"/>
        <w:rPr>
          <w:rFonts w:ascii="Times New Roman" w:eastAsia="Times New Roman" w:hAnsi="Times New Roman" w:cs="Times New Roman"/>
          <w:b/>
          <w:sz w:val="20"/>
          <w:szCs w:val="20"/>
          <w:vertAlign w:val="superscript"/>
          <w:lang w:eastAsia="it-IT"/>
        </w:rPr>
      </w:pPr>
    </w:p>
    <w:p w14:paraId="448CD18F" w14:textId="77777777" w:rsidR="00177716" w:rsidRPr="00BF26C8" w:rsidRDefault="00177716" w:rsidP="00177716">
      <w:pPr>
        <w:spacing w:after="0" w:line="240" w:lineRule="auto"/>
        <w:jc w:val="both"/>
        <w:rPr>
          <w:rFonts w:ascii="Times New Roman" w:eastAsia="Times New Roman" w:hAnsi="Times New Roman" w:cs="Times New Roman"/>
          <w:b/>
          <w:sz w:val="20"/>
          <w:szCs w:val="20"/>
          <w:vertAlign w:val="superscript"/>
          <w:lang w:eastAsia="it-IT"/>
        </w:rPr>
      </w:pPr>
    </w:p>
    <w:p w14:paraId="69503EAD" w14:textId="77777777" w:rsidR="00177716" w:rsidRPr="00BF26C8" w:rsidRDefault="00177716" w:rsidP="00177716">
      <w:pPr>
        <w:spacing w:after="0" w:line="240" w:lineRule="auto"/>
        <w:rPr>
          <w:rFonts w:ascii="Times New Roman" w:eastAsia="Times New Roman" w:hAnsi="Times New Roman" w:cs="Times New Roman"/>
          <w:b/>
          <w:sz w:val="18"/>
          <w:szCs w:val="20"/>
          <w:lang w:eastAsia="it-IT"/>
        </w:rPr>
      </w:pPr>
    </w:p>
    <w:p w14:paraId="17B235F9" w14:textId="77777777" w:rsidR="00177716" w:rsidRPr="00BF26C8" w:rsidRDefault="00177716" w:rsidP="00177716">
      <w:pPr>
        <w:spacing w:after="0" w:line="240" w:lineRule="auto"/>
        <w:rPr>
          <w:rFonts w:ascii="Times New Roman" w:eastAsia="Times New Roman" w:hAnsi="Times New Roman" w:cs="Times New Roman"/>
          <w:b/>
          <w:sz w:val="18"/>
          <w:szCs w:val="20"/>
          <w:lang w:eastAsia="it-IT"/>
        </w:rPr>
      </w:pPr>
    </w:p>
    <w:p w14:paraId="36796E73" w14:textId="77777777" w:rsidR="00177716" w:rsidRPr="00BF26C8" w:rsidRDefault="00177716" w:rsidP="00177716">
      <w:pPr>
        <w:spacing w:after="0" w:line="240" w:lineRule="auto"/>
        <w:rPr>
          <w:rFonts w:ascii="Times New Roman" w:eastAsia="Times New Roman" w:hAnsi="Times New Roman" w:cs="Times New Roman"/>
          <w:b/>
          <w:sz w:val="18"/>
          <w:szCs w:val="20"/>
          <w:lang w:eastAsia="it-IT"/>
        </w:rPr>
      </w:pPr>
    </w:p>
    <w:p w14:paraId="468169FC" w14:textId="77777777" w:rsidR="00177716" w:rsidRPr="00BF26C8" w:rsidRDefault="00177716" w:rsidP="00177716">
      <w:pPr>
        <w:spacing w:after="0" w:line="240" w:lineRule="auto"/>
        <w:rPr>
          <w:rFonts w:ascii="Times New Roman" w:eastAsia="Times New Roman" w:hAnsi="Times New Roman" w:cs="Times New Roman"/>
          <w:sz w:val="18"/>
          <w:szCs w:val="20"/>
          <w:lang w:eastAsia="it-IT"/>
        </w:rPr>
      </w:pPr>
      <w:r w:rsidRPr="00BF26C8">
        <w:rPr>
          <w:rFonts w:ascii="Times New Roman" w:eastAsia="Times New Roman" w:hAnsi="Times New Roman" w:cs="Times New Roman"/>
          <w:sz w:val="18"/>
          <w:szCs w:val="20"/>
          <w:vertAlign w:val="superscript"/>
          <w:lang w:eastAsia="it-IT"/>
        </w:rPr>
        <w:t>1</w:t>
      </w:r>
      <w:r w:rsidRPr="00BF26C8">
        <w:rPr>
          <w:rFonts w:ascii="Times New Roman" w:eastAsia="Times New Roman" w:hAnsi="Times New Roman" w:cs="Times New Roman"/>
          <w:sz w:val="18"/>
          <w:szCs w:val="20"/>
          <w:lang w:eastAsia="it-IT"/>
        </w:rPr>
        <w:t xml:space="preserve"> </w:t>
      </w:r>
      <w:proofErr w:type="spellStart"/>
      <w:r w:rsidRPr="00BF26C8">
        <w:rPr>
          <w:rFonts w:ascii="Times New Roman" w:eastAsia="Times New Roman" w:hAnsi="Times New Roman" w:cs="Times New Roman"/>
          <w:sz w:val="18"/>
          <w:szCs w:val="20"/>
          <w:lang w:eastAsia="it-IT"/>
        </w:rPr>
        <w:t>Sulaimani</w:t>
      </w:r>
      <w:proofErr w:type="spellEnd"/>
      <w:r w:rsidRPr="00BF26C8">
        <w:rPr>
          <w:rFonts w:ascii="Times New Roman" w:eastAsia="Times New Roman" w:hAnsi="Times New Roman" w:cs="Times New Roman"/>
          <w:sz w:val="18"/>
          <w:szCs w:val="20"/>
          <w:lang w:eastAsia="it-IT"/>
        </w:rPr>
        <w:t xml:space="preserve"> Polytechnic University (SPU), Technical College of health, </w:t>
      </w:r>
      <w:proofErr w:type="spellStart"/>
      <w:r w:rsidRPr="00BF26C8">
        <w:rPr>
          <w:rFonts w:ascii="Times New Roman" w:eastAsia="Times New Roman" w:hAnsi="Times New Roman" w:cs="Times New Roman"/>
          <w:sz w:val="18"/>
          <w:szCs w:val="20"/>
          <w:lang w:eastAsia="it-IT"/>
        </w:rPr>
        <w:t>Sulaimani</w:t>
      </w:r>
      <w:proofErr w:type="spellEnd"/>
      <w:r w:rsidRPr="00BF26C8">
        <w:rPr>
          <w:rFonts w:ascii="Times New Roman" w:eastAsia="Times New Roman" w:hAnsi="Times New Roman" w:cs="Times New Roman"/>
          <w:sz w:val="18"/>
          <w:szCs w:val="20"/>
          <w:lang w:eastAsia="it-IT"/>
        </w:rPr>
        <w:t>, Iraq</w:t>
      </w:r>
    </w:p>
    <w:p w14:paraId="6DCBBB0A" w14:textId="77777777" w:rsidR="00177716" w:rsidRPr="00BF26C8" w:rsidRDefault="00177716" w:rsidP="00177716">
      <w:pPr>
        <w:spacing w:after="0" w:line="240" w:lineRule="auto"/>
        <w:rPr>
          <w:rFonts w:ascii="Times New Roman" w:eastAsia="Times New Roman" w:hAnsi="Times New Roman" w:cs="Times New Roman"/>
          <w:sz w:val="18"/>
          <w:szCs w:val="20"/>
          <w:lang w:eastAsia="it-IT"/>
        </w:rPr>
      </w:pPr>
      <w:r w:rsidRPr="00BF26C8">
        <w:rPr>
          <w:rFonts w:ascii="Times New Roman" w:eastAsia="Times New Roman" w:hAnsi="Times New Roman" w:cs="Times New Roman"/>
          <w:sz w:val="18"/>
          <w:szCs w:val="20"/>
          <w:vertAlign w:val="superscript"/>
          <w:lang w:eastAsia="it-IT"/>
        </w:rPr>
        <w:t xml:space="preserve">2 </w:t>
      </w:r>
      <w:r w:rsidRPr="00BF26C8">
        <w:rPr>
          <w:rFonts w:ascii="Times New Roman" w:eastAsia="Times New Roman" w:hAnsi="Times New Roman" w:cs="Times New Roman"/>
          <w:sz w:val="18"/>
          <w:szCs w:val="20"/>
          <w:lang w:eastAsia="it-IT"/>
        </w:rPr>
        <w:t>Institute for Infection Prevention and Hospital Epidemiology, University Medical Center Freiburg, University of Freiburg, Faculty of Medicine, University of Freiburg, D- 79106 Freiburg, Germany</w:t>
      </w:r>
    </w:p>
    <w:p w14:paraId="3BD36E50" w14:textId="77777777" w:rsidR="00177716" w:rsidRPr="00BF26C8" w:rsidRDefault="00177716" w:rsidP="00177716">
      <w:pPr>
        <w:spacing w:after="0" w:line="240" w:lineRule="auto"/>
        <w:rPr>
          <w:rFonts w:ascii="Times New Roman" w:eastAsia="Times New Roman" w:hAnsi="Times New Roman" w:cs="Times New Roman"/>
          <w:sz w:val="18"/>
          <w:szCs w:val="20"/>
          <w:lang w:val="fr-FR" w:eastAsia="it-IT"/>
        </w:rPr>
      </w:pPr>
      <w:r w:rsidRPr="00BF26C8">
        <w:rPr>
          <w:rFonts w:ascii="Times New Roman" w:eastAsia="Times New Roman" w:hAnsi="Times New Roman" w:cs="Times New Roman"/>
          <w:sz w:val="18"/>
          <w:szCs w:val="20"/>
          <w:vertAlign w:val="superscript"/>
          <w:lang w:val="fr-FR" w:eastAsia="it-IT"/>
        </w:rPr>
        <w:t xml:space="preserve">3 </w:t>
      </w:r>
      <w:r w:rsidRPr="00BF26C8">
        <w:rPr>
          <w:rFonts w:ascii="Times New Roman" w:eastAsia="Times New Roman" w:hAnsi="Times New Roman" w:cs="Times New Roman"/>
          <w:sz w:val="18"/>
          <w:szCs w:val="20"/>
          <w:lang w:val="fr-FR" w:eastAsia="it-IT"/>
        </w:rPr>
        <w:t>Laboratoire Gestion des Risques et Environnement (LGRE), Université de Haute-Alsace, F-68093 Mulhouse Cedex, France</w:t>
      </w:r>
    </w:p>
    <w:p w14:paraId="393BBA52" w14:textId="77777777" w:rsidR="00177716" w:rsidRPr="00BF26C8" w:rsidRDefault="00177716" w:rsidP="00177716">
      <w:pPr>
        <w:spacing w:after="0" w:line="240" w:lineRule="auto"/>
        <w:rPr>
          <w:rFonts w:ascii="Times New Roman" w:eastAsia="Times New Roman" w:hAnsi="Times New Roman" w:cs="Times New Roman"/>
          <w:sz w:val="18"/>
          <w:szCs w:val="20"/>
          <w:lang w:val="fr-FR" w:eastAsia="it-IT"/>
        </w:rPr>
      </w:pPr>
      <w:r w:rsidRPr="00BF26C8">
        <w:rPr>
          <w:rFonts w:ascii="Times New Roman" w:eastAsia="Times New Roman" w:hAnsi="Times New Roman" w:cs="Times New Roman"/>
          <w:sz w:val="18"/>
          <w:szCs w:val="20"/>
          <w:vertAlign w:val="superscript"/>
          <w:lang w:val="fr-FR" w:eastAsia="it-IT"/>
        </w:rPr>
        <w:t xml:space="preserve">4 </w:t>
      </w:r>
      <w:r w:rsidRPr="00BF26C8">
        <w:rPr>
          <w:rFonts w:ascii="Times New Roman" w:eastAsia="Times New Roman" w:hAnsi="Times New Roman" w:cs="Times New Roman"/>
          <w:sz w:val="18"/>
          <w:szCs w:val="20"/>
          <w:lang w:val="fr-FR" w:eastAsia="it-IT"/>
        </w:rPr>
        <w:t xml:space="preserve">Laboratoire Modélisation Intelligence des Procédés et des Systèmes (MIPS), Université de Haute-Alsace, F-68093 Mulhouse Cedex, France </w:t>
      </w:r>
    </w:p>
    <w:p w14:paraId="4367ABAA" w14:textId="77777777" w:rsidR="00177716" w:rsidRPr="00BF26C8" w:rsidRDefault="00177716" w:rsidP="00177716">
      <w:pPr>
        <w:spacing w:after="0" w:line="240" w:lineRule="auto"/>
        <w:rPr>
          <w:rFonts w:ascii="Times New Roman" w:eastAsia="Times New Roman" w:hAnsi="Times New Roman" w:cs="Times New Roman"/>
          <w:sz w:val="18"/>
          <w:szCs w:val="20"/>
          <w:lang w:eastAsia="it-IT"/>
        </w:rPr>
      </w:pPr>
      <w:r w:rsidRPr="00BF26C8">
        <w:rPr>
          <w:rFonts w:ascii="Times New Roman" w:eastAsia="Calibri" w:hAnsi="Times New Roman" w:cs="Times New Roman"/>
          <w:sz w:val="18"/>
          <w:szCs w:val="20"/>
          <w:vertAlign w:val="superscript"/>
        </w:rPr>
        <w:t xml:space="preserve">5 </w:t>
      </w:r>
      <w:r w:rsidRPr="00BF26C8">
        <w:rPr>
          <w:rFonts w:ascii="Times New Roman" w:eastAsia="Times New Roman" w:hAnsi="Times New Roman" w:cs="Times New Roman"/>
          <w:sz w:val="18"/>
          <w:szCs w:val="20"/>
          <w:lang w:eastAsia="it-IT"/>
        </w:rPr>
        <w:t>Department of Earth and Environmental Science and Center of Excellence in Environmental Toxicology, University of Pennsylvania, Philadelphia, PA 19104-6316, USA</w:t>
      </w:r>
    </w:p>
    <w:p w14:paraId="7B31645B" w14:textId="77777777" w:rsidR="00177716" w:rsidRPr="00BF26C8" w:rsidRDefault="00177716" w:rsidP="00177716">
      <w:pPr>
        <w:spacing w:after="0" w:line="240" w:lineRule="auto"/>
        <w:rPr>
          <w:rFonts w:ascii="Times New Roman" w:eastAsia="Times New Roman" w:hAnsi="Times New Roman" w:cs="Times New Roman"/>
          <w:sz w:val="18"/>
          <w:szCs w:val="20"/>
          <w:lang w:eastAsia="it-IT"/>
        </w:rPr>
      </w:pPr>
      <w:r w:rsidRPr="00BF26C8">
        <w:rPr>
          <w:rFonts w:ascii="Times New Roman" w:eastAsia="Times New Roman" w:hAnsi="Times New Roman" w:cs="Times New Roman"/>
          <w:sz w:val="18"/>
          <w:szCs w:val="20"/>
          <w:vertAlign w:val="superscript"/>
          <w:lang w:eastAsia="it-IT"/>
        </w:rPr>
        <w:t xml:space="preserve">6 </w:t>
      </w:r>
      <w:proofErr w:type="gramStart"/>
      <w:r w:rsidRPr="00BF26C8">
        <w:rPr>
          <w:rFonts w:ascii="Times New Roman" w:eastAsia="Times New Roman" w:hAnsi="Times New Roman" w:cs="Times New Roman"/>
          <w:sz w:val="18"/>
          <w:szCs w:val="20"/>
          <w:lang w:eastAsia="it-IT"/>
        </w:rPr>
        <w:t>Institute</w:t>
      </w:r>
      <w:proofErr w:type="gramEnd"/>
      <w:r w:rsidRPr="00BF26C8">
        <w:rPr>
          <w:rFonts w:ascii="Times New Roman" w:eastAsia="Times New Roman" w:hAnsi="Times New Roman" w:cs="Times New Roman"/>
          <w:sz w:val="18"/>
          <w:szCs w:val="20"/>
          <w:lang w:eastAsia="it-IT"/>
        </w:rPr>
        <w:t xml:space="preserve"> of Earth and Environmental Sciences-Geochemistry, University of Freiburg, D-79104 Freiburg, Germany</w:t>
      </w:r>
    </w:p>
    <w:p w14:paraId="30E401D4" w14:textId="77777777" w:rsidR="00177716" w:rsidRPr="00BF26C8" w:rsidRDefault="00177716" w:rsidP="00177716">
      <w:pPr>
        <w:spacing w:after="0" w:line="240" w:lineRule="auto"/>
        <w:rPr>
          <w:rFonts w:ascii="Times New Roman" w:eastAsia="Times New Roman" w:hAnsi="Times New Roman" w:cs="Times New Roman"/>
          <w:sz w:val="18"/>
          <w:szCs w:val="20"/>
          <w:lang w:eastAsia="it-IT"/>
        </w:rPr>
      </w:pPr>
      <w:r w:rsidRPr="00BF26C8">
        <w:rPr>
          <w:rFonts w:ascii="Times New Roman" w:eastAsia="Times New Roman" w:hAnsi="Times New Roman" w:cs="Times New Roman"/>
          <w:sz w:val="18"/>
          <w:szCs w:val="20"/>
          <w:vertAlign w:val="superscript"/>
          <w:lang w:eastAsia="it-IT"/>
        </w:rPr>
        <w:t xml:space="preserve">7 </w:t>
      </w:r>
      <w:r w:rsidRPr="00BF26C8">
        <w:rPr>
          <w:rFonts w:ascii="Times New Roman" w:eastAsia="Times New Roman" w:hAnsi="Times New Roman" w:cs="Times New Roman"/>
          <w:sz w:val="18"/>
          <w:szCs w:val="20"/>
          <w:lang w:eastAsia="it-IT"/>
        </w:rPr>
        <w:t xml:space="preserve">Kurdistan </w:t>
      </w:r>
      <w:proofErr w:type="gramStart"/>
      <w:r w:rsidRPr="00BF26C8">
        <w:rPr>
          <w:rFonts w:ascii="Times New Roman" w:eastAsia="Times New Roman" w:hAnsi="Times New Roman" w:cs="Times New Roman"/>
          <w:sz w:val="18"/>
          <w:szCs w:val="20"/>
          <w:lang w:eastAsia="it-IT"/>
        </w:rPr>
        <w:t>Institution</w:t>
      </w:r>
      <w:proofErr w:type="gramEnd"/>
      <w:r w:rsidRPr="00BF26C8">
        <w:rPr>
          <w:rFonts w:ascii="Times New Roman" w:eastAsia="Times New Roman" w:hAnsi="Times New Roman" w:cs="Times New Roman"/>
          <w:sz w:val="18"/>
          <w:szCs w:val="20"/>
          <w:lang w:eastAsia="it-IT"/>
        </w:rPr>
        <w:t xml:space="preserve"> for Strategic Studies and Scientific Research (KISSR), </w:t>
      </w:r>
      <w:proofErr w:type="spellStart"/>
      <w:r w:rsidRPr="00BF26C8">
        <w:rPr>
          <w:rFonts w:ascii="Times New Roman" w:eastAsia="Times New Roman" w:hAnsi="Times New Roman" w:cs="Times New Roman"/>
          <w:sz w:val="18"/>
          <w:szCs w:val="20"/>
          <w:lang w:eastAsia="it-IT"/>
        </w:rPr>
        <w:t>Qirga</w:t>
      </w:r>
      <w:proofErr w:type="spellEnd"/>
      <w:r w:rsidRPr="00BF26C8">
        <w:rPr>
          <w:rFonts w:ascii="Times New Roman" w:eastAsia="Times New Roman" w:hAnsi="Times New Roman" w:cs="Times New Roman"/>
          <w:sz w:val="18"/>
          <w:szCs w:val="20"/>
          <w:lang w:eastAsia="it-IT"/>
        </w:rPr>
        <w:t xml:space="preserve"> - </w:t>
      </w:r>
      <w:proofErr w:type="spellStart"/>
      <w:r w:rsidRPr="00BF26C8">
        <w:rPr>
          <w:rFonts w:ascii="Times New Roman" w:eastAsia="Times New Roman" w:hAnsi="Times New Roman" w:cs="Times New Roman"/>
          <w:sz w:val="18"/>
          <w:szCs w:val="20"/>
          <w:lang w:eastAsia="it-IT"/>
        </w:rPr>
        <w:t>Sulaimani</w:t>
      </w:r>
      <w:proofErr w:type="spellEnd"/>
      <w:r w:rsidRPr="00BF26C8">
        <w:rPr>
          <w:rFonts w:ascii="Times New Roman" w:eastAsia="Times New Roman" w:hAnsi="Times New Roman" w:cs="Times New Roman"/>
          <w:sz w:val="18"/>
          <w:szCs w:val="20"/>
          <w:lang w:eastAsia="it-IT"/>
        </w:rPr>
        <w:t>, Iraq</w:t>
      </w:r>
    </w:p>
    <w:p w14:paraId="6D9C0D7E" w14:textId="77777777" w:rsidR="00A933FA" w:rsidRPr="00BF26C8" w:rsidRDefault="00A933FA" w:rsidP="004067EA">
      <w:pPr>
        <w:spacing w:after="0" w:line="360" w:lineRule="auto"/>
        <w:jc w:val="both"/>
        <w:rPr>
          <w:rFonts w:ascii="Times New Roman" w:eastAsia="Calibri" w:hAnsi="Times New Roman" w:cs="Times New Roman"/>
          <w:b/>
          <w:sz w:val="24"/>
        </w:rPr>
      </w:pPr>
    </w:p>
    <w:p w14:paraId="6D9C0D7F" w14:textId="77777777" w:rsidR="00A933FA" w:rsidRPr="00BF26C8" w:rsidRDefault="00A933FA" w:rsidP="004067EA">
      <w:pPr>
        <w:spacing w:after="0" w:line="360" w:lineRule="auto"/>
        <w:jc w:val="both"/>
        <w:rPr>
          <w:rFonts w:ascii="Times New Roman" w:eastAsia="Calibri" w:hAnsi="Times New Roman" w:cs="Times New Roman"/>
          <w:b/>
          <w:sz w:val="24"/>
        </w:rPr>
      </w:pPr>
    </w:p>
    <w:p w14:paraId="6D9C0D80" w14:textId="77777777" w:rsidR="00A933FA" w:rsidRPr="00BF26C8" w:rsidRDefault="00A933FA" w:rsidP="004067EA">
      <w:pPr>
        <w:spacing w:after="0" w:line="360" w:lineRule="auto"/>
        <w:jc w:val="both"/>
        <w:rPr>
          <w:rFonts w:ascii="Times New Roman" w:eastAsia="Calibri" w:hAnsi="Times New Roman" w:cs="Times New Roman"/>
          <w:b/>
          <w:sz w:val="24"/>
        </w:rPr>
      </w:pPr>
    </w:p>
    <w:p w14:paraId="6D9C0D81" w14:textId="77777777" w:rsidR="00A933FA" w:rsidRPr="00BF26C8" w:rsidRDefault="00A933FA" w:rsidP="004067EA">
      <w:pPr>
        <w:spacing w:after="0" w:line="360" w:lineRule="auto"/>
        <w:jc w:val="both"/>
        <w:rPr>
          <w:rFonts w:ascii="Times New Roman" w:eastAsia="Calibri" w:hAnsi="Times New Roman" w:cs="Times New Roman"/>
          <w:b/>
          <w:sz w:val="24"/>
        </w:rPr>
      </w:pPr>
    </w:p>
    <w:p w14:paraId="6D9C0D82" w14:textId="77777777" w:rsidR="00A933FA" w:rsidRPr="00BF26C8" w:rsidRDefault="00A933FA" w:rsidP="004067EA">
      <w:pPr>
        <w:spacing w:after="0" w:line="360" w:lineRule="auto"/>
        <w:jc w:val="both"/>
        <w:rPr>
          <w:rFonts w:ascii="Times New Roman" w:eastAsia="Calibri" w:hAnsi="Times New Roman" w:cs="Times New Roman"/>
          <w:b/>
          <w:sz w:val="24"/>
        </w:rPr>
      </w:pPr>
    </w:p>
    <w:p w14:paraId="6D9C0D83" w14:textId="77777777" w:rsidR="00A933FA" w:rsidRPr="00BF26C8" w:rsidRDefault="00A933FA" w:rsidP="004067EA">
      <w:pPr>
        <w:spacing w:after="0" w:line="360" w:lineRule="auto"/>
        <w:jc w:val="both"/>
        <w:rPr>
          <w:rFonts w:ascii="Times New Roman" w:eastAsia="Calibri" w:hAnsi="Times New Roman" w:cs="Times New Roman"/>
          <w:b/>
          <w:sz w:val="24"/>
        </w:rPr>
      </w:pPr>
    </w:p>
    <w:p w14:paraId="6D9C0D84" w14:textId="77777777" w:rsidR="00A933FA" w:rsidRPr="00BF26C8" w:rsidRDefault="00A933FA" w:rsidP="004067EA">
      <w:pPr>
        <w:spacing w:after="0" w:line="360" w:lineRule="auto"/>
        <w:jc w:val="both"/>
        <w:rPr>
          <w:rFonts w:ascii="Times New Roman" w:eastAsia="Calibri" w:hAnsi="Times New Roman" w:cs="Times New Roman"/>
          <w:b/>
          <w:sz w:val="24"/>
        </w:rPr>
      </w:pPr>
    </w:p>
    <w:p w14:paraId="6D9C0D85" w14:textId="77777777" w:rsidR="00A933FA" w:rsidRPr="00BF26C8" w:rsidRDefault="00A933FA" w:rsidP="004067EA">
      <w:pPr>
        <w:spacing w:after="0" w:line="360" w:lineRule="auto"/>
        <w:jc w:val="both"/>
        <w:rPr>
          <w:rFonts w:ascii="Times New Roman" w:eastAsia="Calibri" w:hAnsi="Times New Roman" w:cs="Times New Roman"/>
          <w:b/>
          <w:sz w:val="24"/>
        </w:rPr>
      </w:pPr>
    </w:p>
    <w:p w14:paraId="6D9C0D86" w14:textId="77777777" w:rsidR="00A933FA" w:rsidRPr="00BF26C8" w:rsidRDefault="00A933FA" w:rsidP="004067EA">
      <w:pPr>
        <w:spacing w:after="0" w:line="360" w:lineRule="auto"/>
        <w:jc w:val="both"/>
        <w:rPr>
          <w:rFonts w:ascii="Times New Roman" w:eastAsia="Calibri" w:hAnsi="Times New Roman" w:cs="Times New Roman"/>
          <w:b/>
          <w:sz w:val="24"/>
        </w:rPr>
      </w:pPr>
    </w:p>
    <w:p w14:paraId="6D9C0D87" w14:textId="77777777" w:rsidR="00A933FA" w:rsidRPr="00BF26C8" w:rsidRDefault="00A933FA" w:rsidP="004067EA">
      <w:pPr>
        <w:spacing w:after="0" w:line="360" w:lineRule="auto"/>
        <w:jc w:val="both"/>
        <w:rPr>
          <w:rFonts w:ascii="Times New Roman" w:eastAsia="Calibri" w:hAnsi="Times New Roman" w:cs="Times New Roman"/>
          <w:b/>
          <w:sz w:val="24"/>
        </w:rPr>
      </w:pPr>
    </w:p>
    <w:p w14:paraId="6D9C0D88" w14:textId="77777777" w:rsidR="00A933FA" w:rsidRPr="00BF26C8" w:rsidRDefault="00A933FA" w:rsidP="004067EA">
      <w:pPr>
        <w:spacing w:after="0" w:line="360" w:lineRule="auto"/>
        <w:jc w:val="both"/>
        <w:rPr>
          <w:rFonts w:ascii="Times New Roman" w:eastAsia="Calibri" w:hAnsi="Times New Roman" w:cs="Times New Roman"/>
          <w:b/>
          <w:sz w:val="24"/>
        </w:rPr>
      </w:pPr>
    </w:p>
    <w:p w14:paraId="6D9C0D89" w14:textId="77777777" w:rsidR="00A933FA" w:rsidRPr="00BF26C8" w:rsidRDefault="00A933FA" w:rsidP="004067EA">
      <w:pPr>
        <w:spacing w:after="0" w:line="360" w:lineRule="auto"/>
        <w:jc w:val="both"/>
        <w:rPr>
          <w:rFonts w:ascii="Times New Roman" w:eastAsia="Calibri" w:hAnsi="Times New Roman" w:cs="Times New Roman"/>
          <w:b/>
          <w:sz w:val="24"/>
        </w:rPr>
      </w:pPr>
    </w:p>
    <w:p w14:paraId="6D9C0D8A" w14:textId="77777777" w:rsidR="00A933FA" w:rsidRPr="00BF26C8" w:rsidRDefault="00A933FA" w:rsidP="004067EA">
      <w:pPr>
        <w:spacing w:after="0" w:line="360" w:lineRule="auto"/>
        <w:jc w:val="both"/>
        <w:rPr>
          <w:rFonts w:ascii="Times New Roman" w:eastAsia="Calibri" w:hAnsi="Times New Roman" w:cs="Times New Roman"/>
          <w:b/>
          <w:sz w:val="24"/>
        </w:rPr>
      </w:pPr>
    </w:p>
    <w:p w14:paraId="6D9C0D8B" w14:textId="77777777" w:rsidR="0002272E" w:rsidRPr="00BF26C8" w:rsidRDefault="0002272E" w:rsidP="004067EA">
      <w:pPr>
        <w:spacing w:after="0" w:line="360" w:lineRule="auto"/>
        <w:jc w:val="both"/>
        <w:rPr>
          <w:rFonts w:ascii="Times New Roman" w:eastAsia="Calibri" w:hAnsi="Times New Roman" w:cs="Times New Roman"/>
          <w:b/>
          <w:sz w:val="24"/>
        </w:rPr>
      </w:pPr>
    </w:p>
    <w:p w14:paraId="024A0B30" w14:textId="77777777" w:rsidR="00177716" w:rsidRPr="00BF26C8" w:rsidRDefault="00177716" w:rsidP="0002272E">
      <w:pPr>
        <w:spacing w:after="0" w:line="360" w:lineRule="auto"/>
        <w:jc w:val="both"/>
        <w:rPr>
          <w:rFonts w:ascii="Times New Roman" w:eastAsia="Calibri" w:hAnsi="Times New Roman" w:cs="Times New Roman"/>
          <w:b/>
          <w:sz w:val="24"/>
        </w:rPr>
      </w:pPr>
    </w:p>
    <w:p w14:paraId="6D9C0D8E" w14:textId="77777777" w:rsidR="006A57DC" w:rsidRPr="00BF26C8" w:rsidRDefault="006A57DC" w:rsidP="0002272E">
      <w:pPr>
        <w:spacing w:after="0" w:line="360" w:lineRule="auto"/>
        <w:jc w:val="both"/>
        <w:rPr>
          <w:rFonts w:ascii="Times New Roman" w:eastAsia="Calibri" w:hAnsi="Times New Roman" w:cs="Times New Roman"/>
          <w:b/>
          <w:sz w:val="24"/>
        </w:rPr>
      </w:pPr>
      <w:r w:rsidRPr="00BF26C8">
        <w:rPr>
          <w:rFonts w:ascii="Times New Roman" w:eastAsia="Calibri" w:hAnsi="Times New Roman" w:cs="Times New Roman"/>
          <w:b/>
          <w:sz w:val="24"/>
        </w:rPr>
        <w:lastRenderedPageBreak/>
        <w:t xml:space="preserve">2. </w:t>
      </w:r>
      <w:r w:rsidR="004067EA" w:rsidRPr="00BF26C8">
        <w:rPr>
          <w:rFonts w:ascii="Times New Roman" w:eastAsia="Calibri" w:hAnsi="Times New Roman" w:cs="Times New Roman"/>
          <w:b/>
          <w:sz w:val="24"/>
        </w:rPr>
        <w:t>SUPPLEMENTAL MATERIALS AND METHODS</w:t>
      </w:r>
    </w:p>
    <w:p w14:paraId="6D9C0D8F" w14:textId="77777777" w:rsidR="0002272E" w:rsidRPr="00BF26C8" w:rsidRDefault="0002272E" w:rsidP="0002272E">
      <w:pPr>
        <w:spacing w:after="0" w:line="360" w:lineRule="auto"/>
        <w:jc w:val="both"/>
        <w:rPr>
          <w:rFonts w:ascii="Times New Roman" w:eastAsia="Calibri" w:hAnsi="Times New Roman" w:cs="Times New Roman"/>
          <w:b/>
          <w:sz w:val="24"/>
        </w:rPr>
      </w:pPr>
    </w:p>
    <w:p w14:paraId="6D9C0D90" w14:textId="77777777" w:rsidR="006A57DC" w:rsidRPr="00BF26C8" w:rsidRDefault="006A57DC" w:rsidP="006A57DC">
      <w:pPr>
        <w:spacing w:line="360" w:lineRule="auto"/>
        <w:jc w:val="both"/>
        <w:rPr>
          <w:rFonts w:ascii="Times New Roman" w:hAnsi="Times New Roman" w:cs="Times New Roman"/>
        </w:rPr>
      </w:pPr>
      <w:r w:rsidRPr="00BF26C8">
        <w:rPr>
          <w:rFonts w:ascii="Times New Roman" w:hAnsi="Times New Roman" w:cs="Times New Roman"/>
        </w:rPr>
        <w:t xml:space="preserve">2.1. Transmission electron microscopy (TEM) </w:t>
      </w:r>
    </w:p>
    <w:p w14:paraId="6D9C0D91" w14:textId="77777777" w:rsidR="006A57DC" w:rsidRPr="00BF26C8" w:rsidRDefault="006A57DC" w:rsidP="006A57DC">
      <w:pPr>
        <w:spacing w:after="0" w:line="360" w:lineRule="auto"/>
        <w:jc w:val="both"/>
        <w:rPr>
          <w:rFonts w:ascii="Times New Roman" w:eastAsia="Calibri" w:hAnsi="Times New Roman" w:cs="Times New Roman"/>
        </w:rPr>
      </w:pPr>
      <w:r w:rsidRPr="00BF26C8">
        <w:rPr>
          <w:rFonts w:ascii="Times New Roman" w:hAnsi="Times New Roman" w:cs="Times New Roman"/>
        </w:rPr>
        <w:t>PM</w:t>
      </w:r>
      <w:r w:rsidRPr="00BF26C8">
        <w:rPr>
          <w:rFonts w:ascii="Times New Roman" w:hAnsi="Times New Roman" w:cs="Times New Roman"/>
          <w:vertAlign w:val="subscript"/>
        </w:rPr>
        <w:t xml:space="preserve">10 </w:t>
      </w:r>
      <w:r w:rsidRPr="00BF26C8">
        <w:rPr>
          <w:rFonts w:ascii="Times New Roman" w:eastAsia="Calibri" w:hAnsi="Times New Roman" w:cs="Times New Roman"/>
          <w:bCs/>
        </w:rPr>
        <w:t>samples</w:t>
      </w:r>
      <w:r w:rsidRPr="00BF26C8">
        <w:rPr>
          <w:rFonts w:ascii="Times New Roman" w:eastAsia="Calibri" w:hAnsi="Times New Roman" w:cs="Times New Roman"/>
        </w:rPr>
        <w:t xml:space="preserve"> were dispersed in Millipore water (1 mg/mL) and sonicated in an ultrasonic water bath (Ultrasonic water bath, </w:t>
      </w:r>
      <w:proofErr w:type="spellStart"/>
      <w:r w:rsidRPr="00BF26C8">
        <w:rPr>
          <w:rFonts w:ascii="Times New Roman" w:eastAsia="Calibri" w:hAnsi="Times New Roman" w:cs="Times New Roman"/>
        </w:rPr>
        <w:t>Badelin</w:t>
      </w:r>
      <w:proofErr w:type="spellEnd"/>
      <w:r w:rsidRPr="00BF26C8">
        <w:rPr>
          <w:rFonts w:ascii="Times New Roman" w:eastAsia="Calibri" w:hAnsi="Times New Roman" w:cs="Times New Roman"/>
        </w:rPr>
        <w:t xml:space="preserve"> electronic, Berlin, Germany) at 37°C for 10 min. A 1% (v/v) glutaraldehyde solution (</w:t>
      </w:r>
      <w:proofErr w:type="spellStart"/>
      <w:r w:rsidRPr="00BF26C8">
        <w:rPr>
          <w:rFonts w:ascii="Times New Roman" w:eastAsia="Calibri" w:hAnsi="Times New Roman" w:cs="Times New Roman"/>
        </w:rPr>
        <w:t>Polysciences</w:t>
      </w:r>
      <w:proofErr w:type="spellEnd"/>
      <w:r w:rsidRPr="00BF26C8">
        <w:rPr>
          <w:rFonts w:ascii="Times New Roman" w:eastAsia="Calibri" w:hAnsi="Times New Roman" w:cs="Times New Roman"/>
        </w:rPr>
        <w:t xml:space="preserve"> Europe, </w:t>
      </w:r>
      <w:proofErr w:type="spellStart"/>
      <w:r w:rsidRPr="00BF26C8">
        <w:rPr>
          <w:rFonts w:ascii="Times New Roman" w:eastAsia="Calibri" w:hAnsi="Times New Roman" w:cs="Times New Roman"/>
        </w:rPr>
        <w:t>Eppelheim</w:t>
      </w:r>
      <w:proofErr w:type="spellEnd"/>
      <w:r w:rsidRPr="00BF26C8">
        <w:rPr>
          <w:rFonts w:ascii="Times New Roman" w:eastAsia="Calibri" w:hAnsi="Times New Roman" w:cs="Times New Roman"/>
        </w:rPr>
        <w:t>, Germany) was prepared by dilution with 1 × HEPES buffer (</w:t>
      </w:r>
      <w:proofErr w:type="spellStart"/>
      <w:r w:rsidRPr="00BF26C8">
        <w:rPr>
          <w:rFonts w:ascii="Times New Roman" w:eastAsia="Calibri" w:hAnsi="Times New Roman" w:cs="Times New Roman"/>
        </w:rPr>
        <w:t>Bichrom</w:t>
      </w:r>
      <w:proofErr w:type="spellEnd"/>
      <w:r w:rsidRPr="00BF26C8">
        <w:rPr>
          <w:rFonts w:ascii="Times New Roman" w:eastAsia="Calibri" w:hAnsi="Times New Roman" w:cs="Times New Roman"/>
        </w:rPr>
        <w:t>, Berlin, Germany). At the same time, a Petri dish (Greiner Bio</w:t>
      </w:r>
      <w:r w:rsidRPr="00BF26C8">
        <w:rPr>
          <w:rFonts w:ascii="Cambria Math" w:eastAsia="Calibri" w:hAnsi="Cambria Math" w:cs="Cambria Math"/>
        </w:rPr>
        <w:t>‐</w:t>
      </w:r>
      <w:r w:rsidRPr="00BF26C8">
        <w:rPr>
          <w:rFonts w:ascii="Times New Roman" w:eastAsia="Calibri" w:hAnsi="Times New Roman" w:cs="Times New Roman"/>
        </w:rPr>
        <w:t xml:space="preserve">One, </w:t>
      </w:r>
      <w:proofErr w:type="spellStart"/>
      <w:r w:rsidRPr="00BF26C8">
        <w:rPr>
          <w:rFonts w:ascii="Times New Roman" w:eastAsia="Calibri" w:hAnsi="Times New Roman" w:cs="Times New Roman"/>
        </w:rPr>
        <w:t>Kremsmünster</w:t>
      </w:r>
      <w:proofErr w:type="spellEnd"/>
      <w:r w:rsidRPr="00BF26C8">
        <w:rPr>
          <w:rFonts w:ascii="Times New Roman" w:eastAsia="Calibri" w:hAnsi="Times New Roman" w:cs="Times New Roman"/>
        </w:rPr>
        <w:t xml:space="preserve">, Austria) was covered with </w:t>
      </w:r>
      <w:proofErr w:type="spellStart"/>
      <w:r w:rsidRPr="00BF26C8">
        <w:rPr>
          <w:rFonts w:ascii="Times New Roman" w:eastAsia="Calibri" w:hAnsi="Times New Roman" w:cs="Times New Roman"/>
        </w:rPr>
        <w:t>Parafilm</w:t>
      </w:r>
      <w:proofErr w:type="spellEnd"/>
      <w:r w:rsidRPr="00BF26C8">
        <w:rPr>
          <w:rFonts w:ascii="Times New Roman" w:eastAsia="Calibri" w:hAnsi="Times New Roman" w:cs="Times New Roman"/>
        </w:rPr>
        <w:t xml:space="preserve">® (Bemis, </w:t>
      </w:r>
      <w:proofErr w:type="spellStart"/>
      <w:r w:rsidRPr="00BF26C8">
        <w:rPr>
          <w:rFonts w:ascii="Times New Roman" w:eastAsia="Calibri" w:hAnsi="Times New Roman" w:cs="Times New Roman"/>
        </w:rPr>
        <w:t>Soignies</w:t>
      </w:r>
      <w:proofErr w:type="spellEnd"/>
      <w:r w:rsidRPr="00BF26C8">
        <w:rPr>
          <w:rFonts w:ascii="Times New Roman" w:eastAsia="Calibri" w:hAnsi="Times New Roman" w:cs="Times New Roman"/>
        </w:rPr>
        <w:t xml:space="preserve">, Belgium). On this hydrophobic surface, 10 </w:t>
      </w:r>
      <w:proofErr w:type="spellStart"/>
      <w:r w:rsidRPr="00BF26C8">
        <w:rPr>
          <w:rFonts w:ascii="Times New Roman" w:eastAsia="Calibri" w:hAnsi="Times New Roman" w:cs="Times New Roman"/>
        </w:rPr>
        <w:t>μL</w:t>
      </w:r>
      <w:proofErr w:type="spellEnd"/>
      <w:r w:rsidRPr="00BF26C8">
        <w:rPr>
          <w:rFonts w:ascii="Times New Roman" w:eastAsia="Calibri" w:hAnsi="Times New Roman" w:cs="Times New Roman"/>
        </w:rPr>
        <w:t xml:space="preserve"> of the dispersion containing the </w:t>
      </w:r>
      <w:r w:rsidRPr="00BF26C8">
        <w:rPr>
          <w:rFonts w:ascii="Times New Roman" w:hAnsi="Times New Roman" w:cs="Times New Roman"/>
        </w:rPr>
        <w:t>PM</w:t>
      </w:r>
      <w:r w:rsidRPr="00BF26C8">
        <w:rPr>
          <w:rFonts w:ascii="Times New Roman" w:hAnsi="Times New Roman" w:cs="Times New Roman"/>
          <w:vertAlign w:val="subscript"/>
        </w:rPr>
        <w:t xml:space="preserve">10 </w:t>
      </w:r>
      <w:r w:rsidRPr="00BF26C8">
        <w:rPr>
          <w:rFonts w:ascii="Times New Roman" w:eastAsia="Calibri" w:hAnsi="Times New Roman" w:cs="Times New Roman"/>
        </w:rPr>
        <w:t>sample materials were pipetted, and a lacey carbon copper grid</w:t>
      </w:r>
      <w:r w:rsidRPr="00BF26C8" w:rsidDel="00D3075F">
        <w:rPr>
          <w:rFonts w:ascii="Times New Roman" w:eastAsia="Calibri" w:hAnsi="Times New Roman" w:cs="Times New Roman"/>
        </w:rPr>
        <w:t xml:space="preserve"> </w:t>
      </w:r>
      <w:r w:rsidRPr="00BF26C8">
        <w:rPr>
          <w:rFonts w:ascii="Times New Roman" w:eastAsia="Calibri" w:hAnsi="Times New Roman" w:cs="Times New Roman"/>
        </w:rPr>
        <w:t>(</w:t>
      </w:r>
      <w:proofErr w:type="spellStart"/>
      <w:r w:rsidRPr="00BF26C8">
        <w:rPr>
          <w:rFonts w:ascii="Times New Roman" w:eastAsia="Calibri" w:hAnsi="Times New Roman" w:cs="Times New Roman"/>
        </w:rPr>
        <w:t>plano-em</w:t>
      </w:r>
      <w:proofErr w:type="spellEnd"/>
      <w:r w:rsidRPr="00BF26C8">
        <w:rPr>
          <w:rFonts w:ascii="Times New Roman" w:eastAsia="Calibri" w:hAnsi="Times New Roman" w:cs="Times New Roman"/>
        </w:rPr>
        <w:t xml:space="preserve">) was placed on the drop. Next, the 1% glutaraldehyde solution was used for fixation of the </w:t>
      </w:r>
      <w:r w:rsidRPr="00BF26C8">
        <w:rPr>
          <w:rFonts w:ascii="Times New Roman" w:hAnsi="Times New Roman" w:cs="Times New Roman"/>
        </w:rPr>
        <w:t>PM</w:t>
      </w:r>
      <w:r w:rsidRPr="00BF26C8">
        <w:rPr>
          <w:rFonts w:ascii="Times New Roman" w:hAnsi="Times New Roman" w:cs="Times New Roman"/>
          <w:vertAlign w:val="subscript"/>
        </w:rPr>
        <w:t xml:space="preserve">10 </w:t>
      </w:r>
      <w:r w:rsidRPr="00BF26C8">
        <w:rPr>
          <w:rFonts w:ascii="Times New Roman" w:eastAsia="Calibri" w:hAnsi="Times New Roman" w:cs="Times New Roman"/>
        </w:rPr>
        <w:t xml:space="preserve">sample materials for 5 min. The grid with the fixed </w:t>
      </w:r>
      <w:r w:rsidRPr="00BF26C8">
        <w:rPr>
          <w:rFonts w:ascii="Times New Roman" w:hAnsi="Times New Roman" w:cs="Times New Roman"/>
        </w:rPr>
        <w:t>PM</w:t>
      </w:r>
      <w:r w:rsidRPr="00BF26C8">
        <w:rPr>
          <w:rFonts w:ascii="Times New Roman" w:hAnsi="Times New Roman" w:cs="Times New Roman"/>
          <w:vertAlign w:val="subscript"/>
        </w:rPr>
        <w:t xml:space="preserve">10 </w:t>
      </w:r>
      <w:r w:rsidRPr="00BF26C8">
        <w:rPr>
          <w:rFonts w:ascii="Times New Roman" w:eastAsia="Calibri" w:hAnsi="Times New Roman" w:cs="Times New Roman"/>
        </w:rPr>
        <w:t>sample materials was then rinsed four times for 30 s with double-distilled water. Finally, the lacey-carbon copper grid</w:t>
      </w:r>
      <w:r w:rsidRPr="00BF26C8" w:rsidDel="00D3075F">
        <w:rPr>
          <w:rFonts w:ascii="Times New Roman" w:eastAsia="Calibri" w:hAnsi="Times New Roman" w:cs="Times New Roman"/>
        </w:rPr>
        <w:t xml:space="preserve"> </w:t>
      </w:r>
      <w:r w:rsidRPr="00BF26C8">
        <w:rPr>
          <w:rFonts w:ascii="Times New Roman" w:eastAsia="Calibri" w:hAnsi="Times New Roman" w:cs="Times New Roman"/>
        </w:rPr>
        <w:t xml:space="preserve">was stained with 1% (v/v) </w:t>
      </w:r>
      <w:proofErr w:type="spellStart"/>
      <w:r w:rsidRPr="00BF26C8">
        <w:rPr>
          <w:rFonts w:ascii="Times New Roman" w:eastAsia="Calibri" w:hAnsi="Times New Roman" w:cs="Times New Roman"/>
        </w:rPr>
        <w:t>uranylacetate</w:t>
      </w:r>
      <w:proofErr w:type="spellEnd"/>
      <w:r w:rsidRPr="00BF26C8">
        <w:rPr>
          <w:rFonts w:ascii="Times New Roman" w:eastAsia="Calibri" w:hAnsi="Times New Roman" w:cs="Times New Roman"/>
        </w:rPr>
        <w:t xml:space="preserve"> solution </w:t>
      </w:r>
      <w:r w:rsidRPr="00BF26C8">
        <w:rPr>
          <w:rFonts w:ascii="Times New Roman" w:eastAsia="Times New Roman" w:hAnsi="Times New Roman" w:cs="Times New Roman"/>
        </w:rPr>
        <w:t xml:space="preserve">(Sigma Aldrich, </w:t>
      </w:r>
      <w:proofErr w:type="spellStart"/>
      <w:r w:rsidRPr="00BF26C8">
        <w:rPr>
          <w:rFonts w:ascii="Times New Roman" w:eastAsia="Times New Roman" w:hAnsi="Times New Roman" w:cs="Times New Roman"/>
        </w:rPr>
        <w:t>Taufkirchen</w:t>
      </w:r>
      <w:proofErr w:type="spellEnd"/>
      <w:r w:rsidRPr="00BF26C8">
        <w:rPr>
          <w:rFonts w:ascii="Times New Roman" w:eastAsia="Times New Roman" w:hAnsi="Times New Roman" w:cs="Times New Roman"/>
        </w:rPr>
        <w:t>, Germany)</w:t>
      </w:r>
      <w:r w:rsidRPr="00BF26C8">
        <w:rPr>
          <w:rFonts w:ascii="Times New Roman" w:eastAsia="Calibri" w:hAnsi="Times New Roman" w:cs="Times New Roman"/>
        </w:rPr>
        <w:t xml:space="preserve">, and the grid was allowed to dry prior to performing the TEM analysis (Hitachi H600, Tokyo, Japan) at the </w:t>
      </w:r>
      <w:proofErr w:type="spellStart"/>
      <w:r w:rsidRPr="00BF26C8">
        <w:rPr>
          <w:rFonts w:ascii="Times New Roman" w:eastAsia="Calibri" w:hAnsi="Times New Roman" w:cs="Times New Roman"/>
        </w:rPr>
        <w:t>Institut</w:t>
      </w:r>
      <w:proofErr w:type="spellEnd"/>
      <w:r w:rsidRPr="00BF26C8">
        <w:rPr>
          <w:rFonts w:ascii="Times New Roman" w:eastAsia="Calibri" w:hAnsi="Times New Roman" w:cs="Times New Roman"/>
        </w:rPr>
        <w:t xml:space="preserve"> und </w:t>
      </w:r>
      <w:proofErr w:type="spellStart"/>
      <w:r w:rsidRPr="00BF26C8">
        <w:rPr>
          <w:rFonts w:ascii="Times New Roman" w:eastAsia="Calibri" w:hAnsi="Times New Roman" w:cs="Times New Roman"/>
        </w:rPr>
        <w:t>Poliklinik</w:t>
      </w:r>
      <w:proofErr w:type="spellEnd"/>
      <w:r w:rsidRPr="00BF26C8">
        <w:rPr>
          <w:rFonts w:ascii="Times New Roman" w:eastAsia="Calibri" w:hAnsi="Times New Roman" w:cs="Times New Roman"/>
        </w:rPr>
        <w:t xml:space="preserve"> </w:t>
      </w:r>
      <w:proofErr w:type="spellStart"/>
      <w:r w:rsidRPr="00BF26C8">
        <w:rPr>
          <w:rFonts w:ascii="Times New Roman" w:eastAsia="Calibri" w:hAnsi="Times New Roman" w:cs="Times New Roman"/>
        </w:rPr>
        <w:t>für</w:t>
      </w:r>
      <w:proofErr w:type="spellEnd"/>
      <w:r w:rsidRPr="00BF26C8">
        <w:rPr>
          <w:rFonts w:ascii="Times New Roman" w:eastAsia="Calibri" w:hAnsi="Times New Roman" w:cs="Times New Roman"/>
        </w:rPr>
        <w:t xml:space="preserve"> </w:t>
      </w:r>
      <w:proofErr w:type="spellStart"/>
      <w:r w:rsidRPr="00BF26C8">
        <w:rPr>
          <w:rFonts w:ascii="Times New Roman" w:eastAsia="Calibri" w:hAnsi="Times New Roman" w:cs="Times New Roman"/>
        </w:rPr>
        <w:t>Arbeits</w:t>
      </w:r>
      <w:proofErr w:type="spellEnd"/>
      <w:r w:rsidRPr="00BF26C8">
        <w:rPr>
          <w:rFonts w:ascii="Times New Roman" w:eastAsia="Calibri" w:hAnsi="Times New Roman" w:cs="Times New Roman"/>
        </w:rPr>
        <w:t xml:space="preserve">- und </w:t>
      </w:r>
      <w:proofErr w:type="spellStart"/>
      <w:r w:rsidRPr="00BF26C8">
        <w:rPr>
          <w:rFonts w:ascii="Times New Roman" w:eastAsia="Calibri" w:hAnsi="Times New Roman" w:cs="Times New Roman"/>
        </w:rPr>
        <w:t>Sozialmedizin</w:t>
      </w:r>
      <w:proofErr w:type="spellEnd"/>
      <w:r w:rsidRPr="00BF26C8">
        <w:rPr>
          <w:rFonts w:ascii="Times New Roman" w:eastAsia="Calibri" w:hAnsi="Times New Roman" w:cs="Times New Roman"/>
        </w:rPr>
        <w:t xml:space="preserve"> der Justus Liebig </w:t>
      </w:r>
      <w:proofErr w:type="spellStart"/>
      <w:r w:rsidRPr="00BF26C8">
        <w:rPr>
          <w:rFonts w:ascii="Times New Roman" w:eastAsia="Calibri" w:hAnsi="Times New Roman" w:cs="Times New Roman"/>
        </w:rPr>
        <w:t>Universität</w:t>
      </w:r>
      <w:proofErr w:type="spellEnd"/>
      <w:r w:rsidRPr="00BF26C8">
        <w:rPr>
          <w:rFonts w:ascii="Times New Roman" w:eastAsia="Calibri" w:hAnsi="Times New Roman" w:cs="Times New Roman"/>
        </w:rPr>
        <w:t xml:space="preserve"> </w:t>
      </w:r>
      <w:proofErr w:type="spellStart"/>
      <w:r w:rsidRPr="00BF26C8">
        <w:rPr>
          <w:rFonts w:ascii="Times New Roman" w:eastAsia="Calibri" w:hAnsi="Times New Roman" w:cs="Times New Roman"/>
        </w:rPr>
        <w:t>Gießen</w:t>
      </w:r>
      <w:proofErr w:type="spellEnd"/>
      <w:r w:rsidRPr="00BF26C8">
        <w:rPr>
          <w:rFonts w:ascii="Times New Roman" w:eastAsia="Calibri" w:hAnsi="Times New Roman" w:cs="Times New Roman"/>
        </w:rPr>
        <w:t xml:space="preserve"> (Germany).</w:t>
      </w:r>
    </w:p>
    <w:p w14:paraId="6D9C0D92" w14:textId="77777777" w:rsidR="00111B57" w:rsidRPr="00BF26C8" w:rsidRDefault="00111B57" w:rsidP="006A57DC">
      <w:pPr>
        <w:spacing w:after="0" w:line="360" w:lineRule="auto"/>
        <w:jc w:val="both"/>
        <w:rPr>
          <w:rFonts w:ascii="Times New Roman" w:eastAsia="Calibri" w:hAnsi="Times New Roman" w:cs="Times New Roman"/>
        </w:rPr>
      </w:pPr>
    </w:p>
    <w:p w14:paraId="6D9C0D93" w14:textId="77777777" w:rsidR="00111B57" w:rsidRPr="00BF26C8" w:rsidRDefault="00111B57" w:rsidP="006A57DC">
      <w:pPr>
        <w:spacing w:after="0" w:line="360" w:lineRule="auto"/>
        <w:jc w:val="both"/>
        <w:rPr>
          <w:rFonts w:ascii="Times New Roman" w:eastAsia="Calibri" w:hAnsi="Times New Roman" w:cs="Times New Roman"/>
        </w:rPr>
      </w:pPr>
      <w:r w:rsidRPr="00BF26C8">
        <w:rPr>
          <w:rFonts w:ascii="Times New Roman" w:eastAsia="Calibri" w:hAnsi="Times New Roman" w:cs="Times New Roman"/>
        </w:rPr>
        <w:t>2.2. Endotoxin determination</w:t>
      </w:r>
    </w:p>
    <w:p w14:paraId="6D9C0D94" w14:textId="77777777" w:rsidR="00111B57" w:rsidRPr="00BF26C8" w:rsidRDefault="00111B57" w:rsidP="006A57DC">
      <w:pPr>
        <w:spacing w:after="0" w:line="360" w:lineRule="auto"/>
        <w:jc w:val="both"/>
        <w:rPr>
          <w:rFonts w:ascii="Times New Roman" w:eastAsia="Calibri" w:hAnsi="Times New Roman" w:cs="Times New Roman"/>
        </w:rPr>
      </w:pPr>
    </w:p>
    <w:p w14:paraId="6D9C0D95" w14:textId="77777777" w:rsidR="00111B57" w:rsidRPr="00BF26C8" w:rsidRDefault="00111B57" w:rsidP="006A57DC">
      <w:pPr>
        <w:spacing w:after="0" w:line="360" w:lineRule="auto"/>
        <w:jc w:val="both"/>
        <w:rPr>
          <w:rFonts w:ascii="Times New Roman" w:eastAsia="Calibri" w:hAnsi="Times New Roman" w:cs="Times New Roman"/>
        </w:rPr>
      </w:pPr>
      <w:r w:rsidRPr="00BF26C8">
        <w:rPr>
          <w:rFonts w:ascii="Times New Roman" w:hAnsi="Times New Roman" w:cs="Times New Roman"/>
        </w:rPr>
        <w:t xml:space="preserve">The samples were incubated at 37°C and assayed in 96-well microplate to read the absorbance of each reaction at 545 nm following the methods described by the manufacturer. Endotoxin content of samples and blanks are evaluated by interpolation against a standard curve prepared using an endotoxin standard. </w:t>
      </w:r>
      <w:r w:rsidRPr="00BF26C8">
        <w:rPr>
          <w:rFonts w:ascii="Times New Roman" w:eastAsia="Calibri" w:hAnsi="Times New Roman" w:cs="Times New Roman"/>
        </w:rPr>
        <w:t>This method has a sensitivity range from 0.01 to 0.1 endotoxin units per mL (EU/mL)</w:t>
      </w:r>
      <w:r w:rsidRPr="00BF26C8">
        <w:rPr>
          <w:rFonts w:ascii="Times New Roman" w:hAnsi="Times New Roman" w:cs="Times New Roman"/>
        </w:rPr>
        <w:t>.</w:t>
      </w:r>
    </w:p>
    <w:p w14:paraId="6D9C0D96" w14:textId="77777777" w:rsidR="00A933FA" w:rsidRPr="00BF26C8" w:rsidRDefault="00A933FA" w:rsidP="006C112E">
      <w:pPr>
        <w:spacing w:after="0" w:line="360" w:lineRule="auto"/>
        <w:jc w:val="both"/>
        <w:rPr>
          <w:rFonts w:ascii="Times New Roman" w:eastAsia="Calibri" w:hAnsi="Times New Roman" w:cs="Times New Roman"/>
        </w:rPr>
      </w:pPr>
    </w:p>
    <w:p w14:paraId="6D9C0D97" w14:textId="77777777" w:rsidR="006A57DC" w:rsidRPr="00BF26C8" w:rsidRDefault="006A57DC" w:rsidP="006A57DC">
      <w:pPr>
        <w:spacing w:after="0" w:line="360" w:lineRule="auto"/>
        <w:jc w:val="both"/>
        <w:rPr>
          <w:rFonts w:ascii="Times New Roman" w:eastAsia="Calibri" w:hAnsi="Times New Roman" w:cs="Times New Roman"/>
        </w:rPr>
      </w:pPr>
      <w:r w:rsidRPr="00BF26C8">
        <w:rPr>
          <w:rFonts w:ascii="Times New Roman" w:eastAsia="Calibri" w:hAnsi="Times New Roman" w:cs="Times New Roman"/>
        </w:rPr>
        <w:t>2.</w:t>
      </w:r>
      <w:r w:rsidR="00111B57" w:rsidRPr="00BF26C8">
        <w:rPr>
          <w:rFonts w:ascii="Times New Roman" w:eastAsia="Calibri" w:hAnsi="Times New Roman" w:cs="Times New Roman"/>
        </w:rPr>
        <w:t>3.</w:t>
      </w:r>
      <w:r w:rsidRPr="00BF26C8">
        <w:rPr>
          <w:rFonts w:ascii="Times New Roman" w:eastAsia="Calibri" w:hAnsi="Times New Roman" w:cs="Times New Roman"/>
        </w:rPr>
        <w:t xml:space="preserve"> Cell viability </w:t>
      </w:r>
    </w:p>
    <w:p w14:paraId="6D9C0D98" w14:textId="77777777" w:rsidR="006A57DC" w:rsidRPr="00BF26C8" w:rsidRDefault="006A57DC" w:rsidP="006A57DC">
      <w:pPr>
        <w:spacing w:after="0" w:line="360" w:lineRule="auto"/>
        <w:jc w:val="both"/>
        <w:rPr>
          <w:rFonts w:ascii="Times New Roman" w:eastAsia="Calibri" w:hAnsi="Times New Roman" w:cs="Times New Roman"/>
        </w:rPr>
      </w:pPr>
    </w:p>
    <w:p w14:paraId="6D9C0D99" w14:textId="77777777" w:rsidR="006A57DC" w:rsidRPr="00BF26C8" w:rsidRDefault="006A57DC" w:rsidP="006A57DC">
      <w:pPr>
        <w:spacing w:after="0" w:line="360" w:lineRule="auto"/>
        <w:jc w:val="both"/>
        <w:rPr>
          <w:rFonts w:ascii="Times New Roman" w:eastAsia="Calibri" w:hAnsi="Times New Roman" w:cs="Times New Roman"/>
        </w:rPr>
      </w:pPr>
      <w:r w:rsidRPr="00BF26C8">
        <w:rPr>
          <w:rFonts w:ascii="Times New Roman" w:eastAsia="Calibri" w:hAnsi="Times New Roman" w:cs="Times New Roman"/>
        </w:rPr>
        <w:t>The Water Soluble Tetrazolium assay (WST-1) was used to measure cell viability in cultured cells. Briefly, after PM</w:t>
      </w:r>
      <w:r w:rsidRPr="00BF26C8">
        <w:rPr>
          <w:rFonts w:ascii="Times New Roman" w:eastAsia="Calibri" w:hAnsi="Times New Roman" w:cs="Times New Roman"/>
          <w:vertAlign w:val="subscript"/>
        </w:rPr>
        <w:t>10</w:t>
      </w:r>
      <w:r w:rsidRPr="00BF26C8">
        <w:rPr>
          <w:rFonts w:ascii="Times New Roman" w:eastAsia="Calibri" w:hAnsi="Times New Roman" w:cs="Times New Roman"/>
        </w:rPr>
        <w:t xml:space="preserve"> exposure, cells were washed with PBS. The cells were incubated in serum-free DMEM, supplemented with WST-1 reagent at 5% (v/v) and incubated for 1 h at 37°C, protecting the plate from light. At the end of incubation, absorbance was measured at a wavelength of 570 nm with a spectrophotometric Microplate reader (Infinite® 200 PRO </w:t>
      </w:r>
      <w:proofErr w:type="spellStart"/>
      <w:r w:rsidRPr="00BF26C8">
        <w:rPr>
          <w:rFonts w:ascii="Times New Roman" w:eastAsia="Calibri" w:hAnsi="Times New Roman" w:cs="Times New Roman"/>
        </w:rPr>
        <w:t>Tecan</w:t>
      </w:r>
      <w:proofErr w:type="spellEnd"/>
      <w:r w:rsidRPr="00BF26C8">
        <w:rPr>
          <w:rFonts w:ascii="Times New Roman" w:eastAsia="Calibri" w:hAnsi="Times New Roman" w:cs="Times New Roman"/>
        </w:rPr>
        <w:t xml:space="preserve"> Group Ltd., </w:t>
      </w:r>
      <w:proofErr w:type="spellStart"/>
      <w:r w:rsidRPr="00BF26C8">
        <w:rPr>
          <w:rFonts w:ascii="Times New Roman" w:eastAsia="Calibri" w:hAnsi="Times New Roman" w:cs="Times New Roman"/>
        </w:rPr>
        <w:t>Männedorf</w:t>
      </w:r>
      <w:proofErr w:type="spellEnd"/>
      <w:r w:rsidRPr="00BF26C8">
        <w:rPr>
          <w:rFonts w:ascii="Times New Roman" w:eastAsia="Calibri" w:hAnsi="Times New Roman" w:cs="Times New Roman"/>
        </w:rPr>
        <w:t>, Switzerland). Cell viability was defined as the ratio (expressed as a percentage) of absorbance of treated cells to untreated cells.</w:t>
      </w:r>
    </w:p>
    <w:p w14:paraId="6D9C0D9A" w14:textId="77777777" w:rsidR="0002272E" w:rsidRPr="00BF26C8" w:rsidRDefault="0002272E" w:rsidP="006A57DC">
      <w:pPr>
        <w:spacing w:after="0" w:line="360" w:lineRule="auto"/>
        <w:jc w:val="both"/>
        <w:rPr>
          <w:rFonts w:ascii="Times New Roman" w:eastAsia="Calibri" w:hAnsi="Times New Roman" w:cs="Times New Roman"/>
        </w:rPr>
      </w:pPr>
    </w:p>
    <w:p w14:paraId="6D9C0D9B" w14:textId="77777777" w:rsidR="00111B57" w:rsidRPr="00BF26C8" w:rsidRDefault="00111B57" w:rsidP="006A57DC">
      <w:pPr>
        <w:spacing w:after="0" w:line="360" w:lineRule="auto"/>
        <w:jc w:val="both"/>
        <w:rPr>
          <w:rFonts w:ascii="Times New Roman" w:eastAsia="Calibri" w:hAnsi="Times New Roman" w:cs="Times New Roman"/>
        </w:rPr>
      </w:pPr>
    </w:p>
    <w:p w14:paraId="6D9C0D9C" w14:textId="77777777" w:rsidR="00111B57" w:rsidRPr="00BF26C8" w:rsidRDefault="00111B57" w:rsidP="006A57DC">
      <w:pPr>
        <w:spacing w:after="0" w:line="360" w:lineRule="auto"/>
        <w:jc w:val="both"/>
        <w:rPr>
          <w:rFonts w:ascii="Times New Roman" w:eastAsia="Calibri" w:hAnsi="Times New Roman" w:cs="Times New Roman"/>
        </w:rPr>
      </w:pPr>
      <w:r w:rsidRPr="00BF26C8">
        <w:rPr>
          <w:rFonts w:ascii="Times New Roman" w:eastAsia="Calibri" w:hAnsi="Times New Roman" w:cs="Times New Roman"/>
        </w:rPr>
        <w:lastRenderedPageBreak/>
        <w:t>2.4. Detection of Intracellular ROS in A549 cells</w:t>
      </w:r>
    </w:p>
    <w:p w14:paraId="6D9C0D9D" w14:textId="77777777" w:rsidR="00111B57" w:rsidRPr="00BF26C8" w:rsidRDefault="00111B57" w:rsidP="006A57DC">
      <w:pPr>
        <w:spacing w:after="0" w:line="360" w:lineRule="auto"/>
        <w:jc w:val="both"/>
        <w:rPr>
          <w:rFonts w:ascii="Times New Roman" w:eastAsia="Calibri" w:hAnsi="Times New Roman" w:cs="Times New Roman"/>
        </w:rPr>
      </w:pPr>
    </w:p>
    <w:p w14:paraId="6D9C0D9E" w14:textId="77777777" w:rsidR="00111B57" w:rsidRPr="00BF26C8" w:rsidRDefault="00111B57" w:rsidP="00111B57">
      <w:pPr>
        <w:spacing w:after="0" w:line="360" w:lineRule="auto"/>
        <w:jc w:val="both"/>
        <w:rPr>
          <w:rFonts w:ascii="Times New Roman" w:hAnsi="Times New Roman" w:cs="Times New Roman"/>
          <w:iCs/>
        </w:rPr>
      </w:pPr>
      <w:r w:rsidRPr="00BF26C8">
        <w:rPr>
          <w:rFonts w:ascii="Times New Roman" w:hAnsi="Times New Roman" w:cs="Times New Roman"/>
        </w:rPr>
        <w:t>For this purpose, 4 × 10</w:t>
      </w:r>
      <w:r w:rsidRPr="00BF26C8">
        <w:rPr>
          <w:rFonts w:ascii="Times New Roman" w:hAnsi="Times New Roman" w:cs="Times New Roman"/>
          <w:vertAlign w:val="superscript"/>
        </w:rPr>
        <w:t>5</w:t>
      </w:r>
      <w:r w:rsidRPr="00BF26C8">
        <w:rPr>
          <w:rFonts w:ascii="Times New Roman" w:hAnsi="Times New Roman" w:cs="Times New Roman"/>
        </w:rPr>
        <w:t xml:space="preserve"> A549 cells were seeded in 12-well plates, incubated with 2 mL of culture medium for 24 h, and then exposed to the prepared PM</w:t>
      </w:r>
      <w:r w:rsidRPr="00BF26C8">
        <w:rPr>
          <w:rFonts w:ascii="Times New Roman" w:hAnsi="Times New Roman" w:cs="Times New Roman"/>
          <w:vertAlign w:val="subscript"/>
        </w:rPr>
        <w:t>10</w:t>
      </w:r>
      <w:r w:rsidRPr="00BF26C8">
        <w:rPr>
          <w:rFonts w:ascii="Times New Roman" w:hAnsi="Times New Roman" w:cs="Times New Roman"/>
        </w:rPr>
        <w:t xml:space="preserve"> samples in 2 mL of culture medium. After exposure, cells were gently washed once with HBSS and incubated with HBSS containing the spin probe, CAT1-H (200 µM) for 4 h at 37° C and 5</w:t>
      </w:r>
      <w:r w:rsidR="00525B71" w:rsidRPr="00BF26C8">
        <w:rPr>
          <w:rFonts w:ascii="Times New Roman" w:hAnsi="Times New Roman" w:cs="Times New Roman"/>
        </w:rPr>
        <w:t xml:space="preserve"> </w:t>
      </w:r>
      <w:r w:rsidRPr="00BF26C8">
        <w:rPr>
          <w:rFonts w:ascii="Times New Roman" w:hAnsi="Times New Roman" w:cs="Times New Roman"/>
        </w:rPr>
        <w:t>% CO</w:t>
      </w:r>
      <w:r w:rsidRPr="00BF26C8">
        <w:rPr>
          <w:rFonts w:ascii="Times New Roman" w:hAnsi="Times New Roman" w:cs="Times New Roman"/>
          <w:vertAlign w:val="subscript"/>
        </w:rPr>
        <w:t>2</w:t>
      </w:r>
      <w:r w:rsidRPr="00BF26C8">
        <w:rPr>
          <w:rFonts w:ascii="Times New Roman" w:hAnsi="Times New Roman" w:cs="Times New Roman"/>
        </w:rPr>
        <w:t xml:space="preserve"> (v/v). Next, the amount of ROS generated in the cell supernatant was evaluated by using the Bruker E-SCAN EPR spectrometer with a temperature and gas controller and the following instrumental settings: center field g = 2.01; microwave power, 20 </w:t>
      </w:r>
      <w:proofErr w:type="spellStart"/>
      <w:r w:rsidRPr="00BF26C8">
        <w:rPr>
          <w:rFonts w:ascii="Times New Roman" w:hAnsi="Times New Roman" w:cs="Times New Roman"/>
        </w:rPr>
        <w:t>mW</w:t>
      </w:r>
      <w:proofErr w:type="spellEnd"/>
      <w:r w:rsidRPr="00BF26C8">
        <w:rPr>
          <w:rFonts w:ascii="Times New Roman" w:hAnsi="Times New Roman" w:cs="Times New Roman"/>
        </w:rPr>
        <w:t>; modulation amplitude, 0.98 G; sweep rate, 10 G/5.24 s; number of scans, 3; for 1024-point spectrum. For quantification, the amplitudes of all EPR spectrum peaks were measured, and the calculated data were presented as mean ± SD from three independent experiments.</w:t>
      </w:r>
    </w:p>
    <w:p w14:paraId="6D9C0D9F" w14:textId="77777777" w:rsidR="00111B57" w:rsidRPr="00BF26C8" w:rsidRDefault="00111B57" w:rsidP="0002272E">
      <w:pPr>
        <w:spacing w:after="0" w:line="360" w:lineRule="auto"/>
        <w:jc w:val="both"/>
        <w:rPr>
          <w:rFonts w:ascii="Times New Roman" w:eastAsia="Calibri" w:hAnsi="Times New Roman" w:cs="Times New Roman"/>
        </w:rPr>
      </w:pPr>
      <w:proofErr w:type="spellStart"/>
      <w:r w:rsidRPr="00BF26C8">
        <w:rPr>
          <w:rFonts w:ascii="Times New Roman" w:eastAsia="Times New Roman" w:hAnsi="Times New Roman" w:cs="Times New Roman"/>
        </w:rPr>
        <w:t>Menadione</w:t>
      </w:r>
      <w:proofErr w:type="spellEnd"/>
      <w:r w:rsidRPr="00BF26C8">
        <w:rPr>
          <w:rFonts w:ascii="Times New Roman" w:eastAsia="Times New Roman" w:hAnsi="Times New Roman" w:cs="Times New Roman"/>
        </w:rPr>
        <w:t xml:space="preserve"> (Sigma Aldrich, </w:t>
      </w:r>
      <w:proofErr w:type="spellStart"/>
      <w:r w:rsidRPr="00BF26C8">
        <w:rPr>
          <w:rFonts w:ascii="Times New Roman" w:eastAsia="Times New Roman" w:hAnsi="Times New Roman" w:cs="Times New Roman"/>
        </w:rPr>
        <w:t>Taufkirchen</w:t>
      </w:r>
      <w:proofErr w:type="spellEnd"/>
      <w:r w:rsidRPr="00BF26C8">
        <w:rPr>
          <w:rFonts w:ascii="Times New Roman" w:eastAsia="Times New Roman" w:hAnsi="Times New Roman" w:cs="Times New Roman"/>
        </w:rPr>
        <w:t>, Germany)</w:t>
      </w:r>
      <w:r w:rsidRPr="00BF26C8">
        <w:rPr>
          <w:rFonts w:ascii="Times New Roman" w:eastAsia="Calibri" w:hAnsi="Times New Roman" w:cs="Times New Roman"/>
        </w:rPr>
        <w:t xml:space="preserve"> </w:t>
      </w:r>
      <w:r w:rsidRPr="00BF26C8">
        <w:rPr>
          <w:rFonts w:ascii="Times New Roman" w:hAnsi="Times New Roman" w:cs="Times New Roman"/>
        </w:rPr>
        <w:t xml:space="preserve">was used as a Positive Control (PC) for detection of intracellular ROS production compared to control cells without particle treatment. This compound causes generation of intracellular ROS at multiple cellular sites through futile redox cycling </w:t>
      </w:r>
      <w:r w:rsidR="00C66C7C" w:rsidRPr="00BF26C8">
        <w:rPr>
          <w:rFonts w:ascii="Times New Roman" w:hAnsi="Times New Roman" w:cs="Times New Roman"/>
        </w:rPr>
        <w:fldChar w:fldCharType="begin"/>
      </w:r>
      <w:r w:rsidR="0002272E" w:rsidRPr="00BF26C8">
        <w:rPr>
          <w:rFonts w:ascii="Times New Roman" w:hAnsi="Times New Roman" w:cs="Times New Roman"/>
        </w:rPr>
        <w:instrText xml:space="preserve"> ADDIN ZOTERO_ITEM CSL_CITATION {"citationID":"X4TMOHEs","properties":{"formattedCitation":"(Criddle et al. 2006)","plainCitation":"(Criddle et al. 2006)","noteIndex":0},"citationItems":[{"id":953,"uris":["http://zotero.org/users/2738721/items/KHUREFHS"],"uri":["http://zotero.org/users/2738721/items/KHUREFHS"],"itemData":{"id":953,"type":"article-journal","title":"Menadione-induced Reactive Oxygen Species Generation via Redox Cycling Promotes Apoptosis of Murine Pancreatic Acinar Cells","container-title":"Journal of Biological Chemistry","page":"40485-40492","volume":"281","issue":"52","source":"www.jbc.org","abstract":"Oxidative stress may be an important determinant of the severity of acute pancreatitis. One-electron reduction of oxidants generates reactive oxygen species (ROS) via redox cycling, whereas two-electron detoxification, e.g. by NAD(P)H:quinone oxidoreductase, does not. The actions of menadione on ROS production and cell fate were compared with those of a non-cycling analogue (2,4-dimethoxy-2-methylnaphthalene (DMN)) using real-time confocal microscopy of isolated perfused murine pancreatic acinar cells. Menadione generated ROS with a concomitant decrease of NAD(P)H, consistent with redox cycling. The elevation of ROS was prevented by the antioxidant N-acetyl-l-cysteine but not by the NADPH oxidase inhibitor diphenyliodonium. DMN produced no change in reactive oxygen species per se but significantly potentiated menadione-induced effects, probably via enhancement of one-electron reduction, since DMN was found to inhibit NAD(P)H:quinone oxidoreductase detoxification. Menadione caused apoptosis of pancreatic acinar cells that was significantly potentiated by DMN, whereas DMN alone had no effect. Furthermore, bile acid (taurolithocholic acid 3-sulfate)-induced caspase activation was also greatly increased by DMN, whereas DMN had no effect per se. These results suggest that acute generation of ROS by menadione occurs via redox cycling, the net effect of which is induction of apoptotic pancreatic acinar cell death. Two-electron detoxifying enzymes such as NAD(P)H:quinone oxidoreductase, which are elevated in pancreatitis, may provide protection against excessive ROS and exert an important role in determining acinar cell fate.","DOI":"10.1074/jbc.M607704200","ISSN":"0021-9258, 1083-351X","note":"PMID: 17088248","journalAbbreviation":"J. Biol. Chem.","language":"en","author":[{"family":"Criddle","given":"David N."},{"family":"Gillies","given":"Stuart"},{"family":"Baumgartner-Wilson","given":"Heidi K."},{"family":"Jaffar","given":"Mohammed"},{"family":"Chinje","given":"Edwin C."},{"family":"Passmore","given":"Sarah"},{"family":"Chvanov","given":"Michael"},{"family":"Barrow","given":"Stephanie"},{"family":"Gerasimenko","given":"Oleg V."},{"family":"Tepikin","given":"Alexei V."},{"family":"Sutton","given":"Robert"},{"family":"Petersen","given":"Ole H."}],"issued":{"date-parts":[["2006",12,29]]}}}],"schema":"https://github.com/citation-style-language/schema/raw/master/csl-citation.json"} </w:instrText>
      </w:r>
      <w:r w:rsidR="00C66C7C" w:rsidRPr="00BF26C8">
        <w:rPr>
          <w:rFonts w:ascii="Times New Roman" w:hAnsi="Times New Roman" w:cs="Times New Roman"/>
        </w:rPr>
        <w:fldChar w:fldCharType="separate"/>
      </w:r>
      <w:r w:rsidR="0002272E" w:rsidRPr="00BF26C8">
        <w:rPr>
          <w:rFonts w:ascii="Times New Roman" w:hAnsi="Times New Roman" w:cs="Times New Roman"/>
        </w:rPr>
        <w:t>(</w:t>
      </w:r>
      <w:proofErr w:type="spellStart"/>
      <w:r w:rsidR="0002272E" w:rsidRPr="00BF26C8">
        <w:rPr>
          <w:rFonts w:ascii="Times New Roman" w:hAnsi="Times New Roman" w:cs="Times New Roman"/>
        </w:rPr>
        <w:t>Criddle</w:t>
      </w:r>
      <w:proofErr w:type="spellEnd"/>
      <w:r w:rsidR="0002272E" w:rsidRPr="00BF26C8">
        <w:rPr>
          <w:rFonts w:ascii="Times New Roman" w:hAnsi="Times New Roman" w:cs="Times New Roman"/>
        </w:rPr>
        <w:t xml:space="preserve"> et al. 2006)</w:t>
      </w:r>
      <w:r w:rsidR="00C66C7C" w:rsidRPr="00BF26C8">
        <w:rPr>
          <w:rFonts w:ascii="Times New Roman" w:hAnsi="Times New Roman" w:cs="Times New Roman"/>
        </w:rPr>
        <w:fldChar w:fldCharType="end"/>
      </w:r>
    </w:p>
    <w:p w14:paraId="6D9C0DA0" w14:textId="77777777" w:rsidR="006A57DC" w:rsidRPr="00BF26C8" w:rsidRDefault="006A57DC" w:rsidP="006A57DC">
      <w:pPr>
        <w:spacing w:after="0" w:line="360" w:lineRule="auto"/>
        <w:jc w:val="both"/>
        <w:rPr>
          <w:rFonts w:ascii="Times New Roman" w:eastAsia="Calibri" w:hAnsi="Times New Roman" w:cs="Times New Roman"/>
        </w:rPr>
      </w:pPr>
    </w:p>
    <w:p w14:paraId="6D9C0DA1" w14:textId="77777777" w:rsidR="006A57DC" w:rsidRPr="00BF26C8" w:rsidRDefault="006A57DC" w:rsidP="006A57DC">
      <w:pPr>
        <w:spacing w:after="0" w:line="360" w:lineRule="auto"/>
        <w:jc w:val="both"/>
        <w:rPr>
          <w:rFonts w:ascii="Times New Roman" w:eastAsia="Calibri" w:hAnsi="Times New Roman" w:cs="Times New Roman"/>
        </w:rPr>
      </w:pPr>
      <w:r w:rsidRPr="00BF26C8">
        <w:rPr>
          <w:rFonts w:ascii="Times New Roman" w:eastAsia="Calibri" w:hAnsi="Times New Roman" w:cs="Times New Roman"/>
        </w:rPr>
        <w:t>2.</w:t>
      </w:r>
      <w:r w:rsidR="00111B57" w:rsidRPr="00BF26C8">
        <w:rPr>
          <w:rFonts w:ascii="Times New Roman" w:eastAsia="Calibri" w:hAnsi="Times New Roman" w:cs="Times New Roman"/>
        </w:rPr>
        <w:t>5</w:t>
      </w:r>
      <w:r w:rsidRPr="00BF26C8">
        <w:rPr>
          <w:rFonts w:ascii="Times New Roman" w:eastAsia="Calibri" w:hAnsi="Times New Roman" w:cs="Times New Roman"/>
        </w:rPr>
        <w:t>. Measurement of DNA damage in A549 cells by the DNA Alkaline Unwinding Assay (DAUA)</w:t>
      </w:r>
    </w:p>
    <w:p w14:paraId="6D9C0DA2" w14:textId="77777777" w:rsidR="006A57DC" w:rsidRPr="00BF26C8" w:rsidRDefault="006A57DC" w:rsidP="006A57DC">
      <w:pPr>
        <w:spacing w:after="0" w:line="360" w:lineRule="auto"/>
        <w:jc w:val="both"/>
        <w:rPr>
          <w:rFonts w:ascii="Times New Roman" w:eastAsia="Calibri" w:hAnsi="Times New Roman" w:cs="Times New Roman"/>
        </w:rPr>
      </w:pPr>
    </w:p>
    <w:p w14:paraId="6D9C0DA3" w14:textId="77777777" w:rsidR="006A57DC" w:rsidRPr="00BF26C8" w:rsidRDefault="006A57DC" w:rsidP="0002272E">
      <w:pPr>
        <w:spacing w:after="0" w:line="360" w:lineRule="auto"/>
        <w:jc w:val="both"/>
        <w:rPr>
          <w:rFonts w:ascii="Times New Roman" w:eastAsia="Calibri" w:hAnsi="Times New Roman" w:cs="Times New Roman"/>
        </w:rPr>
      </w:pPr>
      <w:r w:rsidRPr="00BF26C8">
        <w:rPr>
          <w:rFonts w:ascii="Times New Roman" w:hAnsi="Times New Roman" w:cs="Times New Roman"/>
        </w:rPr>
        <w:t>PM</w:t>
      </w:r>
      <w:r w:rsidRPr="00BF26C8">
        <w:rPr>
          <w:rFonts w:ascii="Times New Roman" w:hAnsi="Times New Roman" w:cs="Times New Roman"/>
          <w:vertAlign w:val="subscript"/>
        </w:rPr>
        <w:t>10</w:t>
      </w:r>
      <w:r w:rsidRPr="00BF26C8">
        <w:rPr>
          <w:rFonts w:ascii="Times New Roman" w:hAnsi="Times New Roman" w:cs="Times New Roman"/>
        </w:rPr>
        <w:t xml:space="preserve">-induced strand breaks in DNA of A549 cells were evaluated by the alkaline unwinding assay (DAUA) using the hydroxyapatite batch procedure </w:t>
      </w:r>
      <w:r w:rsidR="00C66C7C" w:rsidRPr="00BF26C8">
        <w:rPr>
          <w:rFonts w:ascii="Times New Roman" w:hAnsi="Times New Roman" w:cs="Times New Roman"/>
        </w:rPr>
        <w:fldChar w:fldCharType="begin"/>
      </w:r>
      <w:r w:rsidR="006067E9" w:rsidRPr="00BF26C8">
        <w:rPr>
          <w:rFonts w:ascii="Times New Roman" w:hAnsi="Times New Roman" w:cs="Times New Roman"/>
        </w:rPr>
        <w:instrText xml:space="preserve"> ADDIN ZOTERO_ITEM CSL_CITATION {"citationID":"shfrHR1a","properties":{"formattedCitation":"(Hartwig and Schlepegrell 1995; Arif et al. 2017)","plainCitation":"(Hartwig and Schlepegrell 1995; Arif et al. 2017)"},"citationItems":[{"id":65,"uris":["http://zotero.org/users/2738721/items/E7B2KM4N"],"uri":["http://zotero.org/users/2738721/items/E7B2KM4N"],"itemData":{"id":65,"type":"article-journal","title":"Induction of oxidative DNA damage by ferric iron in mammalian cells","container-title":"Carcinogenesis","page":"3009-3013","volume":"16","issue":"12","source":"carcin.oxfordjournals.org","abstract":"Ferric nitrilotriacetate (Fe-NTA) and ferric citrate (Fe-citrate) were compared with respect to their potential to induce oxidative DNA damage in V79 Chinese hamster cells. DNA base modifications, including 8-hydroxyguanine (7,8-dihydro-8-oxoguanine), were quantified by the frequency of lesions recognized by the bacterial Fpg protein (formamidopyrimidine-DNA glycosylase) in combination with the alkaline unwinding assay. Fe-NTA induced oxidative DNA damage in a time- and dose-dependent manner, yielding significant increases in Fpg-sensitive sites above background after incubation for 24 or 48 h with 500 and 250 μM respectively. At both time points the frequency of DNA base modifications exceeded the number of DNA strand breaks. In contrast, neither DNA strand breaks nor Fpg-sensitive sites were detected after treatment with Fecitrate at concentrations up to 2 mM for 24 or 48 h; this inactivity of Fe-citrate was independent of the molar ratio of iron to ligand (1:1, 1:2, 1:10 or 1:20). The results indicate that the cellular damage induced by ferric iron depends strongly on the actual complex applied, possibly due to differences in the intracellular distribution, which in turn may affect the availability of iron for redox reactions at or in close proximity to the DNA.","DOI":"10.1093/carcin/16.12.3009","ISSN":"0143-3334, 1460-2180","note":"PMID: 8603477","journalAbbreviation":"Carcinogenesis","language":"en","author":[{"family":"Hartwig","given":"Andrea"},{"family":"Schlepegrell","given":"Regina"}],"issued":{"date-parts":[["1995",1,12]]}},"label":"page"},{"id":543,"uris":["http://zotero.org/users/2738721/items/WQP58R95"],"uri":["http://zotero.org/users/2738721/items/WQP58R95"],"itemData":{"id":543,"type":"article-journal","title":"Cytotoxic and genotoxic responses of human lung cells to combustion smoke particles of Miscanthus straw, softwood and beech wood chips","container-title":"Atmospheric Environment","page":"138-154","volume":"163","source":"ScienceDirect","abstract":"Inhalation of particulate matter (PM) from residential biomass combustion is epidemiologically associated with cardiovascular and pulmonary diseases. This study investigates PM0.4-1 emissions from combustion of commercial Miscanthus straw (MS), softwood chips (SWC) and beech wood chips (BWC) in a domestic-scale boiler (40 kW). The PM0.4-1 emitted during combustion of the MS, SWC and BWC were characterized by ICP-MS/OES, XRD, SEM, TEM, and DLS. Cytotoxicity and genotoxicity in human alveolar epithelial A549 and human bronchial epithelial BEAS-2B cells were assessed by the WST-1 assay and the DNA-Alkaline Unwinding Assay (DAUA). PM0.4-1 uptake/translocation in cells was investigated with a new method developed using a confocal reflection microscope.\n\nSWC and BWC had a inherently higher residual water content than MS. The PM0.4-1 emitted during combustion of SWC and BWC exhibited higher levels of Polycyclic Aromatic Hydrocarbons (PAHs), a greater variety of mineral species and a higher heavy metal content than PM0.4-1 from MS combustion. Exposure to PM0.4-1 from combustion of SWC and BWC induced cytotoxic and genotoxic effects in human alveolar and bronchial cells, whereby the strongest effect was observed for BWC and was comparable to that caused by diesel PM (SRM 2 975), In contrast, PM0.4-1 from MS combustion did not induce cellular responses in the studied lung cells. A high PAH content in PM emissions seems to be a reliable chemical marker of both combustion efficiency and particle toxicity. Residual biomass water content strongly affects particulate emissions and their toxic potential. Therefore, to minimize the harmful effects of fine PM on health, improvement of combustion efficiency (aiming to reduce the presence of incomplete combustion products bound to PM) and application of fly ash capture technology, as well as use of novel biomass fuels like Miscanthus straw is recommended.","DOI":"10.1016/j.atmosenv.2017.05.019","ISSN":"1352-2310","journalAbbreviation":"Atmospheric Environment","author":[{"family":"Arif","given":"Ali Talib"},{"family":"Maschowski","given":"Christoph"},{"family":"Garra","given":"Patxi"},{"family":"Garcia-Käufer","given":"Manuel"},{"family":"Petithory","given":"Tatiana"},{"family":"Trouvé","given":"Gwenaëlle"},{"family":"Dieterlen","given":"Alain"},{"family":"Mersch-Sundermann","given":"Volker"},{"family":"Khanaqa","given":"Polla"},{"family":"Nazarenko","given":"Irina"},{"family":"Gminski","given":"Richard"},{"family":"Gieré","given":"Reto"}],"issued":{"date-parts":[["2017",8]]}},"label":"page"}],"schema":"https://github.com/citation-style-language/schema/raw/master/csl-citation.json"} </w:instrText>
      </w:r>
      <w:r w:rsidR="00C66C7C" w:rsidRPr="00BF26C8">
        <w:rPr>
          <w:rFonts w:ascii="Times New Roman" w:hAnsi="Times New Roman" w:cs="Times New Roman"/>
        </w:rPr>
        <w:fldChar w:fldCharType="separate"/>
      </w:r>
      <w:r w:rsidR="006067E9" w:rsidRPr="00BF26C8">
        <w:rPr>
          <w:rFonts w:ascii="Times New Roman" w:hAnsi="Times New Roman" w:cs="Times New Roman"/>
        </w:rPr>
        <w:t>(</w:t>
      </w:r>
      <w:proofErr w:type="spellStart"/>
      <w:r w:rsidR="006067E9" w:rsidRPr="00BF26C8">
        <w:rPr>
          <w:rFonts w:ascii="Times New Roman" w:hAnsi="Times New Roman" w:cs="Times New Roman"/>
        </w:rPr>
        <w:t>Hartwig</w:t>
      </w:r>
      <w:proofErr w:type="spellEnd"/>
      <w:r w:rsidR="006067E9" w:rsidRPr="00BF26C8">
        <w:rPr>
          <w:rFonts w:ascii="Times New Roman" w:hAnsi="Times New Roman" w:cs="Times New Roman"/>
        </w:rPr>
        <w:t xml:space="preserve"> and </w:t>
      </w:r>
      <w:proofErr w:type="spellStart"/>
      <w:r w:rsidR="006067E9" w:rsidRPr="00BF26C8">
        <w:rPr>
          <w:rFonts w:ascii="Times New Roman" w:hAnsi="Times New Roman" w:cs="Times New Roman"/>
        </w:rPr>
        <w:t>Schlepegrell</w:t>
      </w:r>
      <w:proofErr w:type="spellEnd"/>
      <w:r w:rsidR="006067E9" w:rsidRPr="00BF26C8">
        <w:rPr>
          <w:rFonts w:ascii="Times New Roman" w:hAnsi="Times New Roman" w:cs="Times New Roman"/>
        </w:rPr>
        <w:t xml:space="preserve"> 1995; Arif et al. 2017)</w:t>
      </w:r>
      <w:r w:rsidR="00C66C7C" w:rsidRPr="00BF26C8">
        <w:rPr>
          <w:rFonts w:ascii="Times New Roman" w:hAnsi="Times New Roman" w:cs="Times New Roman"/>
        </w:rPr>
        <w:fldChar w:fldCharType="end"/>
      </w:r>
      <w:r w:rsidRPr="00BF26C8">
        <w:rPr>
          <w:rFonts w:ascii="Times New Roman" w:hAnsi="Times New Roman" w:cs="Times New Roman"/>
        </w:rPr>
        <w:t xml:space="preserve"> with minor modifications. Briefly, following exposure to PM</w:t>
      </w:r>
      <w:r w:rsidRPr="00BF26C8">
        <w:rPr>
          <w:rFonts w:ascii="Times New Roman" w:hAnsi="Times New Roman" w:cs="Times New Roman"/>
          <w:vertAlign w:val="subscript"/>
        </w:rPr>
        <w:t>10</w:t>
      </w:r>
      <w:r w:rsidRPr="00BF26C8">
        <w:rPr>
          <w:rFonts w:ascii="Times New Roman" w:hAnsi="Times New Roman" w:cs="Times New Roman"/>
        </w:rPr>
        <w:t xml:space="preserve"> and the positive control ethyl methane sulfonate (EMS; Alfa </w:t>
      </w:r>
      <w:proofErr w:type="spellStart"/>
      <w:r w:rsidRPr="00BF26C8">
        <w:rPr>
          <w:rFonts w:ascii="Times New Roman" w:hAnsi="Times New Roman" w:cs="Times New Roman"/>
        </w:rPr>
        <w:t>Aesar</w:t>
      </w:r>
      <w:proofErr w:type="spellEnd"/>
      <w:r w:rsidRPr="00BF26C8">
        <w:rPr>
          <w:rFonts w:ascii="Times New Roman" w:hAnsi="Times New Roman" w:cs="Times New Roman"/>
        </w:rPr>
        <w:t xml:space="preserve">, Karlsruhe, Germany; </w:t>
      </w:r>
      <w:proofErr w:type="gramStart"/>
      <w:r w:rsidRPr="00BF26C8">
        <w:rPr>
          <w:rFonts w:ascii="Times New Roman" w:hAnsi="Times New Roman" w:cs="Times New Roman"/>
        </w:rPr>
        <w:t xml:space="preserve">5 </w:t>
      </w:r>
      <w:proofErr w:type="spellStart"/>
      <w:r w:rsidRPr="00BF26C8">
        <w:rPr>
          <w:rFonts w:ascii="Times New Roman" w:hAnsi="Times New Roman" w:cs="Times New Roman"/>
        </w:rPr>
        <w:t>mmol</w:t>
      </w:r>
      <w:proofErr w:type="spellEnd"/>
      <w:r w:rsidRPr="00BF26C8">
        <w:rPr>
          <w:rFonts w:ascii="Times New Roman" w:hAnsi="Times New Roman" w:cs="Times New Roman"/>
        </w:rPr>
        <w:t>/L</w:t>
      </w:r>
      <w:proofErr w:type="gramEnd"/>
      <w:r w:rsidRPr="00BF26C8">
        <w:rPr>
          <w:rFonts w:ascii="Times New Roman" w:hAnsi="Times New Roman" w:cs="Times New Roman"/>
        </w:rPr>
        <w:t xml:space="preserve">) for 24 h, the medium was aspirated and the cells were washed twice with cold PBS. Subsequently, the cells were immediately placed on ice and subjected to alkaline unwinding by rapid addition of 1.5 mL of 0.06 N </w:t>
      </w:r>
      <w:proofErr w:type="spellStart"/>
      <w:r w:rsidRPr="00BF26C8">
        <w:rPr>
          <w:rFonts w:ascii="Times New Roman" w:hAnsi="Times New Roman" w:cs="Times New Roman"/>
        </w:rPr>
        <w:t>NaOH</w:t>
      </w:r>
      <w:proofErr w:type="spellEnd"/>
      <w:r w:rsidRPr="00BF26C8">
        <w:rPr>
          <w:rFonts w:ascii="Times New Roman" w:hAnsi="Times New Roman" w:cs="Times New Roman"/>
        </w:rPr>
        <w:t xml:space="preserve"> in 0.01 M Na</w:t>
      </w:r>
      <w:r w:rsidRPr="00BF26C8">
        <w:rPr>
          <w:rFonts w:ascii="Times New Roman" w:hAnsi="Times New Roman" w:cs="Times New Roman"/>
          <w:vertAlign w:val="subscript"/>
        </w:rPr>
        <w:t>2</w:t>
      </w:r>
      <w:r w:rsidRPr="00BF26C8">
        <w:rPr>
          <w:rFonts w:ascii="Times New Roman" w:hAnsi="Times New Roman" w:cs="Times New Roman"/>
        </w:rPr>
        <w:t>HPO</w:t>
      </w:r>
      <w:r w:rsidRPr="00BF26C8">
        <w:rPr>
          <w:rFonts w:ascii="Times New Roman" w:hAnsi="Times New Roman" w:cs="Times New Roman"/>
          <w:vertAlign w:val="subscript"/>
        </w:rPr>
        <w:t>4</w:t>
      </w:r>
      <w:r w:rsidRPr="00BF26C8">
        <w:rPr>
          <w:rFonts w:ascii="Times New Roman" w:hAnsi="Times New Roman" w:cs="Times New Roman"/>
        </w:rPr>
        <w:t xml:space="preserve">, pH 12.3. Alkaline unwinding was allowed to complete in darkness for 30 min. The pH of the reaction mixture was then neutralized to pH 7.0 by adding 0.1 N </w:t>
      </w:r>
      <w:proofErr w:type="spellStart"/>
      <w:r w:rsidRPr="00BF26C8">
        <w:rPr>
          <w:rFonts w:ascii="Times New Roman" w:hAnsi="Times New Roman" w:cs="Times New Roman"/>
        </w:rPr>
        <w:t>HCl</w:t>
      </w:r>
      <w:proofErr w:type="spellEnd"/>
      <w:r w:rsidRPr="00BF26C8">
        <w:rPr>
          <w:rFonts w:ascii="Times New Roman" w:hAnsi="Times New Roman" w:cs="Times New Roman"/>
        </w:rPr>
        <w:t xml:space="preserve"> (500 µL). Directly after sonication, sodium dodecyl sulfate (SDS; </w:t>
      </w:r>
      <w:proofErr w:type="spellStart"/>
      <w:r w:rsidRPr="00BF26C8">
        <w:rPr>
          <w:rFonts w:ascii="Times New Roman" w:hAnsi="Times New Roman" w:cs="Times New Roman"/>
        </w:rPr>
        <w:t>Serva</w:t>
      </w:r>
      <w:proofErr w:type="spellEnd"/>
      <w:r w:rsidRPr="00BF26C8">
        <w:rPr>
          <w:rFonts w:ascii="Times New Roman" w:hAnsi="Times New Roman" w:cs="Times New Roman"/>
        </w:rPr>
        <w:t xml:space="preserve"> electrophoresis, Heidelberg, Germany) was added to a final concentration of 0.05% (w/v). </w:t>
      </w:r>
      <w:r w:rsidRPr="00BF26C8">
        <w:rPr>
          <w:rFonts w:ascii="Times New Roman" w:eastAsia="Calibri" w:hAnsi="Times New Roman" w:cs="Times New Roman"/>
        </w:rPr>
        <w:t>Hydroxyapatite column chromatography was performed in a specially designed heating block (handmade) heated to 60 </w:t>
      </w:r>
      <w:r w:rsidR="00D23EC0" w:rsidRPr="00BF26C8">
        <w:rPr>
          <w:rFonts w:ascii="Times New Roman" w:eastAsia="Calibri" w:hAnsi="Times New Roman" w:cs="Times New Roman"/>
        </w:rPr>
        <w:t>°</w:t>
      </w:r>
      <w:r w:rsidRPr="00BF26C8">
        <w:rPr>
          <w:rFonts w:ascii="Times New Roman" w:eastAsia="Calibri" w:hAnsi="Times New Roman" w:cs="Times New Roman"/>
        </w:rPr>
        <w:t>C in a water bath (</w:t>
      </w:r>
      <w:proofErr w:type="spellStart"/>
      <w:r w:rsidRPr="00BF26C8">
        <w:rPr>
          <w:rFonts w:ascii="Times New Roman" w:eastAsia="Calibri" w:hAnsi="Times New Roman" w:cs="Times New Roman"/>
        </w:rPr>
        <w:t>Memmert</w:t>
      </w:r>
      <w:proofErr w:type="spellEnd"/>
      <w:r w:rsidRPr="00BF26C8">
        <w:rPr>
          <w:rFonts w:ascii="Times New Roman" w:eastAsia="Calibri" w:hAnsi="Times New Roman" w:cs="Times New Roman"/>
        </w:rPr>
        <w:t xml:space="preserve">, </w:t>
      </w:r>
      <w:proofErr w:type="spellStart"/>
      <w:r w:rsidRPr="00BF26C8">
        <w:rPr>
          <w:rFonts w:ascii="Times New Roman" w:eastAsia="Calibri" w:hAnsi="Times New Roman" w:cs="Times New Roman"/>
        </w:rPr>
        <w:t>Schwabach</w:t>
      </w:r>
      <w:proofErr w:type="spellEnd"/>
      <w:r w:rsidRPr="00BF26C8">
        <w:rPr>
          <w:rFonts w:ascii="Times New Roman" w:eastAsia="Calibri" w:hAnsi="Times New Roman" w:cs="Times New Roman"/>
        </w:rPr>
        <w:t xml:space="preserve">, Germany). The 1 mL hydroxyapatite columns (Sigma Aldrich, </w:t>
      </w:r>
      <w:proofErr w:type="spellStart"/>
      <w:r w:rsidRPr="00BF26C8">
        <w:rPr>
          <w:rFonts w:ascii="Times New Roman" w:eastAsia="Calibri" w:hAnsi="Times New Roman" w:cs="Times New Roman"/>
        </w:rPr>
        <w:t>Schnelldorf</w:t>
      </w:r>
      <w:proofErr w:type="spellEnd"/>
      <w:r w:rsidRPr="00BF26C8">
        <w:rPr>
          <w:rFonts w:ascii="Times New Roman" w:eastAsia="Calibri" w:hAnsi="Times New Roman" w:cs="Times New Roman"/>
        </w:rPr>
        <w:t>, Germany)</w:t>
      </w:r>
      <w:r w:rsidRPr="00BF26C8">
        <w:rPr>
          <w:rFonts w:ascii="Times New Roman" w:eastAsia="Times New Roman" w:hAnsi="Times New Roman" w:cs="Times New Roman"/>
        </w:rPr>
        <w:t xml:space="preserve"> </w:t>
      </w:r>
      <w:r w:rsidRPr="00BF26C8">
        <w:rPr>
          <w:rFonts w:ascii="Times New Roman" w:eastAsia="Calibri" w:hAnsi="Times New Roman" w:cs="Times New Roman"/>
        </w:rPr>
        <w:t>were also prepared</w:t>
      </w:r>
      <w:r w:rsidRPr="00BF26C8">
        <w:rPr>
          <w:rFonts w:ascii="Times New Roman" w:eastAsia="Times New Roman" w:hAnsi="Times New Roman" w:cs="Times New Roman"/>
        </w:rPr>
        <w:t xml:space="preserve"> at 60</w:t>
      </w:r>
      <w:r w:rsidR="00D23EC0" w:rsidRPr="00BF26C8">
        <w:rPr>
          <w:rFonts w:ascii="Times New Roman" w:eastAsia="Times New Roman" w:hAnsi="Times New Roman" w:cs="Times New Roman"/>
        </w:rPr>
        <w:t xml:space="preserve"> </w:t>
      </w:r>
      <w:r w:rsidRPr="00BF26C8">
        <w:rPr>
          <w:rFonts w:ascii="Times New Roman" w:eastAsia="Times New Roman" w:hAnsi="Times New Roman" w:cs="Times New Roman"/>
        </w:rPr>
        <w:t>°C</w:t>
      </w:r>
      <w:r w:rsidRPr="00BF26C8">
        <w:rPr>
          <w:rFonts w:ascii="Times New Roman" w:eastAsia="Calibri" w:hAnsi="Times New Roman" w:cs="Times New Roman"/>
        </w:rPr>
        <w:t xml:space="preserve">. The first step in chromatography is activation of the hydroxyapatite columns. For this purpose, 1.5 mL of 0.5 M potassium phosphate buffer was added. Next, the column was washed with 1.5 mL of 0.01 M sodium phosphate buffer before the samples were added. The columns were then washed a second time with 2.5 mL 0.01 M sodium phosphate buffer. The single-stranded DNA was eluted in a 12-well cell-culture plate with 1.5 mL of 0.5 M potassium phosphate buffer. The 12-well cell-culture plate, where the eluted DNA was collected, was then kept in the dark to protect the DNA because of its light sensitivity. A new 12-well cell-culture plate was </w:t>
      </w:r>
      <w:r w:rsidRPr="00BF26C8">
        <w:rPr>
          <w:rFonts w:ascii="Times New Roman" w:eastAsia="Calibri" w:hAnsi="Times New Roman" w:cs="Times New Roman"/>
        </w:rPr>
        <w:lastRenderedPageBreak/>
        <w:t xml:space="preserve">placed under the columns and the double-stranded DNA was eluted with 0.35 M potassium phosphate buffer. The fluorescence dye Hoechst 33258 (Sigma Aldrich, </w:t>
      </w:r>
      <w:proofErr w:type="spellStart"/>
      <w:r w:rsidRPr="00BF26C8">
        <w:rPr>
          <w:rFonts w:ascii="Times New Roman" w:eastAsia="Calibri" w:hAnsi="Times New Roman" w:cs="Times New Roman"/>
        </w:rPr>
        <w:t>Schnelldorf</w:t>
      </w:r>
      <w:proofErr w:type="spellEnd"/>
      <w:r w:rsidRPr="00BF26C8">
        <w:rPr>
          <w:rFonts w:ascii="Times New Roman" w:eastAsia="Calibri" w:hAnsi="Times New Roman" w:cs="Times New Roman"/>
        </w:rPr>
        <w:t>, Germany) was added to each well to a final concentration of 7.5 x 10</w:t>
      </w:r>
      <w:r w:rsidRPr="00BF26C8">
        <w:rPr>
          <w:rFonts w:ascii="Times New Roman" w:eastAsia="Calibri" w:hAnsi="Times New Roman" w:cs="Times New Roman"/>
          <w:vertAlign w:val="superscript"/>
        </w:rPr>
        <w:t>-7</w:t>
      </w:r>
      <w:r w:rsidRPr="00BF26C8">
        <w:rPr>
          <w:rFonts w:ascii="Times New Roman" w:eastAsia="Calibri" w:hAnsi="Times New Roman" w:cs="Times New Roman"/>
        </w:rPr>
        <w:t xml:space="preserve"> M and the samples were then placed in the dark for 30 min. After the incubation time, the fluorescence was measured with spectrophotometric Microplate reader (Infinite® 200 PRO </w:t>
      </w:r>
      <w:proofErr w:type="spellStart"/>
      <w:r w:rsidRPr="00BF26C8">
        <w:rPr>
          <w:rFonts w:ascii="Times New Roman" w:eastAsia="Calibri" w:hAnsi="Times New Roman" w:cs="Times New Roman"/>
        </w:rPr>
        <w:t>Tecan</w:t>
      </w:r>
      <w:proofErr w:type="spellEnd"/>
      <w:r w:rsidRPr="00BF26C8">
        <w:rPr>
          <w:rFonts w:ascii="Times New Roman" w:eastAsia="Calibri" w:hAnsi="Times New Roman" w:cs="Times New Roman"/>
        </w:rPr>
        <w:t xml:space="preserve"> Group Ltd., </w:t>
      </w:r>
      <w:proofErr w:type="spellStart"/>
      <w:r w:rsidRPr="00BF26C8">
        <w:rPr>
          <w:rFonts w:ascii="Times New Roman" w:eastAsia="Calibri" w:hAnsi="Times New Roman" w:cs="Times New Roman"/>
        </w:rPr>
        <w:t>Männedorf</w:t>
      </w:r>
      <w:proofErr w:type="spellEnd"/>
      <w:r w:rsidRPr="00BF26C8">
        <w:rPr>
          <w:rFonts w:ascii="Times New Roman" w:eastAsia="Calibri" w:hAnsi="Times New Roman" w:cs="Times New Roman"/>
        </w:rPr>
        <w:t>, Switzerland) at an excitation wavelength of 360 nm and an emission wavelength of 455 nm. The fractions of double-stranded and single-stranded DNA were calculated as described by</w:t>
      </w:r>
      <w:r w:rsidRPr="00BF26C8">
        <w:rPr>
          <w:rFonts w:ascii="Times New Roman" w:hAnsi="Times New Roman" w:cs="Times New Roman"/>
        </w:rPr>
        <w:t xml:space="preserve"> </w:t>
      </w:r>
      <w:proofErr w:type="spellStart"/>
      <w:r w:rsidRPr="00BF26C8">
        <w:rPr>
          <w:rFonts w:ascii="Times New Roman" w:hAnsi="Times New Roman" w:cs="Times New Roman"/>
        </w:rPr>
        <w:t>Hartwig</w:t>
      </w:r>
      <w:proofErr w:type="spellEnd"/>
      <w:r w:rsidRPr="00BF26C8">
        <w:rPr>
          <w:rFonts w:ascii="Times New Roman" w:hAnsi="Times New Roman" w:cs="Times New Roman"/>
        </w:rPr>
        <w:t xml:space="preserve"> et al., 1995 </w:t>
      </w:r>
      <w:r w:rsidR="00C66C7C" w:rsidRPr="00BF26C8">
        <w:rPr>
          <w:rFonts w:ascii="Times New Roman" w:hAnsi="Times New Roman" w:cs="Times New Roman"/>
        </w:rPr>
        <w:fldChar w:fldCharType="begin"/>
      </w:r>
      <w:r w:rsidR="0002272E" w:rsidRPr="00BF26C8">
        <w:rPr>
          <w:rFonts w:ascii="Times New Roman" w:hAnsi="Times New Roman" w:cs="Times New Roman"/>
        </w:rPr>
        <w:instrText xml:space="preserve"> ADDIN ZOTERO_ITEM CSL_CITATION {"citationID":"dEPGnhHK","properties":{"formattedCitation":"(Hartwig and Schlepegrell 1995)","plainCitation":"(Hartwig and Schlepegrell 1995)","noteIndex":0},"citationItems":[{"id":555,"uris":["http://zotero.org/users/2738721/items/E7B2KM4N"],"uri":["http://zotero.org/users/2738721/items/E7B2KM4N"],"itemData":{"id":555,"type":"article-journal","title":"Induction of oxidative DNA damage by ferric iron in mammalian cells","container-title":"Carcinogenesis","page":"3009-3013","volume":"16","issue":"12","source":"carcin.oxfordjournals.org","abstract":"Ferric nitrilotriacetate (Fe-NTA) and ferric citrate (Fe-citrate) were compared with respect to their potential to induce oxidative DNA damage in V79 Chinese hamster cells. DNA base modifications, including 8-hydroxyguanine (7,8-dihydro-8-oxoguanine), were quantified by the frequency of lesions recognized by the bacterial Fpg protein (formamidopyrimidine-DNA glycosylase) in combination with the alkaline unwinding assay. Fe-NTA induced oxidative DNA damage in a time- and dose-dependent manner, yielding significant increases in Fpg-sensitive sites above background after incubation for 24 or 48 h with 500 and 250 μM respectively. At both time points the frequency of DNA base modifications exceeded the number of DNA strand breaks. In contrast, neither DNA strand breaks nor Fpg-sensitive sites were detected after treatment with Fecitrate at concentrations up to 2 mM for 24 or 48 h; this inactivity of Fe-citrate was independent of the molar ratio of iron to ligand (1:1, 1:2, 1:10 or 1:20). The results indicate that the cellular damage induced by ferric iron depends strongly on the actual complex applied, possibly due to differences in the intracellular distribution, which in turn may affect the availability of iron for redox reactions at or in close proximity to the DNA.","DOI":"10.1093/carcin/16.12.3009","ISSN":"0143-3334, 1460-2180","note":"PMID: 8603477","journalAbbreviation":"Carcinogenesis","language":"en","author":[{"family":"Hartwig","given":"Andrea"},{"family":"Schlepegrell","given":"Regina"}],"issued":{"date-parts":[["1995",12,1]]}}}],"schema":"https://github.com/citation-style-language/schema/raw/master/csl-citation.json"} </w:instrText>
      </w:r>
      <w:r w:rsidR="00C66C7C" w:rsidRPr="00BF26C8">
        <w:rPr>
          <w:rFonts w:ascii="Times New Roman" w:hAnsi="Times New Roman" w:cs="Times New Roman"/>
        </w:rPr>
        <w:fldChar w:fldCharType="separate"/>
      </w:r>
      <w:r w:rsidR="0002272E" w:rsidRPr="00BF26C8">
        <w:rPr>
          <w:rFonts w:ascii="Times New Roman" w:hAnsi="Times New Roman" w:cs="Times New Roman"/>
        </w:rPr>
        <w:t>(</w:t>
      </w:r>
      <w:proofErr w:type="spellStart"/>
      <w:r w:rsidR="0002272E" w:rsidRPr="00BF26C8">
        <w:rPr>
          <w:rFonts w:ascii="Times New Roman" w:hAnsi="Times New Roman" w:cs="Times New Roman"/>
        </w:rPr>
        <w:t>Hartwig</w:t>
      </w:r>
      <w:proofErr w:type="spellEnd"/>
      <w:r w:rsidR="0002272E" w:rsidRPr="00BF26C8">
        <w:rPr>
          <w:rFonts w:ascii="Times New Roman" w:hAnsi="Times New Roman" w:cs="Times New Roman"/>
        </w:rPr>
        <w:t xml:space="preserve"> and </w:t>
      </w:r>
      <w:proofErr w:type="spellStart"/>
      <w:r w:rsidR="0002272E" w:rsidRPr="00BF26C8">
        <w:rPr>
          <w:rFonts w:ascii="Times New Roman" w:hAnsi="Times New Roman" w:cs="Times New Roman"/>
        </w:rPr>
        <w:t>Schlepegrell</w:t>
      </w:r>
      <w:proofErr w:type="spellEnd"/>
      <w:r w:rsidR="0002272E" w:rsidRPr="00BF26C8">
        <w:rPr>
          <w:rFonts w:ascii="Times New Roman" w:hAnsi="Times New Roman" w:cs="Times New Roman"/>
        </w:rPr>
        <w:t xml:space="preserve"> 1995)</w:t>
      </w:r>
      <w:r w:rsidR="00C66C7C" w:rsidRPr="00BF26C8">
        <w:rPr>
          <w:rFonts w:ascii="Times New Roman" w:hAnsi="Times New Roman" w:cs="Times New Roman"/>
        </w:rPr>
        <w:fldChar w:fldCharType="end"/>
      </w:r>
      <w:r w:rsidRPr="00BF26C8">
        <w:rPr>
          <w:rFonts w:ascii="Times New Roman" w:hAnsi="Times New Roman" w:cs="Times New Roman"/>
        </w:rPr>
        <w:t>.</w:t>
      </w:r>
      <w:r w:rsidRPr="00BF26C8">
        <w:rPr>
          <w:rFonts w:ascii="Times New Roman" w:eastAsia="Calibri" w:hAnsi="Times New Roman" w:cs="Times New Roman"/>
        </w:rPr>
        <w:t xml:space="preserve"> A blank (buffer only) was prepared for each plate.</w:t>
      </w:r>
    </w:p>
    <w:p w14:paraId="6D9C0DA4" w14:textId="77777777" w:rsidR="006A57DC" w:rsidRPr="00BF26C8" w:rsidRDefault="006A57DC" w:rsidP="006A57DC">
      <w:pPr>
        <w:spacing w:after="0" w:line="360" w:lineRule="auto"/>
        <w:jc w:val="both"/>
        <w:rPr>
          <w:rFonts w:ascii="Times New Roman" w:eastAsia="Calibri" w:hAnsi="Times New Roman" w:cs="Times New Roman"/>
        </w:rPr>
      </w:pPr>
    </w:p>
    <w:p w14:paraId="6D9C0DA5" w14:textId="77777777" w:rsidR="00A933FA" w:rsidRPr="00BF26C8" w:rsidRDefault="00A933FA" w:rsidP="006C112E">
      <w:pPr>
        <w:spacing w:after="0" w:line="360" w:lineRule="auto"/>
        <w:jc w:val="both"/>
        <w:rPr>
          <w:rFonts w:ascii="Times New Roman" w:eastAsia="Calibri" w:hAnsi="Times New Roman" w:cs="Times New Roman"/>
        </w:rPr>
      </w:pPr>
    </w:p>
    <w:p w14:paraId="6D9C0DA6" w14:textId="77777777" w:rsidR="00A933FA" w:rsidRPr="00BF26C8" w:rsidRDefault="00A933FA" w:rsidP="006C112E">
      <w:pPr>
        <w:spacing w:after="0" w:line="360" w:lineRule="auto"/>
        <w:jc w:val="both"/>
        <w:rPr>
          <w:rFonts w:ascii="Times New Roman" w:eastAsia="Calibri" w:hAnsi="Times New Roman" w:cs="Times New Roman"/>
        </w:rPr>
      </w:pPr>
    </w:p>
    <w:p w14:paraId="6D9C0DA7" w14:textId="77777777" w:rsidR="00A933FA" w:rsidRPr="00BF26C8" w:rsidRDefault="00A933FA" w:rsidP="006C112E">
      <w:pPr>
        <w:spacing w:after="0" w:line="360" w:lineRule="auto"/>
        <w:jc w:val="both"/>
        <w:rPr>
          <w:rFonts w:ascii="Times New Roman" w:eastAsia="Calibri" w:hAnsi="Times New Roman" w:cs="Times New Roman"/>
        </w:rPr>
      </w:pPr>
    </w:p>
    <w:p w14:paraId="6D9C0DA8" w14:textId="77777777" w:rsidR="00111B57" w:rsidRPr="00BF26C8" w:rsidRDefault="00111B57" w:rsidP="006C112E">
      <w:pPr>
        <w:spacing w:after="0" w:line="360" w:lineRule="auto"/>
        <w:jc w:val="both"/>
        <w:rPr>
          <w:rFonts w:ascii="Times New Roman" w:eastAsia="Calibri" w:hAnsi="Times New Roman" w:cs="Times New Roman"/>
        </w:rPr>
      </w:pPr>
    </w:p>
    <w:p w14:paraId="6D9C0DA9" w14:textId="77777777" w:rsidR="00111B57" w:rsidRPr="00BF26C8" w:rsidRDefault="00111B57" w:rsidP="006C112E">
      <w:pPr>
        <w:spacing w:after="0" w:line="360" w:lineRule="auto"/>
        <w:jc w:val="both"/>
        <w:rPr>
          <w:rFonts w:ascii="Times New Roman" w:eastAsia="Calibri" w:hAnsi="Times New Roman" w:cs="Times New Roman"/>
        </w:rPr>
      </w:pPr>
    </w:p>
    <w:p w14:paraId="6D9C0DAA" w14:textId="77777777" w:rsidR="00111B57" w:rsidRPr="00BF26C8" w:rsidRDefault="00111B57" w:rsidP="006C112E">
      <w:pPr>
        <w:spacing w:after="0" w:line="360" w:lineRule="auto"/>
        <w:jc w:val="both"/>
        <w:rPr>
          <w:rFonts w:ascii="Times New Roman" w:eastAsia="Calibri" w:hAnsi="Times New Roman" w:cs="Times New Roman"/>
        </w:rPr>
      </w:pPr>
    </w:p>
    <w:p w14:paraId="6D9C0DAB" w14:textId="77777777" w:rsidR="00111B57" w:rsidRPr="00BF26C8" w:rsidRDefault="00111B57" w:rsidP="006C112E">
      <w:pPr>
        <w:spacing w:after="0" w:line="360" w:lineRule="auto"/>
        <w:jc w:val="both"/>
        <w:rPr>
          <w:rFonts w:ascii="Times New Roman" w:eastAsia="Calibri" w:hAnsi="Times New Roman" w:cs="Times New Roman"/>
        </w:rPr>
      </w:pPr>
    </w:p>
    <w:p w14:paraId="6D9C0DAC" w14:textId="77777777" w:rsidR="00111B57" w:rsidRPr="00BF26C8" w:rsidRDefault="00111B57" w:rsidP="006C112E">
      <w:pPr>
        <w:spacing w:after="0" w:line="360" w:lineRule="auto"/>
        <w:jc w:val="both"/>
        <w:rPr>
          <w:rFonts w:ascii="Times New Roman" w:eastAsia="Calibri" w:hAnsi="Times New Roman" w:cs="Times New Roman"/>
        </w:rPr>
      </w:pPr>
    </w:p>
    <w:p w14:paraId="6D9C0DAD" w14:textId="77777777" w:rsidR="00111B57" w:rsidRPr="00BF26C8" w:rsidRDefault="00111B57" w:rsidP="006C112E">
      <w:pPr>
        <w:spacing w:after="0" w:line="360" w:lineRule="auto"/>
        <w:jc w:val="both"/>
        <w:rPr>
          <w:rFonts w:ascii="Times New Roman" w:eastAsia="Calibri" w:hAnsi="Times New Roman" w:cs="Times New Roman"/>
        </w:rPr>
      </w:pPr>
    </w:p>
    <w:p w14:paraId="6D9C0DAE" w14:textId="77777777" w:rsidR="0057495A" w:rsidRPr="00BF26C8" w:rsidRDefault="0057495A" w:rsidP="006C112E">
      <w:pPr>
        <w:spacing w:after="0" w:line="360" w:lineRule="auto"/>
        <w:jc w:val="both"/>
        <w:rPr>
          <w:rFonts w:ascii="Times New Roman" w:eastAsia="Calibri" w:hAnsi="Times New Roman" w:cs="Times New Roman"/>
        </w:rPr>
      </w:pPr>
    </w:p>
    <w:p w14:paraId="6D9C0DAF" w14:textId="77777777" w:rsidR="00A933FA" w:rsidRPr="00BF26C8" w:rsidRDefault="00A933FA" w:rsidP="006C112E">
      <w:pPr>
        <w:spacing w:after="0" w:line="360" w:lineRule="auto"/>
        <w:jc w:val="both"/>
        <w:rPr>
          <w:rFonts w:ascii="Times New Roman" w:eastAsia="Calibri" w:hAnsi="Times New Roman" w:cs="Times New Roman"/>
        </w:rPr>
      </w:pPr>
    </w:p>
    <w:p w14:paraId="6D9C0DB0" w14:textId="77777777" w:rsidR="00A933FA" w:rsidRPr="00BF26C8" w:rsidRDefault="00A933FA" w:rsidP="006C112E">
      <w:pPr>
        <w:spacing w:after="0" w:line="360" w:lineRule="auto"/>
        <w:jc w:val="both"/>
        <w:rPr>
          <w:rFonts w:ascii="Times New Roman" w:eastAsia="Calibri" w:hAnsi="Times New Roman" w:cs="Times New Roman"/>
        </w:rPr>
      </w:pPr>
    </w:p>
    <w:p w14:paraId="6D9C0DB1" w14:textId="77777777" w:rsidR="00A933FA" w:rsidRPr="00BF26C8" w:rsidRDefault="00A933FA" w:rsidP="006C112E">
      <w:pPr>
        <w:spacing w:after="0" w:line="360" w:lineRule="auto"/>
        <w:jc w:val="both"/>
        <w:rPr>
          <w:rFonts w:ascii="Times New Roman" w:eastAsia="Calibri" w:hAnsi="Times New Roman" w:cs="Times New Roman"/>
        </w:rPr>
      </w:pPr>
    </w:p>
    <w:p w14:paraId="6D9C0DB2" w14:textId="77777777" w:rsidR="006C112E" w:rsidRPr="00BF26C8" w:rsidRDefault="006C112E" w:rsidP="006C112E">
      <w:pPr>
        <w:spacing w:after="0" w:line="360" w:lineRule="auto"/>
        <w:jc w:val="both"/>
        <w:rPr>
          <w:rFonts w:ascii="Times New Roman" w:eastAsia="Calibri" w:hAnsi="Times New Roman" w:cs="Times New Roman"/>
        </w:rPr>
      </w:pPr>
    </w:p>
    <w:p w14:paraId="6D9C0DB3" w14:textId="77777777" w:rsidR="00162096" w:rsidRPr="00BF26C8" w:rsidRDefault="00162096" w:rsidP="006C112E">
      <w:pPr>
        <w:spacing w:after="0" w:line="360" w:lineRule="auto"/>
        <w:jc w:val="both"/>
        <w:rPr>
          <w:rFonts w:ascii="Times New Roman" w:eastAsia="Calibri" w:hAnsi="Times New Roman" w:cs="Times New Roman"/>
        </w:rPr>
      </w:pPr>
    </w:p>
    <w:p w14:paraId="6D9C0DB4" w14:textId="77777777" w:rsidR="00162096" w:rsidRPr="00BF26C8" w:rsidRDefault="00162096" w:rsidP="006C112E">
      <w:pPr>
        <w:spacing w:after="0" w:line="360" w:lineRule="auto"/>
        <w:jc w:val="both"/>
        <w:rPr>
          <w:rFonts w:ascii="Times New Roman" w:eastAsia="Calibri" w:hAnsi="Times New Roman" w:cs="Times New Roman"/>
        </w:rPr>
      </w:pPr>
    </w:p>
    <w:p w14:paraId="6D9C0DB5" w14:textId="77777777" w:rsidR="00162096" w:rsidRPr="00BF26C8" w:rsidRDefault="00162096" w:rsidP="006C112E">
      <w:pPr>
        <w:spacing w:after="0" w:line="360" w:lineRule="auto"/>
        <w:jc w:val="both"/>
        <w:rPr>
          <w:rFonts w:ascii="Times New Roman" w:eastAsia="Calibri" w:hAnsi="Times New Roman" w:cs="Times New Roman"/>
        </w:rPr>
      </w:pPr>
    </w:p>
    <w:p w14:paraId="6D9C0DB6" w14:textId="77777777" w:rsidR="00162096" w:rsidRPr="00BF26C8" w:rsidRDefault="00162096" w:rsidP="006C112E">
      <w:pPr>
        <w:spacing w:after="0" w:line="360" w:lineRule="auto"/>
        <w:jc w:val="both"/>
        <w:rPr>
          <w:rFonts w:ascii="Times New Roman" w:eastAsia="Calibri" w:hAnsi="Times New Roman" w:cs="Times New Roman"/>
        </w:rPr>
      </w:pPr>
    </w:p>
    <w:p w14:paraId="6D9C0DB7" w14:textId="77777777" w:rsidR="00162096" w:rsidRPr="00BF26C8" w:rsidRDefault="00162096" w:rsidP="006C112E">
      <w:pPr>
        <w:spacing w:after="0" w:line="360" w:lineRule="auto"/>
        <w:jc w:val="both"/>
        <w:rPr>
          <w:rFonts w:ascii="Times New Roman" w:eastAsia="Calibri" w:hAnsi="Times New Roman" w:cs="Times New Roman"/>
        </w:rPr>
      </w:pPr>
    </w:p>
    <w:p w14:paraId="6D9C0DB8" w14:textId="77777777" w:rsidR="00162096" w:rsidRPr="00BF26C8" w:rsidRDefault="00162096" w:rsidP="006C112E">
      <w:pPr>
        <w:spacing w:after="0" w:line="360" w:lineRule="auto"/>
        <w:jc w:val="both"/>
        <w:rPr>
          <w:rFonts w:ascii="Times New Roman" w:eastAsia="Calibri" w:hAnsi="Times New Roman" w:cs="Times New Roman"/>
        </w:rPr>
      </w:pPr>
    </w:p>
    <w:p w14:paraId="6D9C0DB9" w14:textId="77777777" w:rsidR="00162096" w:rsidRPr="00BF26C8" w:rsidRDefault="00162096" w:rsidP="006C112E">
      <w:pPr>
        <w:spacing w:after="0" w:line="360" w:lineRule="auto"/>
        <w:jc w:val="both"/>
        <w:rPr>
          <w:rFonts w:ascii="Times New Roman" w:eastAsia="Calibri" w:hAnsi="Times New Roman" w:cs="Times New Roman"/>
        </w:rPr>
      </w:pPr>
    </w:p>
    <w:p w14:paraId="6D9C0DBA" w14:textId="77777777" w:rsidR="00162096" w:rsidRPr="00BF26C8" w:rsidRDefault="00162096" w:rsidP="006C112E">
      <w:pPr>
        <w:spacing w:after="0" w:line="360" w:lineRule="auto"/>
        <w:jc w:val="both"/>
        <w:rPr>
          <w:rFonts w:ascii="Times New Roman" w:eastAsia="Calibri" w:hAnsi="Times New Roman" w:cs="Times New Roman"/>
        </w:rPr>
      </w:pPr>
    </w:p>
    <w:p w14:paraId="6D9C0DBB" w14:textId="77777777" w:rsidR="00162096" w:rsidRPr="00BF26C8" w:rsidRDefault="00162096" w:rsidP="006C112E">
      <w:pPr>
        <w:spacing w:after="0" w:line="360" w:lineRule="auto"/>
        <w:jc w:val="both"/>
        <w:rPr>
          <w:rFonts w:ascii="Times New Roman" w:eastAsia="Calibri" w:hAnsi="Times New Roman" w:cs="Times New Roman"/>
        </w:rPr>
      </w:pPr>
    </w:p>
    <w:p w14:paraId="6D9C0DBC" w14:textId="77777777" w:rsidR="00162096" w:rsidRPr="00BF26C8" w:rsidRDefault="00162096" w:rsidP="006C112E">
      <w:pPr>
        <w:spacing w:after="0" w:line="360" w:lineRule="auto"/>
        <w:jc w:val="both"/>
        <w:rPr>
          <w:rFonts w:ascii="Times New Roman" w:eastAsia="Calibri" w:hAnsi="Times New Roman" w:cs="Times New Roman"/>
        </w:rPr>
      </w:pPr>
    </w:p>
    <w:p w14:paraId="6D9C0DBD" w14:textId="77777777" w:rsidR="00162096" w:rsidRPr="00BF26C8" w:rsidRDefault="00162096" w:rsidP="006C112E">
      <w:pPr>
        <w:spacing w:after="0" w:line="360" w:lineRule="auto"/>
        <w:jc w:val="both"/>
        <w:rPr>
          <w:rFonts w:ascii="Times New Roman" w:eastAsia="Calibri" w:hAnsi="Times New Roman" w:cs="Times New Roman"/>
        </w:rPr>
      </w:pPr>
    </w:p>
    <w:p w14:paraId="6D9C0DBE" w14:textId="77777777" w:rsidR="004517A8" w:rsidRPr="00BF26C8" w:rsidRDefault="004517A8" w:rsidP="004517A8">
      <w:pPr>
        <w:spacing w:after="0" w:line="360" w:lineRule="auto"/>
        <w:rPr>
          <w:rFonts w:ascii="Times New Roman" w:hAnsi="Times New Roman" w:cs="Times New Roman"/>
          <w:b/>
          <w:bCs/>
          <w:kern w:val="24"/>
          <w:sz w:val="28"/>
        </w:rPr>
      </w:pPr>
      <w:r w:rsidRPr="00BF26C8">
        <w:rPr>
          <w:rFonts w:ascii="Times New Roman" w:hAnsi="Times New Roman" w:cs="Times New Roman"/>
          <w:b/>
          <w:bCs/>
          <w:noProof/>
          <w:kern w:val="24"/>
        </w:rPr>
        <w:lastRenderedPageBreak/>
        <w:drawing>
          <wp:inline distT="0" distB="0" distL="0" distR="0" wp14:anchorId="6D9C0E6E" wp14:editId="6D9C0E6F">
            <wp:extent cx="6344092" cy="288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aq-map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44092" cy="2880000"/>
                    </a:xfrm>
                    <a:prstGeom prst="rect">
                      <a:avLst/>
                    </a:prstGeom>
                  </pic:spPr>
                </pic:pic>
              </a:graphicData>
            </a:graphic>
          </wp:inline>
        </w:drawing>
      </w:r>
    </w:p>
    <w:p w14:paraId="6D9C0DBF" w14:textId="77777777" w:rsidR="004517A8" w:rsidRPr="00BF26C8" w:rsidRDefault="004517A8" w:rsidP="004517A8">
      <w:pPr>
        <w:spacing w:after="0" w:line="360" w:lineRule="auto"/>
        <w:jc w:val="both"/>
        <w:rPr>
          <w:rFonts w:ascii="Times New Roman" w:hAnsi="Times New Roman" w:cs="Times New Roman"/>
          <w:b/>
          <w:bCs/>
          <w:kern w:val="24"/>
          <w:sz w:val="20"/>
        </w:rPr>
      </w:pPr>
    </w:p>
    <w:p w14:paraId="6D9C0DC0" w14:textId="77777777" w:rsidR="004517A8" w:rsidRPr="00BF26C8" w:rsidRDefault="004517A8" w:rsidP="005570F2">
      <w:pPr>
        <w:spacing w:after="0" w:line="360" w:lineRule="auto"/>
        <w:jc w:val="both"/>
        <w:rPr>
          <w:rFonts w:ascii="Times New Roman" w:hAnsi="Times New Roman" w:cs="Times New Roman"/>
          <w:kern w:val="24"/>
          <w:sz w:val="20"/>
        </w:rPr>
      </w:pPr>
      <w:r w:rsidRPr="00BF26C8">
        <w:rPr>
          <w:rFonts w:ascii="Times New Roman" w:hAnsi="Times New Roman" w:cs="Times New Roman"/>
          <w:b/>
          <w:bCs/>
          <w:kern w:val="24"/>
          <w:sz w:val="20"/>
        </w:rPr>
        <w:t xml:space="preserve">Fig.S1. </w:t>
      </w:r>
      <w:r w:rsidRPr="00BF26C8">
        <w:rPr>
          <w:rFonts w:ascii="Times New Roman" w:hAnsi="Times New Roman" w:cs="Times New Roman"/>
          <w:kern w:val="24"/>
          <w:sz w:val="20"/>
        </w:rPr>
        <w:t>Map showing the location</w:t>
      </w:r>
      <w:r w:rsidR="004B1B8E" w:rsidRPr="00BF26C8">
        <w:rPr>
          <w:rFonts w:ascii="Times New Roman" w:hAnsi="Times New Roman" w:cs="Times New Roman"/>
          <w:kern w:val="24"/>
          <w:sz w:val="20"/>
        </w:rPr>
        <w:t>s</w:t>
      </w:r>
      <w:r w:rsidRPr="00BF26C8">
        <w:rPr>
          <w:rFonts w:ascii="Times New Roman" w:hAnsi="Times New Roman" w:cs="Times New Roman"/>
          <w:kern w:val="24"/>
          <w:sz w:val="20"/>
        </w:rPr>
        <w:t xml:space="preserve"> of sample collection sites in </w:t>
      </w:r>
      <w:proofErr w:type="spellStart"/>
      <w:r w:rsidRPr="00BF26C8">
        <w:rPr>
          <w:rFonts w:ascii="Times New Roman" w:hAnsi="Times New Roman" w:cs="Times New Roman"/>
          <w:kern w:val="24"/>
          <w:sz w:val="20"/>
        </w:rPr>
        <w:t>Sulaimani</w:t>
      </w:r>
      <w:proofErr w:type="spellEnd"/>
      <w:r w:rsidR="004B1B8E" w:rsidRPr="00BF26C8">
        <w:rPr>
          <w:rFonts w:ascii="Times New Roman" w:hAnsi="Times New Roman" w:cs="Times New Roman"/>
          <w:kern w:val="24"/>
          <w:sz w:val="20"/>
        </w:rPr>
        <w:t xml:space="preserve"> City</w:t>
      </w:r>
      <w:r w:rsidRPr="00BF26C8">
        <w:rPr>
          <w:rFonts w:ascii="Times New Roman" w:hAnsi="Times New Roman" w:cs="Times New Roman"/>
          <w:kern w:val="24"/>
          <w:sz w:val="20"/>
        </w:rPr>
        <w:t>. Sampling sites are marked by black dots (</w:t>
      </w:r>
      <w:proofErr w:type="spellStart"/>
      <w:r w:rsidRPr="00BF26C8">
        <w:rPr>
          <w:rFonts w:ascii="Times New Roman" w:hAnsi="Times New Roman" w:cs="Times New Roman"/>
          <w:kern w:val="24"/>
          <w:sz w:val="20"/>
        </w:rPr>
        <w:t>RurSu</w:t>
      </w:r>
      <w:proofErr w:type="spellEnd"/>
      <w:r w:rsidRPr="00BF26C8">
        <w:rPr>
          <w:rFonts w:ascii="Times New Roman" w:hAnsi="Times New Roman" w:cs="Times New Roman"/>
          <w:kern w:val="24"/>
          <w:sz w:val="20"/>
        </w:rPr>
        <w:t xml:space="preserve">, </w:t>
      </w:r>
      <w:proofErr w:type="spellStart"/>
      <w:r w:rsidRPr="00BF26C8">
        <w:rPr>
          <w:rFonts w:ascii="Times New Roman" w:hAnsi="Times New Roman" w:cs="Times New Roman"/>
          <w:kern w:val="24"/>
          <w:sz w:val="20"/>
        </w:rPr>
        <w:t>IndSu</w:t>
      </w:r>
      <w:proofErr w:type="spellEnd"/>
      <w:r w:rsidRPr="00BF26C8">
        <w:rPr>
          <w:rFonts w:ascii="Times New Roman" w:hAnsi="Times New Roman" w:cs="Times New Roman"/>
          <w:kern w:val="24"/>
          <w:sz w:val="20"/>
        </w:rPr>
        <w:t xml:space="preserve">, </w:t>
      </w:r>
      <w:proofErr w:type="spellStart"/>
      <w:proofErr w:type="gramStart"/>
      <w:r w:rsidRPr="00BF26C8">
        <w:rPr>
          <w:rFonts w:ascii="Times New Roman" w:hAnsi="Times New Roman" w:cs="Times New Roman"/>
          <w:kern w:val="24"/>
          <w:sz w:val="20"/>
        </w:rPr>
        <w:t>UrbSu</w:t>
      </w:r>
      <w:proofErr w:type="spellEnd"/>
      <w:proofErr w:type="gramEnd"/>
      <w:r w:rsidRPr="00BF26C8">
        <w:rPr>
          <w:rFonts w:ascii="Times New Roman" w:hAnsi="Times New Roman" w:cs="Times New Roman"/>
          <w:kern w:val="24"/>
          <w:sz w:val="20"/>
        </w:rPr>
        <w:t>)</w:t>
      </w:r>
      <w:r w:rsidR="005570F2" w:rsidRPr="00BF26C8">
        <w:rPr>
          <w:rFonts w:ascii="Times New Roman" w:hAnsi="Times New Roman" w:cs="Times New Roman"/>
          <w:kern w:val="24"/>
          <w:sz w:val="20"/>
        </w:rPr>
        <w:t>.</w:t>
      </w:r>
    </w:p>
    <w:p w14:paraId="6D9C0DC1" w14:textId="77777777" w:rsidR="00A933FA" w:rsidRPr="00BF26C8" w:rsidRDefault="00A933FA" w:rsidP="005570F2">
      <w:pPr>
        <w:spacing w:after="0" w:line="360" w:lineRule="auto"/>
        <w:jc w:val="both"/>
        <w:rPr>
          <w:rFonts w:ascii="Times New Roman" w:hAnsi="Times New Roman" w:cs="Times New Roman"/>
          <w:kern w:val="24"/>
          <w:sz w:val="20"/>
        </w:rPr>
      </w:pPr>
    </w:p>
    <w:p w14:paraId="6D9C0DC2" w14:textId="77777777" w:rsidR="00A933FA" w:rsidRPr="00BF26C8" w:rsidRDefault="00A933FA" w:rsidP="005570F2">
      <w:pPr>
        <w:spacing w:after="0" w:line="360" w:lineRule="auto"/>
        <w:jc w:val="both"/>
        <w:rPr>
          <w:rFonts w:ascii="Times New Roman" w:hAnsi="Times New Roman" w:cs="Times New Roman"/>
          <w:kern w:val="24"/>
          <w:sz w:val="20"/>
        </w:rPr>
      </w:pPr>
    </w:p>
    <w:p w14:paraId="6D9C0DC3" w14:textId="77777777" w:rsidR="00A933FA" w:rsidRPr="00BF26C8" w:rsidRDefault="00A933FA" w:rsidP="005570F2">
      <w:pPr>
        <w:spacing w:after="0" w:line="360" w:lineRule="auto"/>
        <w:jc w:val="both"/>
        <w:rPr>
          <w:rFonts w:ascii="Times New Roman" w:hAnsi="Times New Roman" w:cs="Times New Roman"/>
          <w:kern w:val="24"/>
          <w:sz w:val="20"/>
        </w:rPr>
      </w:pPr>
    </w:p>
    <w:p w14:paraId="6D9C0DC4" w14:textId="77777777" w:rsidR="00A933FA" w:rsidRPr="00BF26C8" w:rsidRDefault="00A933FA" w:rsidP="005570F2">
      <w:pPr>
        <w:spacing w:after="0" w:line="360" w:lineRule="auto"/>
        <w:jc w:val="both"/>
        <w:rPr>
          <w:rFonts w:ascii="Times New Roman" w:hAnsi="Times New Roman" w:cs="Times New Roman"/>
          <w:kern w:val="24"/>
          <w:sz w:val="20"/>
        </w:rPr>
      </w:pPr>
    </w:p>
    <w:p w14:paraId="6D9C0DC5" w14:textId="77777777" w:rsidR="00A933FA" w:rsidRPr="00BF26C8" w:rsidRDefault="00A933FA" w:rsidP="005570F2">
      <w:pPr>
        <w:spacing w:after="0" w:line="360" w:lineRule="auto"/>
        <w:jc w:val="both"/>
        <w:rPr>
          <w:rFonts w:ascii="Times New Roman" w:hAnsi="Times New Roman" w:cs="Times New Roman"/>
          <w:kern w:val="24"/>
          <w:sz w:val="20"/>
        </w:rPr>
      </w:pPr>
    </w:p>
    <w:p w14:paraId="6D9C0DC6" w14:textId="77777777" w:rsidR="00A933FA" w:rsidRPr="00BF26C8" w:rsidRDefault="00A933FA" w:rsidP="005570F2">
      <w:pPr>
        <w:spacing w:after="0" w:line="360" w:lineRule="auto"/>
        <w:jc w:val="both"/>
        <w:rPr>
          <w:rFonts w:ascii="Times New Roman" w:hAnsi="Times New Roman" w:cs="Times New Roman"/>
          <w:kern w:val="24"/>
          <w:sz w:val="20"/>
        </w:rPr>
      </w:pPr>
    </w:p>
    <w:p w14:paraId="6D9C0DC7" w14:textId="77777777" w:rsidR="00A933FA" w:rsidRPr="00BF26C8" w:rsidRDefault="00A933FA" w:rsidP="005570F2">
      <w:pPr>
        <w:spacing w:after="0" w:line="360" w:lineRule="auto"/>
        <w:jc w:val="both"/>
        <w:rPr>
          <w:rFonts w:ascii="Times New Roman" w:hAnsi="Times New Roman" w:cs="Times New Roman"/>
          <w:kern w:val="24"/>
          <w:sz w:val="20"/>
        </w:rPr>
      </w:pPr>
    </w:p>
    <w:p w14:paraId="6D9C0DC8" w14:textId="77777777" w:rsidR="006A57DC" w:rsidRPr="00BF26C8" w:rsidRDefault="006A57DC" w:rsidP="005570F2">
      <w:pPr>
        <w:spacing w:after="0" w:line="360" w:lineRule="auto"/>
        <w:jc w:val="both"/>
        <w:rPr>
          <w:rFonts w:ascii="Times New Roman" w:hAnsi="Times New Roman" w:cs="Times New Roman"/>
          <w:kern w:val="24"/>
          <w:sz w:val="20"/>
        </w:rPr>
      </w:pPr>
    </w:p>
    <w:p w14:paraId="6D9C0DC9" w14:textId="77777777" w:rsidR="006A57DC" w:rsidRPr="00BF26C8" w:rsidRDefault="006A57DC" w:rsidP="005570F2">
      <w:pPr>
        <w:spacing w:after="0" w:line="360" w:lineRule="auto"/>
        <w:jc w:val="both"/>
        <w:rPr>
          <w:rFonts w:ascii="Times New Roman" w:hAnsi="Times New Roman" w:cs="Times New Roman"/>
          <w:kern w:val="24"/>
          <w:sz w:val="20"/>
        </w:rPr>
      </w:pPr>
    </w:p>
    <w:p w14:paraId="6D9C0DCA" w14:textId="77777777" w:rsidR="006A57DC" w:rsidRPr="00BF26C8" w:rsidRDefault="006A57DC" w:rsidP="005570F2">
      <w:pPr>
        <w:spacing w:after="0" w:line="360" w:lineRule="auto"/>
        <w:jc w:val="both"/>
        <w:rPr>
          <w:rFonts w:ascii="Times New Roman" w:hAnsi="Times New Roman" w:cs="Times New Roman"/>
          <w:kern w:val="24"/>
          <w:sz w:val="20"/>
        </w:rPr>
      </w:pPr>
    </w:p>
    <w:p w14:paraId="6D9C0DCB" w14:textId="77777777" w:rsidR="006A57DC" w:rsidRPr="00BF26C8" w:rsidRDefault="006A57DC" w:rsidP="005570F2">
      <w:pPr>
        <w:spacing w:after="0" w:line="360" w:lineRule="auto"/>
        <w:jc w:val="both"/>
        <w:rPr>
          <w:rFonts w:ascii="Times New Roman" w:hAnsi="Times New Roman" w:cs="Times New Roman"/>
          <w:kern w:val="24"/>
          <w:sz w:val="20"/>
        </w:rPr>
      </w:pPr>
    </w:p>
    <w:p w14:paraId="6D9C0DCC" w14:textId="77777777" w:rsidR="006A57DC" w:rsidRPr="00BF26C8" w:rsidRDefault="006A57DC" w:rsidP="005570F2">
      <w:pPr>
        <w:spacing w:after="0" w:line="360" w:lineRule="auto"/>
        <w:jc w:val="both"/>
        <w:rPr>
          <w:rFonts w:ascii="Times New Roman" w:hAnsi="Times New Roman" w:cs="Times New Roman"/>
          <w:kern w:val="24"/>
          <w:sz w:val="20"/>
        </w:rPr>
      </w:pPr>
    </w:p>
    <w:p w14:paraId="6D9C0DCD" w14:textId="77777777" w:rsidR="006A57DC" w:rsidRPr="00BF26C8" w:rsidRDefault="006A57DC" w:rsidP="005570F2">
      <w:pPr>
        <w:spacing w:after="0" w:line="360" w:lineRule="auto"/>
        <w:jc w:val="both"/>
        <w:rPr>
          <w:rFonts w:ascii="Times New Roman" w:hAnsi="Times New Roman" w:cs="Times New Roman"/>
          <w:kern w:val="24"/>
          <w:sz w:val="20"/>
        </w:rPr>
      </w:pPr>
    </w:p>
    <w:p w14:paraId="6D9C0DCE" w14:textId="77777777" w:rsidR="006A57DC" w:rsidRPr="00BF26C8" w:rsidRDefault="006A57DC" w:rsidP="005570F2">
      <w:pPr>
        <w:spacing w:after="0" w:line="360" w:lineRule="auto"/>
        <w:jc w:val="both"/>
        <w:rPr>
          <w:rFonts w:ascii="Times New Roman" w:hAnsi="Times New Roman" w:cs="Times New Roman"/>
          <w:kern w:val="24"/>
          <w:sz w:val="20"/>
        </w:rPr>
      </w:pPr>
    </w:p>
    <w:p w14:paraId="6D9C0DCF" w14:textId="77777777" w:rsidR="006A57DC" w:rsidRPr="00BF26C8" w:rsidRDefault="006A57DC" w:rsidP="005570F2">
      <w:pPr>
        <w:spacing w:after="0" w:line="360" w:lineRule="auto"/>
        <w:jc w:val="both"/>
        <w:rPr>
          <w:rFonts w:ascii="Times New Roman" w:hAnsi="Times New Roman" w:cs="Times New Roman"/>
          <w:kern w:val="24"/>
          <w:sz w:val="20"/>
        </w:rPr>
      </w:pPr>
    </w:p>
    <w:p w14:paraId="6D9C0DD0" w14:textId="77777777" w:rsidR="00A933FA" w:rsidRPr="00BF26C8" w:rsidRDefault="00A933FA" w:rsidP="005570F2">
      <w:pPr>
        <w:spacing w:after="0" w:line="360" w:lineRule="auto"/>
        <w:jc w:val="both"/>
        <w:rPr>
          <w:rFonts w:ascii="Times New Roman" w:hAnsi="Times New Roman" w:cs="Times New Roman"/>
          <w:kern w:val="24"/>
          <w:sz w:val="20"/>
        </w:rPr>
      </w:pPr>
    </w:p>
    <w:p w14:paraId="6D9C0DD1" w14:textId="77777777" w:rsidR="0002272E" w:rsidRPr="00BF26C8" w:rsidRDefault="0002272E" w:rsidP="005570F2">
      <w:pPr>
        <w:spacing w:after="0" w:line="360" w:lineRule="auto"/>
        <w:jc w:val="both"/>
        <w:rPr>
          <w:rFonts w:ascii="Times New Roman" w:hAnsi="Times New Roman" w:cs="Times New Roman"/>
          <w:kern w:val="24"/>
          <w:sz w:val="20"/>
        </w:rPr>
      </w:pPr>
    </w:p>
    <w:p w14:paraId="6D9C0DD2" w14:textId="77777777" w:rsidR="0002272E" w:rsidRPr="00BF26C8" w:rsidRDefault="0002272E" w:rsidP="005570F2">
      <w:pPr>
        <w:spacing w:after="0" w:line="360" w:lineRule="auto"/>
        <w:jc w:val="both"/>
        <w:rPr>
          <w:rFonts w:ascii="Times New Roman" w:hAnsi="Times New Roman" w:cs="Times New Roman"/>
          <w:kern w:val="24"/>
          <w:sz w:val="20"/>
        </w:rPr>
      </w:pPr>
    </w:p>
    <w:p w14:paraId="6D9C0DD3" w14:textId="77777777" w:rsidR="0002272E" w:rsidRPr="00BF26C8" w:rsidRDefault="0002272E" w:rsidP="005570F2">
      <w:pPr>
        <w:spacing w:after="0" w:line="360" w:lineRule="auto"/>
        <w:jc w:val="both"/>
        <w:rPr>
          <w:rFonts w:ascii="Times New Roman" w:hAnsi="Times New Roman" w:cs="Times New Roman"/>
          <w:kern w:val="24"/>
          <w:sz w:val="20"/>
        </w:rPr>
      </w:pPr>
    </w:p>
    <w:p w14:paraId="6D9C0DD4" w14:textId="77777777" w:rsidR="0002272E" w:rsidRPr="00BF26C8" w:rsidRDefault="0002272E" w:rsidP="005570F2">
      <w:pPr>
        <w:spacing w:after="0" w:line="360" w:lineRule="auto"/>
        <w:jc w:val="both"/>
        <w:rPr>
          <w:rFonts w:ascii="Times New Roman" w:hAnsi="Times New Roman" w:cs="Times New Roman"/>
          <w:kern w:val="24"/>
          <w:sz w:val="20"/>
        </w:rPr>
      </w:pPr>
    </w:p>
    <w:p w14:paraId="6D9C0DD5" w14:textId="77777777" w:rsidR="0002272E" w:rsidRPr="00BF26C8" w:rsidRDefault="0002272E" w:rsidP="005570F2">
      <w:pPr>
        <w:spacing w:after="0" w:line="360" w:lineRule="auto"/>
        <w:jc w:val="both"/>
        <w:rPr>
          <w:rFonts w:ascii="Times New Roman" w:hAnsi="Times New Roman" w:cs="Times New Roman"/>
          <w:kern w:val="24"/>
          <w:sz w:val="20"/>
        </w:rPr>
      </w:pPr>
    </w:p>
    <w:p w14:paraId="6D9C0DD6" w14:textId="77777777" w:rsidR="004067EA" w:rsidRPr="00BF26C8" w:rsidRDefault="004067EA" w:rsidP="004067EA">
      <w:pPr>
        <w:spacing w:after="0"/>
        <w:rPr>
          <w:rFonts w:ascii="Times New Roman" w:eastAsia="Times New Roman" w:hAnsi="Times New Roman" w:cs="Times New Roman"/>
          <w:b/>
          <w:bCs/>
          <w:sz w:val="24"/>
          <w:szCs w:val="16"/>
          <w:lang w:eastAsia="it-IT"/>
        </w:rPr>
      </w:pPr>
      <w:r w:rsidRPr="00BF26C8">
        <w:rPr>
          <w:rFonts w:ascii="Times New Roman" w:eastAsia="Times New Roman" w:hAnsi="Times New Roman" w:cs="Times New Roman"/>
          <w:b/>
          <w:bCs/>
          <w:sz w:val="24"/>
          <w:szCs w:val="16"/>
          <w:lang w:eastAsia="it-IT"/>
        </w:rPr>
        <w:lastRenderedPageBreak/>
        <w:t xml:space="preserve">SUPPLEMENTAL RESULTS </w:t>
      </w:r>
    </w:p>
    <w:p w14:paraId="6D9C0DD7" w14:textId="77777777" w:rsidR="006C112E" w:rsidRPr="00BF26C8" w:rsidRDefault="006C112E" w:rsidP="006C112E">
      <w:pPr>
        <w:spacing w:after="0"/>
        <w:jc w:val="center"/>
        <w:rPr>
          <w:rFonts w:ascii="Times New Roman" w:hAnsi="Times New Roman" w:cs="Times New Roman"/>
          <w:kern w:val="24"/>
          <w:sz w:val="20"/>
        </w:rPr>
      </w:pPr>
    </w:p>
    <w:p w14:paraId="6D9C0DD8" w14:textId="77777777" w:rsidR="006C112E" w:rsidRPr="00BF26C8" w:rsidRDefault="006C112E" w:rsidP="006C112E">
      <w:pPr>
        <w:spacing w:after="0"/>
        <w:rPr>
          <w:rFonts w:ascii="Times New Roman" w:hAnsi="Times New Roman" w:cs="Times New Roman"/>
          <w:kern w:val="24"/>
          <w:sz w:val="20"/>
        </w:rPr>
      </w:pPr>
    </w:p>
    <w:p w14:paraId="6D9C0DD9" w14:textId="77777777" w:rsidR="00A933FA" w:rsidRPr="00BF26C8" w:rsidRDefault="00A933FA" w:rsidP="006C112E">
      <w:pPr>
        <w:spacing w:after="0"/>
        <w:rPr>
          <w:rFonts w:ascii="Times New Roman" w:hAnsi="Times New Roman" w:cs="Times New Roman"/>
          <w:kern w:val="24"/>
          <w:sz w:val="20"/>
        </w:rPr>
      </w:pPr>
    </w:p>
    <w:p w14:paraId="6D9C0DDA" w14:textId="77777777" w:rsidR="006C112E" w:rsidRPr="00BF26C8" w:rsidRDefault="006C112E" w:rsidP="006C112E">
      <w:pPr>
        <w:spacing w:after="0" w:line="360" w:lineRule="auto"/>
        <w:jc w:val="center"/>
        <w:rPr>
          <w:rFonts w:ascii="Times New Roman" w:hAnsi="Times New Roman" w:cs="Times New Roman"/>
          <w:b/>
          <w:sz w:val="24"/>
        </w:rPr>
      </w:pPr>
      <w:r w:rsidRPr="00BF26C8">
        <w:rPr>
          <w:rFonts w:ascii="Times New Roman" w:hAnsi="Times New Roman" w:cs="Times New Roman"/>
          <w:b/>
          <w:noProof/>
          <w:sz w:val="24"/>
        </w:rPr>
        <w:drawing>
          <wp:inline distT="0" distB="0" distL="0" distR="0" wp14:anchorId="6D9C0E70" wp14:editId="6D9C0E71">
            <wp:extent cx="5920469" cy="2700000"/>
            <wp:effectExtent l="0" t="0" r="4445"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0469" cy="2700000"/>
                    </a:xfrm>
                    <a:prstGeom prst="rect">
                      <a:avLst/>
                    </a:prstGeom>
                    <a:noFill/>
                  </pic:spPr>
                </pic:pic>
              </a:graphicData>
            </a:graphic>
          </wp:inline>
        </w:drawing>
      </w:r>
    </w:p>
    <w:p w14:paraId="6D9C0DDB" w14:textId="619A4D4C" w:rsidR="006C112E" w:rsidRPr="00BF26C8" w:rsidRDefault="006C112E" w:rsidP="0057495A">
      <w:pPr>
        <w:spacing w:after="0" w:line="360" w:lineRule="auto"/>
        <w:rPr>
          <w:rFonts w:ascii="Times New Roman" w:hAnsi="Times New Roman" w:cs="Times New Roman"/>
          <w:sz w:val="20"/>
        </w:rPr>
      </w:pPr>
      <w:r w:rsidRPr="00BF26C8">
        <w:rPr>
          <w:rFonts w:ascii="Times New Roman" w:hAnsi="Times New Roman" w:cs="Times New Roman"/>
          <w:b/>
          <w:sz w:val="20"/>
        </w:rPr>
        <w:t>Fig.S</w:t>
      </w:r>
      <w:r w:rsidR="0057495A" w:rsidRPr="00BF26C8">
        <w:rPr>
          <w:rFonts w:ascii="Times New Roman" w:hAnsi="Times New Roman" w:cs="Times New Roman"/>
          <w:b/>
          <w:sz w:val="20"/>
        </w:rPr>
        <w:t>2</w:t>
      </w:r>
      <w:r w:rsidRPr="00BF26C8">
        <w:rPr>
          <w:rFonts w:ascii="Times New Roman" w:hAnsi="Times New Roman" w:cs="Times New Roman"/>
          <w:b/>
          <w:sz w:val="20"/>
        </w:rPr>
        <w:t>.</w:t>
      </w:r>
      <w:r w:rsidRPr="00BF26C8">
        <w:rPr>
          <w:rFonts w:ascii="Times New Roman" w:hAnsi="Times New Roman" w:cs="Times New Roman"/>
          <w:sz w:val="20"/>
        </w:rPr>
        <w:t xml:space="preserve"> PAH profile of the PM</w:t>
      </w:r>
      <w:r w:rsidRPr="00BF26C8">
        <w:rPr>
          <w:rFonts w:ascii="Times New Roman" w:hAnsi="Times New Roman" w:cs="Times New Roman"/>
          <w:sz w:val="20"/>
          <w:vertAlign w:val="subscript"/>
        </w:rPr>
        <w:t>10</w:t>
      </w:r>
      <w:r w:rsidRPr="00BF26C8">
        <w:rPr>
          <w:rFonts w:ascii="Times New Roman" w:hAnsi="Times New Roman" w:cs="Times New Roman"/>
          <w:sz w:val="20"/>
        </w:rPr>
        <w:t xml:space="preserve"> from the three sampling sites </w:t>
      </w:r>
      <w:proofErr w:type="spellStart"/>
      <w:r w:rsidRPr="00BF26C8">
        <w:rPr>
          <w:rFonts w:ascii="Times New Roman" w:hAnsi="Times New Roman" w:cs="Times New Roman"/>
          <w:sz w:val="20"/>
        </w:rPr>
        <w:t>RurSu</w:t>
      </w:r>
      <w:proofErr w:type="spellEnd"/>
      <w:r w:rsidRPr="00BF26C8">
        <w:rPr>
          <w:rFonts w:ascii="Times New Roman" w:hAnsi="Times New Roman" w:cs="Times New Roman"/>
          <w:sz w:val="20"/>
        </w:rPr>
        <w:t xml:space="preserve">, </w:t>
      </w:r>
      <w:proofErr w:type="spellStart"/>
      <w:r w:rsidRPr="00BF26C8">
        <w:rPr>
          <w:rFonts w:ascii="Times New Roman" w:hAnsi="Times New Roman" w:cs="Times New Roman"/>
          <w:sz w:val="20"/>
        </w:rPr>
        <w:t>IndSu</w:t>
      </w:r>
      <w:proofErr w:type="spellEnd"/>
      <w:r w:rsidRPr="00BF26C8">
        <w:rPr>
          <w:rFonts w:ascii="Times New Roman" w:hAnsi="Times New Roman" w:cs="Times New Roman"/>
          <w:sz w:val="20"/>
        </w:rPr>
        <w:t xml:space="preserve">, and </w:t>
      </w:r>
      <w:proofErr w:type="spellStart"/>
      <w:r w:rsidRPr="00BF26C8">
        <w:rPr>
          <w:rFonts w:ascii="Times New Roman" w:hAnsi="Times New Roman" w:cs="Times New Roman"/>
          <w:sz w:val="20"/>
        </w:rPr>
        <w:t>UrbSu</w:t>
      </w:r>
      <w:proofErr w:type="spellEnd"/>
      <w:r w:rsidRPr="00BF26C8">
        <w:rPr>
          <w:rFonts w:ascii="Times New Roman" w:hAnsi="Times New Roman" w:cs="Times New Roman"/>
          <w:sz w:val="20"/>
        </w:rPr>
        <w:t xml:space="preserve"> in </w:t>
      </w:r>
      <w:proofErr w:type="spellStart"/>
      <w:r w:rsidRPr="00BF26C8">
        <w:rPr>
          <w:rFonts w:ascii="Times New Roman" w:hAnsi="Times New Roman" w:cs="Times New Roman"/>
          <w:sz w:val="20"/>
        </w:rPr>
        <w:t>Sulaimani</w:t>
      </w:r>
      <w:proofErr w:type="spellEnd"/>
      <w:r w:rsidR="00A933FA" w:rsidRPr="00BF26C8">
        <w:rPr>
          <w:rFonts w:ascii="Times New Roman" w:hAnsi="Times New Roman" w:cs="Times New Roman"/>
          <w:sz w:val="20"/>
        </w:rPr>
        <w:t xml:space="preserve"> City</w:t>
      </w:r>
    </w:p>
    <w:p w14:paraId="6D9C0DDC" w14:textId="77777777" w:rsidR="00466916" w:rsidRPr="00BF26C8" w:rsidRDefault="00466916" w:rsidP="006C112E">
      <w:pPr>
        <w:spacing w:after="0"/>
        <w:rPr>
          <w:rFonts w:ascii="Times New Roman" w:hAnsi="Times New Roman" w:cs="Times New Roman"/>
          <w:kern w:val="24"/>
          <w:sz w:val="20"/>
        </w:rPr>
      </w:pPr>
    </w:p>
    <w:p w14:paraId="6D9C0DDD" w14:textId="77777777" w:rsidR="009F3ABC" w:rsidRPr="00BF26C8" w:rsidRDefault="009F3ABC" w:rsidP="005570F2">
      <w:pPr>
        <w:spacing w:after="0" w:line="360" w:lineRule="auto"/>
        <w:jc w:val="both"/>
        <w:rPr>
          <w:rFonts w:ascii="Times New Roman" w:hAnsi="Times New Roman" w:cs="Times New Roman"/>
        </w:rPr>
      </w:pPr>
    </w:p>
    <w:p w14:paraId="6D9C0DDE" w14:textId="77777777" w:rsidR="009F3ABC" w:rsidRPr="00BF26C8" w:rsidRDefault="009F3ABC" w:rsidP="005570F2">
      <w:pPr>
        <w:spacing w:after="0" w:line="360" w:lineRule="auto"/>
        <w:jc w:val="both"/>
        <w:rPr>
          <w:rFonts w:ascii="Times New Roman" w:hAnsi="Times New Roman" w:cs="Times New Roman"/>
        </w:rPr>
      </w:pPr>
    </w:p>
    <w:p w14:paraId="6D9C0DDF" w14:textId="77777777" w:rsidR="009F3ABC" w:rsidRPr="00BF26C8" w:rsidRDefault="009F3ABC" w:rsidP="005570F2">
      <w:pPr>
        <w:spacing w:after="0" w:line="360" w:lineRule="auto"/>
        <w:jc w:val="both"/>
        <w:rPr>
          <w:rFonts w:ascii="Times New Roman" w:hAnsi="Times New Roman" w:cs="Times New Roman"/>
        </w:rPr>
      </w:pPr>
    </w:p>
    <w:p w14:paraId="6D9C0DE0" w14:textId="1BF6931F" w:rsidR="00BF60F0" w:rsidRPr="00BF26C8" w:rsidRDefault="006C112E" w:rsidP="005570F2">
      <w:pPr>
        <w:spacing w:after="0" w:line="360" w:lineRule="auto"/>
        <w:jc w:val="both"/>
        <w:rPr>
          <w:rFonts w:ascii="Times New Roman" w:hAnsi="Times New Roman" w:cs="Times New Roman"/>
        </w:rPr>
      </w:pPr>
      <w:r w:rsidRPr="00BF26C8">
        <w:rPr>
          <w:rFonts w:ascii="Times New Roman" w:hAnsi="Times New Roman" w:cs="Times New Roman"/>
        </w:rPr>
        <w:t>The PAH</w:t>
      </w:r>
      <w:r w:rsidR="00D03F36" w:rsidRPr="00BF26C8">
        <w:rPr>
          <w:rFonts w:ascii="Times New Roman" w:hAnsi="Times New Roman" w:cs="Times New Roman"/>
        </w:rPr>
        <w:t xml:space="preserve"> profile</w:t>
      </w:r>
      <w:r w:rsidR="006A4E06" w:rsidRPr="00BF26C8">
        <w:rPr>
          <w:rFonts w:ascii="Times New Roman" w:hAnsi="Times New Roman" w:cs="Times New Roman"/>
        </w:rPr>
        <w:t>s</w:t>
      </w:r>
      <w:r w:rsidR="00D03F36" w:rsidRPr="00BF26C8">
        <w:rPr>
          <w:rFonts w:ascii="Times New Roman" w:hAnsi="Times New Roman" w:cs="Times New Roman"/>
        </w:rPr>
        <w:t xml:space="preserve">, calculated as relative concentrations, </w:t>
      </w:r>
      <w:r w:rsidR="006A4E06" w:rsidRPr="00BF26C8">
        <w:rPr>
          <w:rFonts w:ascii="Times New Roman" w:hAnsi="Times New Roman" w:cs="Times New Roman"/>
        </w:rPr>
        <w:t xml:space="preserve">are </w:t>
      </w:r>
      <w:r w:rsidRPr="00BF26C8">
        <w:rPr>
          <w:rFonts w:ascii="Times New Roman" w:hAnsi="Times New Roman" w:cs="Times New Roman"/>
        </w:rPr>
        <w:t>presented in (Fig.</w:t>
      </w:r>
      <w:r w:rsidR="00517475" w:rsidRPr="00BF26C8">
        <w:rPr>
          <w:rFonts w:ascii="Times New Roman" w:hAnsi="Times New Roman" w:cs="Times New Roman"/>
        </w:rPr>
        <w:t>S</w:t>
      </w:r>
      <w:r w:rsidR="00952D4D" w:rsidRPr="00BF26C8">
        <w:rPr>
          <w:rFonts w:ascii="Times New Roman" w:hAnsi="Times New Roman" w:cs="Times New Roman"/>
        </w:rPr>
        <w:t>2</w:t>
      </w:r>
      <w:r w:rsidRPr="00BF26C8">
        <w:rPr>
          <w:rFonts w:ascii="Times New Roman" w:hAnsi="Times New Roman" w:cs="Times New Roman"/>
        </w:rPr>
        <w:t xml:space="preserve">). The relative concentrations </w:t>
      </w:r>
      <w:r w:rsidR="006A4E06" w:rsidRPr="00BF26C8">
        <w:rPr>
          <w:rFonts w:ascii="Times New Roman" w:hAnsi="Times New Roman" w:cs="Times New Roman"/>
        </w:rPr>
        <w:t xml:space="preserve">were </w:t>
      </w:r>
      <w:r w:rsidRPr="00BF26C8">
        <w:rPr>
          <w:rFonts w:ascii="Times New Roman" w:hAnsi="Times New Roman" w:cs="Times New Roman"/>
        </w:rPr>
        <w:t>calculated considering the total PAH</w:t>
      </w:r>
      <w:r w:rsidR="006E516C" w:rsidRPr="00BF26C8">
        <w:rPr>
          <w:rFonts w:ascii="Times New Roman" w:hAnsi="Times New Roman" w:cs="Times New Roman"/>
        </w:rPr>
        <w:t>s</w:t>
      </w:r>
      <w:r w:rsidRPr="00BF26C8">
        <w:rPr>
          <w:rFonts w:ascii="Times New Roman" w:hAnsi="Times New Roman" w:cs="Times New Roman"/>
        </w:rPr>
        <w:t xml:space="preserve"> concentrations for a given PM</w:t>
      </w:r>
      <w:r w:rsidRPr="00BF26C8">
        <w:rPr>
          <w:rFonts w:ascii="Times New Roman" w:hAnsi="Times New Roman" w:cs="Times New Roman"/>
          <w:vertAlign w:val="subscript"/>
        </w:rPr>
        <w:t>10</w:t>
      </w:r>
      <w:r w:rsidRPr="00BF26C8">
        <w:rPr>
          <w:rFonts w:ascii="Times New Roman" w:hAnsi="Times New Roman" w:cs="Times New Roman"/>
        </w:rPr>
        <w:t xml:space="preserve"> sample as 100</w:t>
      </w:r>
      <w:r w:rsidR="00D23EC0" w:rsidRPr="00BF26C8">
        <w:rPr>
          <w:rFonts w:ascii="Times New Roman" w:hAnsi="Times New Roman" w:cs="Times New Roman"/>
        </w:rPr>
        <w:t xml:space="preserve"> </w:t>
      </w:r>
      <w:r w:rsidRPr="00BF26C8">
        <w:rPr>
          <w:rFonts w:ascii="Times New Roman" w:hAnsi="Times New Roman" w:cs="Times New Roman"/>
        </w:rPr>
        <w:t xml:space="preserve">% </w:t>
      </w:r>
      <w:proofErr w:type="gramStart"/>
      <w:r w:rsidRPr="00BF26C8">
        <w:rPr>
          <w:rFonts w:ascii="Times New Roman" w:hAnsi="Times New Roman" w:cs="Times New Roman"/>
        </w:rPr>
        <w:t>(e.g.</w:t>
      </w:r>
      <w:r w:rsidR="004B1B8E" w:rsidRPr="00BF26C8">
        <w:rPr>
          <w:rFonts w:ascii="Times New Roman" w:hAnsi="Times New Roman" w:cs="Times New Roman"/>
        </w:rPr>
        <w:t xml:space="preserve"> </w:t>
      </w:r>
      <w:r w:rsidRPr="00BF26C8">
        <w:rPr>
          <w:rFonts w:ascii="Times New Roman" w:hAnsi="Times New Roman" w:cs="Times New Roman"/>
        </w:rPr>
        <w:t>241.83 ng/g)</w:t>
      </w:r>
      <w:proofErr w:type="gramEnd"/>
      <w:r w:rsidRPr="00BF26C8">
        <w:rPr>
          <w:rFonts w:ascii="Times New Roman" w:hAnsi="Times New Roman" w:cs="Times New Roman"/>
        </w:rPr>
        <w:t xml:space="preserve"> in Table </w:t>
      </w:r>
      <w:r w:rsidR="00EC0192" w:rsidRPr="00BF26C8">
        <w:rPr>
          <w:rFonts w:ascii="Times New Roman" w:hAnsi="Times New Roman" w:cs="Times New Roman"/>
        </w:rPr>
        <w:t>2</w:t>
      </w:r>
      <w:r w:rsidRPr="00BF26C8">
        <w:rPr>
          <w:rFonts w:ascii="Times New Roman" w:hAnsi="Times New Roman" w:cs="Times New Roman"/>
        </w:rPr>
        <w:t xml:space="preserve"> for </w:t>
      </w:r>
      <w:proofErr w:type="spellStart"/>
      <w:r w:rsidRPr="00BF26C8">
        <w:rPr>
          <w:rFonts w:ascii="Times New Roman" w:hAnsi="Times New Roman" w:cs="Times New Roman"/>
        </w:rPr>
        <w:t>RurSu</w:t>
      </w:r>
      <w:proofErr w:type="spellEnd"/>
      <w:r w:rsidRPr="00BF26C8">
        <w:rPr>
          <w:rFonts w:ascii="Times New Roman" w:hAnsi="Times New Roman" w:cs="Times New Roman"/>
        </w:rPr>
        <w:t xml:space="preserve">. </w:t>
      </w:r>
      <w:proofErr w:type="spellStart"/>
      <w:r w:rsidRPr="00BF26C8">
        <w:rPr>
          <w:rFonts w:ascii="Times New Roman" w:hAnsi="Times New Roman" w:cs="Times New Roman"/>
        </w:rPr>
        <w:t>Phenanthrene</w:t>
      </w:r>
      <w:proofErr w:type="spellEnd"/>
      <w:r w:rsidRPr="00BF26C8">
        <w:rPr>
          <w:rFonts w:ascii="Times New Roman" w:hAnsi="Times New Roman" w:cs="Times New Roman"/>
        </w:rPr>
        <w:t xml:space="preserve"> (</w:t>
      </w:r>
      <w:proofErr w:type="spellStart"/>
      <w:r w:rsidRPr="00BF26C8">
        <w:rPr>
          <w:rFonts w:ascii="Times New Roman" w:hAnsi="Times New Roman" w:cs="Times New Roman"/>
        </w:rPr>
        <w:t>Phe</w:t>
      </w:r>
      <w:proofErr w:type="spellEnd"/>
      <w:r w:rsidRPr="00BF26C8">
        <w:rPr>
          <w:rFonts w:ascii="Times New Roman" w:hAnsi="Times New Roman" w:cs="Times New Roman"/>
        </w:rPr>
        <w:t xml:space="preserve">) is the most abundant PAH </w:t>
      </w:r>
      <w:r w:rsidR="006A4E06" w:rsidRPr="00BF26C8">
        <w:rPr>
          <w:rFonts w:ascii="Times New Roman" w:hAnsi="Times New Roman" w:cs="Times New Roman"/>
        </w:rPr>
        <w:t xml:space="preserve">in </w:t>
      </w:r>
      <w:proofErr w:type="spellStart"/>
      <w:r w:rsidRPr="00BF26C8">
        <w:rPr>
          <w:rFonts w:ascii="Times New Roman" w:hAnsi="Times New Roman" w:cs="Times New Roman"/>
        </w:rPr>
        <w:t>RurSu</w:t>
      </w:r>
      <w:proofErr w:type="spellEnd"/>
      <w:r w:rsidRPr="00BF26C8">
        <w:rPr>
          <w:rFonts w:ascii="Times New Roman" w:hAnsi="Times New Roman" w:cs="Times New Roman"/>
        </w:rPr>
        <w:t xml:space="preserve"> PM</w:t>
      </w:r>
      <w:r w:rsidRPr="00BF26C8">
        <w:rPr>
          <w:rFonts w:ascii="Times New Roman" w:hAnsi="Times New Roman" w:cs="Times New Roman"/>
          <w:vertAlign w:val="subscript"/>
        </w:rPr>
        <w:t xml:space="preserve">10 </w:t>
      </w:r>
      <w:r w:rsidRPr="00BF26C8">
        <w:rPr>
          <w:rFonts w:ascii="Times New Roman" w:hAnsi="Times New Roman" w:cs="Times New Roman"/>
        </w:rPr>
        <w:t xml:space="preserve">with 22.75 %, whereas </w:t>
      </w:r>
      <w:proofErr w:type="spellStart"/>
      <w:r w:rsidRPr="00BF26C8">
        <w:rPr>
          <w:rFonts w:ascii="Times New Roman" w:hAnsi="Times New Roman" w:cs="Times New Roman"/>
        </w:rPr>
        <w:t>Fluoranthene</w:t>
      </w:r>
      <w:proofErr w:type="spellEnd"/>
      <w:r w:rsidRPr="00BF26C8">
        <w:rPr>
          <w:rFonts w:ascii="Times New Roman" w:hAnsi="Times New Roman" w:cs="Times New Roman"/>
        </w:rPr>
        <w:t xml:space="preserve"> (Fla) is most abundant in </w:t>
      </w:r>
      <w:proofErr w:type="spellStart"/>
      <w:r w:rsidR="00952D4D" w:rsidRPr="00BF26C8">
        <w:rPr>
          <w:rFonts w:ascii="Times New Roman" w:hAnsi="Times New Roman" w:cs="Times New Roman"/>
        </w:rPr>
        <w:t>Urb</w:t>
      </w:r>
      <w:r w:rsidRPr="00BF26C8">
        <w:rPr>
          <w:rFonts w:ascii="Times New Roman" w:hAnsi="Times New Roman" w:cs="Times New Roman"/>
        </w:rPr>
        <w:t>Su</w:t>
      </w:r>
      <w:proofErr w:type="spellEnd"/>
      <w:r w:rsidRPr="00BF26C8">
        <w:rPr>
          <w:rFonts w:ascii="Times New Roman" w:hAnsi="Times New Roman" w:cs="Times New Roman"/>
        </w:rPr>
        <w:t xml:space="preserve"> PM</w:t>
      </w:r>
      <w:r w:rsidRPr="00BF26C8">
        <w:rPr>
          <w:rFonts w:ascii="Times New Roman" w:hAnsi="Times New Roman" w:cs="Times New Roman"/>
          <w:vertAlign w:val="subscript"/>
        </w:rPr>
        <w:t>10</w:t>
      </w:r>
      <w:r w:rsidRPr="00BF26C8">
        <w:rPr>
          <w:rFonts w:ascii="Times New Roman" w:hAnsi="Times New Roman" w:cs="Times New Roman"/>
        </w:rPr>
        <w:t xml:space="preserve"> with 17.57 %, and Pyrene (</w:t>
      </w:r>
      <w:proofErr w:type="spellStart"/>
      <w:r w:rsidRPr="00BF26C8">
        <w:rPr>
          <w:rFonts w:ascii="Times New Roman" w:hAnsi="Times New Roman" w:cs="Times New Roman"/>
        </w:rPr>
        <w:t>Pyr</w:t>
      </w:r>
      <w:proofErr w:type="spellEnd"/>
      <w:r w:rsidRPr="00BF26C8">
        <w:rPr>
          <w:rFonts w:ascii="Times New Roman" w:hAnsi="Times New Roman" w:cs="Times New Roman"/>
        </w:rPr>
        <w:t xml:space="preserve">) is the most abundant PAH for </w:t>
      </w:r>
      <w:proofErr w:type="spellStart"/>
      <w:r w:rsidR="00952D4D" w:rsidRPr="00BF26C8">
        <w:rPr>
          <w:rFonts w:ascii="Times New Roman" w:hAnsi="Times New Roman" w:cs="Times New Roman"/>
        </w:rPr>
        <w:t>Ind</w:t>
      </w:r>
      <w:r w:rsidRPr="00BF26C8">
        <w:rPr>
          <w:rFonts w:ascii="Times New Roman" w:hAnsi="Times New Roman" w:cs="Times New Roman"/>
        </w:rPr>
        <w:t>Su</w:t>
      </w:r>
      <w:proofErr w:type="spellEnd"/>
      <w:r w:rsidRPr="00BF26C8">
        <w:rPr>
          <w:rFonts w:ascii="Times New Roman" w:hAnsi="Times New Roman" w:cs="Times New Roman"/>
        </w:rPr>
        <w:t xml:space="preserve"> PM</w:t>
      </w:r>
      <w:r w:rsidRPr="00BF26C8">
        <w:rPr>
          <w:rFonts w:ascii="Times New Roman" w:hAnsi="Times New Roman" w:cs="Times New Roman"/>
          <w:vertAlign w:val="subscript"/>
        </w:rPr>
        <w:t>10</w:t>
      </w:r>
      <w:r w:rsidRPr="00BF26C8">
        <w:rPr>
          <w:rFonts w:ascii="Times New Roman" w:hAnsi="Times New Roman" w:cs="Times New Roman"/>
        </w:rPr>
        <w:t>. Other PAHs do not show notable variations of their relative concentrations in regard to the chosen sampling sites.</w:t>
      </w:r>
    </w:p>
    <w:p w14:paraId="6D9C0DE1" w14:textId="77777777" w:rsidR="004517A8" w:rsidRPr="00BF26C8" w:rsidRDefault="004517A8" w:rsidP="004517A8">
      <w:pPr>
        <w:spacing w:before="240" w:after="0" w:line="360" w:lineRule="auto"/>
        <w:jc w:val="center"/>
        <w:rPr>
          <w:rFonts w:ascii="Times New Roman" w:hAnsi="Times New Roman" w:cs="Times New Roman"/>
        </w:rPr>
      </w:pPr>
      <w:r w:rsidRPr="00BF26C8">
        <w:rPr>
          <w:rFonts w:ascii="Times New Roman" w:hAnsi="Times New Roman" w:cs="Times New Roman"/>
          <w:noProof/>
        </w:rPr>
        <w:lastRenderedPageBreak/>
        <w:drawing>
          <wp:inline distT="0" distB="0" distL="0" distR="0" wp14:anchorId="6D9C0E72" wp14:editId="6D9C0E73">
            <wp:extent cx="3369500" cy="7416000"/>
            <wp:effectExtent l="0" t="0" r="254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369500" cy="7416000"/>
                    </a:xfrm>
                    <a:prstGeom prst="rect">
                      <a:avLst/>
                    </a:prstGeom>
                    <a:noFill/>
                  </pic:spPr>
                </pic:pic>
              </a:graphicData>
            </a:graphic>
          </wp:inline>
        </w:drawing>
      </w:r>
    </w:p>
    <w:p w14:paraId="6D9C0DE2" w14:textId="77777777" w:rsidR="0057495A" w:rsidRPr="00BF26C8" w:rsidRDefault="00DC5B1C" w:rsidP="0057495A">
      <w:pPr>
        <w:spacing w:after="0" w:line="360" w:lineRule="auto"/>
        <w:jc w:val="both"/>
        <w:rPr>
          <w:rFonts w:ascii="Times New Roman" w:hAnsi="Times New Roman" w:cs="Times New Roman"/>
          <w:sz w:val="20"/>
        </w:rPr>
      </w:pPr>
      <w:r w:rsidRPr="00BF26C8">
        <w:rPr>
          <w:rFonts w:ascii="Times New Roman" w:hAnsi="Times New Roman" w:cs="Times New Roman"/>
          <w:b/>
          <w:sz w:val="20"/>
        </w:rPr>
        <w:t>Fig.S</w:t>
      </w:r>
      <w:r w:rsidR="0057495A" w:rsidRPr="00BF26C8">
        <w:rPr>
          <w:rFonts w:ascii="Times New Roman" w:hAnsi="Times New Roman" w:cs="Times New Roman"/>
          <w:b/>
          <w:sz w:val="20"/>
        </w:rPr>
        <w:t>3</w:t>
      </w:r>
      <w:r w:rsidR="004517A8" w:rsidRPr="00BF26C8">
        <w:rPr>
          <w:rFonts w:ascii="Times New Roman" w:hAnsi="Times New Roman" w:cs="Times New Roman"/>
          <w:b/>
          <w:sz w:val="20"/>
        </w:rPr>
        <w:t>.</w:t>
      </w:r>
      <w:r w:rsidR="004517A8" w:rsidRPr="00BF26C8">
        <w:rPr>
          <w:rFonts w:ascii="Times New Roman" w:hAnsi="Times New Roman" w:cs="Times New Roman"/>
          <w:sz w:val="20"/>
        </w:rPr>
        <w:t xml:space="preserve"> Hydrodynamic size distributions of PM</w:t>
      </w:r>
      <w:r w:rsidR="004517A8" w:rsidRPr="00BF26C8">
        <w:rPr>
          <w:rFonts w:ascii="Times New Roman" w:hAnsi="Times New Roman" w:cs="Times New Roman"/>
          <w:sz w:val="20"/>
          <w:vertAlign w:val="subscript"/>
        </w:rPr>
        <w:t>10</w:t>
      </w:r>
      <w:r w:rsidR="004517A8" w:rsidRPr="00BF26C8">
        <w:rPr>
          <w:rFonts w:ascii="Times New Roman" w:hAnsi="Times New Roman" w:cs="Times New Roman"/>
          <w:sz w:val="20"/>
        </w:rPr>
        <w:t xml:space="preserve"> samples and control substances suspended in distilled water and measured by Dynamic Light Scattering (DLS). Size curves are shown for concentrations of 100 µg/mL of A) </w:t>
      </w:r>
      <w:proofErr w:type="spellStart"/>
      <w:r w:rsidR="004517A8" w:rsidRPr="00BF26C8">
        <w:rPr>
          <w:rFonts w:ascii="Times New Roman" w:hAnsi="Times New Roman" w:cs="Times New Roman"/>
          <w:sz w:val="20"/>
        </w:rPr>
        <w:t>RurSu</w:t>
      </w:r>
      <w:proofErr w:type="spellEnd"/>
      <w:r w:rsidR="004517A8" w:rsidRPr="00BF26C8">
        <w:rPr>
          <w:rFonts w:ascii="Times New Roman" w:hAnsi="Times New Roman" w:cs="Times New Roman"/>
          <w:sz w:val="20"/>
        </w:rPr>
        <w:t xml:space="preserve">, B) </w:t>
      </w:r>
      <w:proofErr w:type="spellStart"/>
      <w:r w:rsidR="004517A8" w:rsidRPr="00BF26C8">
        <w:rPr>
          <w:rFonts w:ascii="Times New Roman" w:hAnsi="Times New Roman" w:cs="Times New Roman"/>
          <w:sz w:val="20"/>
        </w:rPr>
        <w:t>IndSu</w:t>
      </w:r>
      <w:proofErr w:type="spellEnd"/>
      <w:r w:rsidR="004517A8" w:rsidRPr="00BF26C8">
        <w:rPr>
          <w:rFonts w:ascii="Times New Roman" w:hAnsi="Times New Roman" w:cs="Times New Roman"/>
          <w:sz w:val="20"/>
        </w:rPr>
        <w:t xml:space="preserve">, C) </w:t>
      </w:r>
      <w:proofErr w:type="spellStart"/>
      <w:r w:rsidR="004517A8" w:rsidRPr="00BF26C8">
        <w:rPr>
          <w:rFonts w:ascii="Times New Roman" w:hAnsi="Times New Roman" w:cs="Times New Roman"/>
          <w:sz w:val="20"/>
        </w:rPr>
        <w:t>UrbSu</w:t>
      </w:r>
      <w:proofErr w:type="spellEnd"/>
      <w:r w:rsidR="004517A8" w:rsidRPr="00BF26C8">
        <w:rPr>
          <w:rFonts w:ascii="Times New Roman" w:hAnsi="Times New Roman" w:cs="Times New Roman"/>
          <w:sz w:val="20"/>
        </w:rPr>
        <w:t>, D) nano-SiO</w:t>
      </w:r>
      <w:r w:rsidR="004517A8" w:rsidRPr="00BF26C8">
        <w:rPr>
          <w:rFonts w:ascii="Times New Roman" w:hAnsi="Times New Roman" w:cs="Times New Roman"/>
          <w:sz w:val="20"/>
          <w:vertAlign w:val="subscript"/>
        </w:rPr>
        <w:t>2</w:t>
      </w:r>
      <w:r w:rsidR="004517A8" w:rsidRPr="00BF26C8">
        <w:rPr>
          <w:rFonts w:ascii="Times New Roman" w:hAnsi="Times New Roman" w:cs="Times New Roman"/>
          <w:sz w:val="20"/>
        </w:rPr>
        <w:t>, E) dolomite. Green line indicates the relative cumulative mass in percent (left axis); red columns hold relative frequency per channel for each size range in percent.</w:t>
      </w:r>
    </w:p>
    <w:p w14:paraId="6D9C0DE3" w14:textId="77777777" w:rsidR="0057495A" w:rsidRPr="00BF26C8" w:rsidRDefault="0057495A" w:rsidP="0057495A">
      <w:pPr>
        <w:spacing w:after="0"/>
        <w:jc w:val="center"/>
        <w:rPr>
          <w:rFonts w:ascii="Times New Roman" w:hAnsi="Times New Roman" w:cs="Times New Roman"/>
          <w:kern w:val="24"/>
          <w:sz w:val="20"/>
        </w:rPr>
      </w:pPr>
      <w:r w:rsidRPr="00BF26C8">
        <w:rPr>
          <w:rFonts w:ascii="Times New Roman" w:hAnsi="Times New Roman" w:cs="Times New Roman"/>
          <w:noProof/>
          <w:kern w:val="24"/>
          <w:sz w:val="20"/>
        </w:rPr>
        <w:lastRenderedPageBreak/>
        <w:drawing>
          <wp:inline distT="0" distB="0" distL="0" distR="0" wp14:anchorId="6D9C0E74" wp14:editId="6D9C0E75">
            <wp:extent cx="4572635" cy="2743200"/>
            <wp:effectExtent l="0" t="0" r="0" b="0"/>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6D9C0DE4" w14:textId="77777777" w:rsidR="0057495A" w:rsidRPr="00BF26C8" w:rsidRDefault="0057495A" w:rsidP="0057495A">
      <w:pPr>
        <w:spacing w:after="0"/>
        <w:jc w:val="center"/>
        <w:rPr>
          <w:rFonts w:ascii="Times New Roman" w:hAnsi="Times New Roman" w:cs="Times New Roman"/>
          <w:kern w:val="24"/>
          <w:sz w:val="20"/>
        </w:rPr>
      </w:pPr>
    </w:p>
    <w:p w14:paraId="6D9C0DE5" w14:textId="77777777" w:rsidR="0057495A" w:rsidRPr="00BF26C8" w:rsidRDefault="0057495A" w:rsidP="0057495A">
      <w:pPr>
        <w:spacing w:after="0"/>
        <w:rPr>
          <w:rFonts w:ascii="Times New Roman" w:hAnsi="Times New Roman" w:cs="Times New Roman"/>
          <w:kern w:val="24"/>
          <w:sz w:val="20"/>
        </w:rPr>
      </w:pPr>
      <w:r w:rsidRPr="00BF26C8">
        <w:rPr>
          <w:rFonts w:ascii="Times New Roman" w:hAnsi="Times New Roman" w:cs="Times New Roman"/>
          <w:b/>
          <w:kern w:val="24"/>
          <w:sz w:val="20"/>
        </w:rPr>
        <w:t xml:space="preserve">Fig.S4. </w:t>
      </w:r>
      <w:r w:rsidRPr="00BF26C8">
        <w:rPr>
          <w:rFonts w:ascii="Times New Roman" w:hAnsi="Times New Roman" w:cs="Times New Roman"/>
          <w:kern w:val="24"/>
          <w:sz w:val="20"/>
        </w:rPr>
        <w:t>Detection of</w:t>
      </w:r>
      <w:r w:rsidRPr="00BF26C8">
        <w:rPr>
          <w:rFonts w:ascii="Times New Roman" w:hAnsi="Times New Roman" w:cs="Times New Roman"/>
          <w:b/>
          <w:kern w:val="24"/>
          <w:sz w:val="20"/>
        </w:rPr>
        <w:t xml:space="preserve"> </w:t>
      </w:r>
      <w:r w:rsidRPr="00BF26C8">
        <w:rPr>
          <w:rFonts w:ascii="Times New Roman" w:hAnsi="Times New Roman" w:cs="Times New Roman"/>
          <w:kern w:val="24"/>
          <w:sz w:val="20"/>
        </w:rPr>
        <w:t>endotoxin (in EU/mL) induced by PM</w:t>
      </w:r>
      <w:r w:rsidRPr="00BF26C8">
        <w:rPr>
          <w:rFonts w:ascii="Times New Roman" w:hAnsi="Times New Roman" w:cs="Times New Roman"/>
          <w:kern w:val="24"/>
          <w:sz w:val="20"/>
          <w:vertAlign w:val="subscript"/>
        </w:rPr>
        <w:t>10</w:t>
      </w:r>
      <w:r w:rsidRPr="00BF26C8">
        <w:rPr>
          <w:rFonts w:ascii="Times New Roman" w:hAnsi="Times New Roman" w:cs="Times New Roman"/>
          <w:kern w:val="24"/>
          <w:sz w:val="20"/>
        </w:rPr>
        <w:t xml:space="preserve"> samples and control substances (all tested at a concentration of 1 mg/mL) by the Limulus </w:t>
      </w:r>
      <w:proofErr w:type="spellStart"/>
      <w:r w:rsidRPr="00BF26C8">
        <w:rPr>
          <w:rFonts w:ascii="Times New Roman" w:hAnsi="Times New Roman" w:cs="Times New Roman"/>
          <w:kern w:val="24"/>
          <w:sz w:val="20"/>
        </w:rPr>
        <w:t>Amebocyte</w:t>
      </w:r>
      <w:proofErr w:type="spellEnd"/>
      <w:r w:rsidRPr="00BF26C8">
        <w:rPr>
          <w:rFonts w:ascii="Times New Roman" w:hAnsi="Times New Roman" w:cs="Times New Roman"/>
          <w:kern w:val="24"/>
          <w:sz w:val="20"/>
        </w:rPr>
        <w:t xml:space="preserve"> Lysate (LAL) test.</w:t>
      </w:r>
    </w:p>
    <w:p w14:paraId="6D9C0DE6" w14:textId="77777777" w:rsidR="0057495A" w:rsidRPr="00BF26C8" w:rsidRDefault="0057495A" w:rsidP="0057495A">
      <w:pPr>
        <w:spacing w:after="0"/>
        <w:rPr>
          <w:rFonts w:ascii="Times New Roman" w:hAnsi="Times New Roman" w:cs="Times New Roman"/>
          <w:kern w:val="24"/>
          <w:sz w:val="20"/>
        </w:rPr>
      </w:pPr>
    </w:p>
    <w:p w14:paraId="6D9C0DE7" w14:textId="77777777" w:rsidR="00E84877" w:rsidRPr="00BF26C8" w:rsidRDefault="00E84877" w:rsidP="006C112E">
      <w:pPr>
        <w:spacing w:after="0"/>
        <w:jc w:val="center"/>
        <w:rPr>
          <w:rFonts w:ascii="Times New Roman" w:hAnsi="Times New Roman" w:cs="Times New Roman"/>
          <w:kern w:val="24"/>
          <w:sz w:val="20"/>
        </w:rPr>
      </w:pPr>
      <w:r w:rsidRPr="00BF26C8">
        <w:rPr>
          <w:rFonts w:ascii="Times New Roman" w:hAnsi="Times New Roman" w:cs="Times New Roman"/>
          <w:noProof/>
          <w:kern w:val="24"/>
          <w:sz w:val="20"/>
        </w:rPr>
        <w:drawing>
          <wp:inline distT="0" distB="0" distL="0" distR="0" wp14:anchorId="6D9C0E76" wp14:editId="6D9C0E77">
            <wp:extent cx="4947197" cy="3636000"/>
            <wp:effectExtent l="19050" t="0" r="5803"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7197" cy="3636000"/>
                    </a:xfrm>
                    <a:prstGeom prst="rect">
                      <a:avLst/>
                    </a:prstGeom>
                    <a:noFill/>
                  </pic:spPr>
                </pic:pic>
              </a:graphicData>
            </a:graphic>
          </wp:inline>
        </w:drawing>
      </w:r>
    </w:p>
    <w:p w14:paraId="6D9C0DE8" w14:textId="77777777" w:rsidR="0062292C" w:rsidRPr="00BF26C8" w:rsidRDefault="006C112E" w:rsidP="0057495A">
      <w:pPr>
        <w:spacing w:line="360" w:lineRule="auto"/>
        <w:jc w:val="both"/>
        <w:rPr>
          <w:rFonts w:ascii="Times New Roman" w:hAnsi="Times New Roman" w:cs="Times New Roman"/>
          <w:sz w:val="20"/>
        </w:rPr>
      </w:pPr>
      <w:r w:rsidRPr="00BF26C8">
        <w:rPr>
          <w:rFonts w:ascii="Times New Roman" w:hAnsi="Times New Roman" w:cs="Times New Roman"/>
          <w:b/>
        </w:rPr>
        <w:t>Fig.S</w:t>
      </w:r>
      <w:r w:rsidR="004B1B8E" w:rsidRPr="00BF26C8">
        <w:rPr>
          <w:rFonts w:ascii="Times New Roman" w:hAnsi="Times New Roman" w:cs="Times New Roman"/>
          <w:b/>
        </w:rPr>
        <w:t>5</w:t>
      </w:r>
      <w:r w:rsidRPr="00BF26C8">
        <w:rPr>
          <w:rFonts w:ascii="Times New Roman" w:hAnsi="Times New Roman" w:cs="Times New Roman"/>
          <w:b/>
        </w:rPr>
        <w:t>.</w:t>
      </w:r>
      <w:r w:rsidRPr="00BF26C8">
        <w:rPr>
          <w:rFonts w:ascii="Times New Roman" w:hAnsi="Times New Roman" w:cs="Times New Roman"/>
        </w:rPr>
        <w:t xml:space="preserve"> </w:t>
      </w:r>
      <w:r w:rsidRPr="00BF26C8">
        <w:rPr>
          <w:rFonts w:ascii="Times New Roman" w:hAnsi="Times New Roman" w:cs="Times New Roman"/>
          <w:sz w:val="20"/>
        </w:rPr>
        <w:t>Acellular ROS production as measured by EPR spectroscopy for the studied PM</w:t>
      </w:r>
      <w:r w:rsidRPr="00BF26C8">
        <w:rPr>
          <w:rFonts w:ascii="Times New Roman" w:hAnsi="Times New Roman" w:cs="Times New Roman"/>
          <w:sz w:val="20"/>
          <w:vertAlign w:val="subscript"/>
        </w:rPr>
        <w:t>10</w:t>
      </w:r>
      <w:r w:rsidRPr="00BF26C8">
        <w:rPr>
          <w:rFonts w:ascii="Times New Roman" w:hAnsi="Times New Roman" w:cs="Times New Roman"/>
          <w:sz w:val="20"/>
        </w:rPr>
        <w:t xml:space="preserve"> samples, the control substances nano-SiO</w:t>
      </w:r>
      <w:r w:rsidRPr="00BF26C8">
        <w:rPr>
          <w:rFonts w:ascii="Times New Roman" w:hAnsi="Times New Roman" w:cs="Times New Roman"/>
          <w:sz w:val="20"/>
          <w:vertAlign w:val="subscript"/>
        </w:rPr>
        <w:t xml:space="preserve">2 </w:t>
      </w:r>
      <w:r w:rsidRPr="00BF26C8">
        <w:rPr>
          <w:rFonts w:ascii="Times New Roman" w:hAnsi="Times New Roman" w:cs="Times New Roman"/>
          <w:sz w:val="20"/>
        </w:rPr>
        <w:t>and dolomite, each at a concentration of 100 µg/</w:t>
      </w:r>
      <w:proofErr w:type="spellStart"/>
      <w:r w:rsidRPr="00BF26C8">
        <w:rPr>
          <w:rFonts w:ascii="Times New Roman" w:hAnsi="Times New Roman" w:cs="Times New Roman"/>
          <w:sz w:val="20"/>
        </w:rPr>
        <w:t>mL.</w:t>
      </w:r>
      <w:proofErr w:type="spellEnd"/>
      <w:r w:rsidRPr="00BF26C8">
        <w:rPr>
          <w:rFonts w:ascii="Times New Roman" w:hAnsi="Times New Roman" w:cs="Times New Roman"/>
          <w:sz w:val="20"/>
        </w:rPr>
        <w:t xml:space="preserve"> Positive control (PC): </w:t>
      </w:r>
      <w:proofErr w:type="spellStart"/>
      <w:r w:rsidRPr="00BF26C8">
        <w:rPr>
          <w:rFonts w:ascii="Times New Roman" w:hAnsi="Times New Roman" w:cs="Times New Roman"/>
          <w:sz w:val="20"/>
        </w:rPr>
        <w:t>menadione</w:t>
      </w:r>
      <w:proofErr w:type="spellEnd"/>
      <w:r w:rsidRPr="00BF26C8">
        <w:rPr>
          <w:rFonts w:ascii="Times New Roman" w:hAnsi="Times New Roman" w:cs="Times New Roman"/>
          <w:sz w:val="20"/>
        </w:rPr>
        <w:t xml:space="preserve"> (conc. 100 </w:t>
      </w:r>
      <w:proofErr w:type="spellStart"/>
      <w:r w:rsidRPr="00BF26C8">
        <w:rPr>
          <w:rFonts w:ascii="Times New Roman" w:hAnsi="Times New Roman" w:cs="Times New Roman"/>
          <w:sz w:val="20"/>
        </w:rPr>
        <w:t>mmol</w:t>
      </w:r>
      <w:proofErr w:type="spellEnd"/>
      <w:r w:rsidRPr="00BF26C8">
        <w:rPr>
          <w:rFonts w:ascii="Times New Roman" w:hAnsi="Times New Roman" w:cs="Times New Roman"/>
          <w:sz w:val="20"/>
        </w:rPr>
        <w:t xml:space="preserve">/L). All results are expressed as arbitrary units (A.U.) and compared to autoxidation of </w:t>
      </w:r>
      <w:r w:rsidR="002F3628" w:rsidRPr="00BF26C8">
        <w:rPr>
          <w:rFonts w:ascii="Times New Roman" w:hAnsi="Times New Roman" w:cs="Times New Roman"/>
          <w:sz w:val="20"/>
        </w:rPr>
        <w:t xml:space="preserve">CAT1-H </w:t>
      </w:r>
      <w:r w:rsidRPr="00BF26C8">
        <w:rPr>
          <w:rFonts w:ascii="Times New Roman" w:hAnsi="Times New Roman" w:cs="Times New Roman"/>
          <w:sz w:val="20"/>
        </w:rPr>
        <w:t xml:space="preserve">(without particle treatment and without cell exposure; control [Ctr.]). All data represent the mean ± SD of at least three independent experiments; determined by one-way-ANOVA followed by </w:t>
      </w:r>
      <w:proofErr w:type="spellStart"/>
      <w:r w:rsidRPr="00BF26C8">
        <w:rPr>
          <w:rFonts w:ascii="Times New Roman" w:hAnsi="Times New Roman" w:cs="Times New Roman"/>
          <w:sz w:val="20"/>
        </w:rPr>
        <w:t>Dunnett’s</w:t>
      </w:r>
      <w:proofErr w:type="spellEnd"/>
      <w:r w:rsidRPr="00BF26C8">
        <w:rPr>
          <w:rFonts w:ascii="Times New Roman" w:hAnsi="Times New Roman" w:cs="Times New Roman"/>
          <w:sz w:val="20"/>
        </w:rPr>
        <w:t xml:space="preserve"> post-hoc test to compare between exposed and non-exposed groups.</w:t>
      </w:r>
      <w:r w:rsidR="004B1B8E" w:rsidRPr="00BF26C8">
        <w:rPr>
          <w:rFonts w:ascii="Times New Roman" w:hAnsi="Times New Roman" w:cs="Times New Roman"/>
          <w:sz w:val="20"/>
        </w:rPr>
        <w:t xml:space="preserve"> P values &lt; 0.05 were considered significant.</w:t>
      </w:r>
    </w:p>
    <w:p w14:paraId="6D9C0DE9" w14:textId="77777777" w:rsidR="00B16725" w:rsidRPr="00BF26C8" w:rsidRDefault="00B16725" w:rsidP="00B16725">
      <w:pPr>
        <w:spacing w:line="360" w:lineRule="auto"/>
        <w:jc w:val="both"/>
        <w:rPr>
          <w:rFonts w:ascii="Times New Roman" w:hAnsi="Times New Roman" w:cs="Times New Roman"/>
          <w:sz w:val="24"/>
          <w:szCs w:val="28"/>
        </w:rPr>
      </w:pPr>
      <w:r w:rsidRPr="00BF26C8">
        <w:rPr>
          <w:rFonts w:ascii="Times New Roman" w:hAnsi="Times New Roman" w:cs="Times New Roman"/>
          <w:noProof/>
          <w:sz w:val="24"/>
          <w:szCs w:val="28"/>
        </w:rPr>
        <w:lastRenderedPageBreak/>
        <w:drawing>
          <wp:inline distT="0" distB="0" distL="0" distR="0" wp14:anchorId="6D9C0E78" wp14:editId="6D9C0E79">
            <wp:extent cx="5901494" cy="389572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4.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00906" cy="3895337"/>
                    </a:xfrm>
                    <a:prstGeom prst="rect">
                      <a:avLst/>
                    </a:prstGeom>
                  </pic:spPr>
                </pic:pic>
              </a:graphicData>
            </a:graphic>
          </wp:inline>
        </w:drawing>
      </w:r>
    </w:p>
    <w:p w14:paraId="6D9C0DEA" w14:textId="77777777" w:rsidR="00B16725" w:rsidRPr="00BF26C8" w:rsidRDefault="00B16725" w:rsidP="00B16725">
      <w:pPr>
        <w:spacing w:line="360" w:lineRule="auto"/>
        <w:jc w:val="both"/>
        <w:rPr>
          <w:rFonts w:ascii="Times New Roman" w:hAnsi="Times New Roman" w:cs="Times New Roman"/>
          <w:sz w:val="24"/>
          <w:szCs w:val="28"/>
        </w:rPr>
      </w:pPr>
    </w:p>
    <w:p w14:paraId="6D9C0DEB" w14:textId="77777777" w:rsidR="00B16725" w:rsidRPr="00BF26C8" w:rsidRDefault="00B16725" w:rsidP="00B16725">
      <w:pPr>
        <w:spacing w:line="360" w:lineRule="auto"/>
        <w:jc w:val="both"/>
        <w:rPr>
          <w:rFonts w:ascii="Times New Roman" w:hAnsi="Times New Roman" w:cs="Times New Roman"/>
          <w:sz w:val="20"/>
        </w:rPr>
      </w:pPr>
      <w:r w:rsidRPr="00BF26C8">
        <w:rPr>
          <w:rFonts w:ascii="Times New Roman" w:hAnsi="Times New Roman" w:cs="Times New Roman"/>
          <w:b/>
          <w:sz w:val="20"/>
        </w:rPr>
        <w:t>Fig.S6.</w:t>
      </w:r>
      <w:r w:rsidRPr="00BF26C8">
        <w:rPr>
          <w:rFonts w:ascii="Times New Roman" w:hAnsi="Times New Roman" w:cs="Times New Roman"/>
          <w:sz w:val="20"/>
        </w:rPr>
        <w:t xml:space="preserve"> Cellular ROS production in A549 cells, as meas</w:t>
      </w:r>
      <w:r w:rsidR="00525B71" w:rsidRPr="00BF26C8">
        <w:rPr>
          <w:rFonts w:ascii="Times New Roman" w:hAnsi="Times New Roman" w:cs="Times New Roman"/>
          <w:sz w:val="20"/>
        </w:rPr>
        <w:t xml:space="preserve">ured by EPR spectroscopy after </w:t>
      </w:r>
      <w:r w:rsidRPr="00BF26C8">
        <w:rPr>
          <w:rFonts w:ascii="Times New Roman" w:hAnsi="Times New Roman" w:cs="Times New Roman"/>
          <w:sz w:val="20"/>
        </w:rPr>
        <w:t>4 h exposure to PM</w:t>
      </w:r>
      <w:r w:rsidRPr="00BF26C8">
        <w:rPr>
          <w:rFonts w:ascii="Times New Roman" w:hAnsi="Times New Roman" w:cs="Times New Roman"/>
          <w:sz w:val="20"/>
          <w:vertAlign w:val="subscript"/>
        </w:rPr>
        <w:t xml:space="preserve">10 </w:t>
      </w:r>
      <w:r w:rsidRPr="00BF26C8">
        <w:rPr>
          <w:rFonts w:ascii="Times New Roman" w:hAnsi="Times New Roman" w:cs="Times New Roman"/>
          <w:sz w:val="20"/>
        </w:rPr>
        <w:t xml:space="preserve">samples and the control substances nano-SiO2 and dolomite. All results are expressed as arbitrary units (A.U.) and compared to autoxidation of CAT1-H (without particle treatment; control [Ctr.]). Positive Control (PC): </w:t>
      </w:r>
      <w:proofErr w:type="spellStart"/>
      <w:r w:rsidRPr="00BF26C8">
        <w:rPr>
          <w:rFonts w:ascii="Times New Roman" w:hAnsi="Times New Roman" w:cs="Times New Roman"/>
          <w:sz w:val="20"/>
        </w:rPr>
        <w:t>menadione</w:t>
      </w:r>
      <w:proofErr w:type="spellEnd"/>
      <w:r w:rsidRPr="00BF26C8">
        <w:rPr>
          <w:rFonts w:ascii="Times New Roman" w:hAnsi="Times New Roman" w:cs="Times New Roman"/>
          <w:sz w:val="20"/>
        </w:rPr>
        <w:t xml:space="preserve"> at a concentration 100 </w:t>
      </w:r>
      <w:proofErr w:type="spellStart"/>
      <w:r w:rsidRPr="00BF26C8">
        <w:rPr>
          <w:rFonts w:ascii="Times New Roman" w:hAnsi="Times New Roman" w:cs="Times New Roman"/>
          <w:sz w:val="20"/>
        </w:rPr>
        <w:t>mmol</w:t>
      </w:r>
      <w:proofErr w:type="spellEnd"/>
      <w:r w:rsidRPr="00BF26C8">
        <w:rPr>
          <w:rFonts w:ascii="Times New Roman" w:hAnsi="Times New Roman" w:cs="Times New Roman"/>
          <w:sz w:val="20"/>
        </w:rPr>
        <w:t xml:space="preserve">/L. All data represent the mean ± SD of at least three independent experiments; determined by one-way-ANOVA followed by </w:t>
      </w:r>
      <w:proofErr w:type="spellStart"/>
      <w:r w:rsidRPr="00BF26C8">
        <w:rPr>
          <w:rFonts w:ascii="Times New Roman" w:hAnsi="Times New Roman" w:cs="Times New Roman"/>
          <w:sz w:val="20"/>
        </w:rPr>
        <w:t>Dunnett’s</w:t>
      </w:r>
      <w:proofErr w:type="spellEnd"/>
      <w:r w:rsidRPr="00BF26C8">
        <w:rPr>
          <w:rFonts w:ascii="Times New Roman" w:hAnsi="Times New Roman" w:cs="Times New Roman"/>
          <w:sz w:val="20"/>
        </w:rPr>
        <w:t xml:space="preserve"> post-hoc test to compare between exposed groups and control. P values of *p &lt; 0.05, **p &lt; 0.01, and ***p &lt; 0.001 were considered significant.</w:t>
      </w:r>
    </w:p>
    <w:p w14:paraId="6D9C0DEC" w14:textId="77777777" w:rsidR="00B16725" w:rsidRPr="00BF26C8" w:rsidRDefault="00B16725" w:rsidP="0057495A">
      <w:pPr>
        <w:spacing w:line="360" w:lineRule="auto"/>
        <w:jc w:val="both"/>
        <w:rPr>
          <w:rFonts w:ascii="Times New Roman" w:hAnsi="Times New Roman" w:cs="Times New Roman"/>
          <w:sz w:val="20"/>
        </w:rPr>
      </w:pPr>
    </w:p>
    <w:p w14:paraId="6D9C0DED" w14:textId="77777777" w:rsidR="0062292C" w:rsidRPr="00BF26C8" w:rsidRDefault="00DA7665" w:rsidP="0062292C">
      <w:pPr>
        <w:jc w:val="center"/>
      </w:pPr>
      <w:r w:rsidRPr="00BF26C8">
        <w:rPr>
          <w:noProof/>
        </w:rPr>
        <w:lastRenderedPageBreak/>
        <w:drawing>
          <wp:inline distT="0" distB="0" distL="0" distR="0" wp14:anchorId="6D9C0E7A" wp14:editId="6D9C0E7B">
            <wp:extent cx="5972810" cy="6608445"/>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72810" cy="6608445"/>
                    </a:xfrm>
                    <a:prstGeom prst="rect">
                      <a:avLst/>
                    </a:prstGeom>
                  </pic:spPr>
                </pic:pic>
              </a:graphicData>
            </a:graphic>
          </wp:inline>
        </w:drawing>
      </w:r>
    </w:p>
    <w:p w14:paraId="6D9C0DEE" w14:textId="77777777" w:rsidR="0062292C" w:rsidRPr="00BF26C8" w:rsidRDefault="0062292C" w:rsidP="0062292C">
      <w:pPr>
        <w:tabs>
          <w:tab w:val="left" w:pos="1020"/>
        </w:tabs>
        <w:spacing w:line="360" w:lineRule="auto"/>
        <w:jc w:val="both"/>
        <w:rPr>
          <w:rFonts w:ascii="Times New Roman" w:hAnsi="Times New Roman" w:cs="Times New Roman"/>
          <w:sz w:val="20"/>
        </w:rPr>
      </w:pPr>
      <w:r w:rsidRPr="00BF26C8">
        <w:rPr>
          <w:rFonts w:ascii="Times New Roman" w:hAnsi="Times New Roman" w:cs="Times New Roman"/>
          <w:b/>
          <w:sz w:val="20"/>
        </w:rPr>
        <w:t>Fig.S</w:t>
      </w:r>
      <w:r w:rsidR="00B16725" w:rsidRPr="00BF26C8">
        <w:rPr>
          <w:rFonts w:ascii="Times New Roman" w:hAnsi="Times New Roman" w:cs="Times New Roman"/>
          <w:b/>
          <w:sz w:val="20"/>
        </w:rPr>
        <w:t>7</w:t>
      </w:r>
      <w:r w:rsidRPr="00BF26C8">
        <w:rPr>
          <w:rFonts w:ascii="Times New Roman" w:hAnsi="Times New Roman" w:cs="Times New Roman"/>
          <w:b/>
          <w:sz w:val="20"/>
        </w:rPr>
        <w:t xml:space="preserve">. </w:t>
      </w:r>
      <w:r w:rsidRPr="00BF26C8">
        <w:rPr>
          <w:rFonts w:ascii="Times New Roman" w:hAnsi="Times New Roman" w:cs="Times New Roman"/>
          <w:sz w:val="20"/>
        </w:rPr>
        <w:t>Release of various cytokines and chemokines from cell culture</w:t>
      </w:r>
      <w:bookmarkStart w:id="0" w:name="_GoBack"/>
      <w:bookmarkEnd w:id="0"/>
      <w:r w:rsidRPr="00BF26C8">
        <w:rPr>
          <w:rFonts w:ascii="Times New Roman" w:hAnsi="Times New Roman" w:cs="Times New Roman"/>
          <w:sz w:val="20"/>
        </w:rPr>
        <w:t xml:space="preserve"> supernatants of A549 cells after 24</w:t>
      </w:r>
      <w:r w:rsidR="007A6635" w:rsidRPr="00BF26C8">
        <w:rPr>
          <w:rFonts w:ascii="Times New Roman" w:hAnsi="Times New Roman" w:cs="Times New Roman"/>
          <w:sz w:val="20"/>
        </w:rPr>
        <w:t xml:space="preserve"> </w:t>
      </w:r>
      <w:r w:rsidRPr="00BF26C8">
        <w:rPr>
          <w:rFonts w:ascii="Times New Roman" w:hAnsi="Times New Roman" w:cs="Times New Roman"/>
          <w:sz w:val="20"/>
        </w:rPr>
        <w:t>h exposure to PM</w:t>
      </w:r>
      <w:r w:rsidRPr="00BF26C8">
        <w:rPr>
          <w:rFonts w:ascii="Times New Roman" w:hAnsi="Times New Roman" w:cs="Times New Roman"/>
          <w:sz w:val="20"/>
          <w:vertAlign w:val="subscript"/>
        </w:rPr>
        <w:t>10</w:t>
      </w:r>
      <w:r w:rsidRPr="00BF26C8">
        <w:rPr>
          <w:rFonts w:ascii="Times New Roman" w:hAnsi="Times New Roman" w:cs="Times New Roman"/>
          <w:sz w:val="20"/>
        </w:rPr>
        <w:t xml:space="preserve"> samples from </w:t>
      </w:r>
      <w:proofErr w:type="spellStart"/>
      <w:r w:rsidRPr="00BF26C8">
        <w:rPr>
          <w:rFonts w:ascii="Times New Roman" w:hAnsi="Times New Roman" w:cs="Times New Roman"/>
          <w:sz w:val="20"/>
        </w:rPr>
        <w:t>RurSu</w:t>
      </w:r>
      <w:proofErr w:type="spellEnd"/>
      <w:r w:rsidRPr="00BF26C8">
        <w:rPr>
          <w:rFonts w:ascii="Times New Roman" w:hAnsi="Times New Roman" w:cs="Times New Roman"/>
          <w:sz w:val="20"/>
        </w:rPr>
        <w:t xml:space="preserve">, </w:t>
      </w:r>
      <w:proofErr w:type="spellStart"/>
      <w:r w:rsidRPr="00BF26C8">
        <w:rPr>
          <w:rFonts w:ascii="Times New Roman" w:hAnsi="Times New Roman" w:cs="Times New Roman"/>
          <w:sz w:val="20"/>
        </w:rPr>
        <w:t>IndSu</w:t>
      </w:r>
      <w:proofErr w:type="spellEnd"/>
      <w:r w:rsidRPr="00BF26C8">
        <w:rPr>
          <w:rFonts w:ascii="Times New Roman" w:hAnsi="Times New Roman" w:cs="Times New Roman"/>
          <w:sz w:val="20"/>
        </w:rPr>
        <w:t xml:space="preserve">, </w:t>
      </w:r>
      <w:proofErr w:type="spellStart"/>
      <w:r w:rsidRPr="00BF26C8">
        <w:rPr>
          <w:rFonts w:ascii="Times New Roman" w:hAnsi="Times New Roman" w:cs="Times New Roman"/>
          <w:sz w:val="20"/>
        </w:rPr>
        <w:t>UrbSu</w:t>
      </w:r>
      <w:proofErr w:type="spellEnd"/>
      <w:r w:rsidRPr="00BF26C8">
        <w:rPr>
          <w:rFonts w:ascii="Times New Roman" w:hAnsi="Times New Roman" w:cs="Times New Roman"/>
          <w:sz w:val="20"/>
        </w:rPr>
        <w:t xml:space="preserve"> and to dolomite (each at concentrations of 30 µg/mL) and to nano-SiO</w:t>
      </w:r>
      <w:r w:rsidRPr="00BF26C8">
        <w:rPr>
          <w:rFonts w:ascii="Times New Roman" w:hAnsi="Times New Roman" w:cs="Times New Roman"/>
          <w:sz w:val="20"/>
          <w:vertAlign w:val="subscript"/>
        </w:rPr>
        <w:t xml:space="preserve">2 </w:t>
      </w:r>
      <w:r w:rsidRPr="00BF26C8">
        <w:rPr>
          <w:rFonts w:ascii="Times New Roman" w:hAnsi="Times New Roman" w:cs="Times New Roman"/>
          <w:sz w:val="20"/>
        </w:rPr>
        <w:t>(conc. 10 µg/mL). Conc. for LPS: 0.01– 0.1 µg/</w:t>
      </w:r>
      <w:proofErr w:type="spellStart"/>
      <w:r w:rsidRPr="00BF26C8">
        <w:rPr>
          <w:rFonts w:ascii="Times New Roman" w:hAnsi="Times New Roman" w:cs="Times New Roman"/>
          <w:sz w:val="20"/>
        </w:rPr>
        <w:t>mL.</w:t>
      </w:r>
      <w:proofErr w:type="spellEnd"/>
      <w:r w:rsidRPr="00BF26C8">
        <w:rPr>
          <w:rFonts w:ascii="Times New Roman" w:hAnsi="Times New Roman" w:cs="Times New Roman"/>
          <w:sz w:val="20"/>
        </w:rPr>
        <w:t xml:space="preserve"> All data are the mean of two technical duplicates from one experiment.</w:t>
      </w:r>
    </w:p>
    <w:p w14:paraId="6D9C0DEF" w14:textId="77777777" w:rsidR="001E36FE" w:rsidRPr="00BF26C8" w:rsidRDefault="001E36FE" w:rsidP="004517A8"/>
    <w:p w14:paraId="6D9C0DF0" w14:textId="77777777" w:rsidR="007F2CAB" w:rsidRPr="00BF26C8" w:rsidRDefault="007F2CAB" w:rsidP="007F2CAB">
      <w:pPr>
        <w:spacing w:after="0" w:line="360" w:lineRule="auto"/>
        <w:rPr>
          <w:rFonts w:ascii="Times New Roman" w:hAnsi="Times New Roman" w:cs="Times New Roman"/>
          <w:b/>
          <w:bCs/>
          <w:kern w:val="24"/>
          <w:sz w:val="32"/>
        </w:rPr>
      </w:pPr>
    </w:p>
    <w:p w14:paraId="6D9C0DF1" w14:textId="77777777" w:rsidR="007F2CAB" w:rsidRPr="00BF26C8" w:rsidRDefault="00EC0192" w:rsidP="007F2CAB">
      <w:pPr>
        <w:spacing w:after="0" w:line="360" w:lineRule="auto"/>
        <w:rPr>
          <w:rFonts w:ascii="Times New Roman" w:hAnsi="Times New Roman" w:cs="Times New Roman"/>
          <w:kern w:val="24"/>
          <w:sz w:val="20"/>
        </w:rPr>
      </w:pPr>
      <w:r w:rsidRPr="00BF26C8">
        <w:rPr>
          <w:rFonts w:ascii="Times New Roman" w:hAnsi="Times New Roman" w:cs="Times New Roman"/>
          <w:b/>
          <w:bCs/>
          <w:kern w:val="24"/>
          <w:sz w:val="20"/>
        </w:rPr>
        <w:lastRenderedPageBreak/>
        <w:t>Table S1</w:t>
      </w:r>
      <w:r w:rsidR="007F2CAB" w:rsidRPr="00BF26C8">
        <w:rPr>
          <w:rFonts w:ascii="Times New Roman" w:hAnsi="Times New Roman" w:cs="Times New Roman"/>
          <w:b/>
          <w:bCs/>
          <w:kern w:val="24"/>
          <w:sz w:val="20"/>
        </w:rPr>
        <w:t xml:space="preserve">.  </w:t>
      </w:r>
      <w:r w:rsidR="007F2CAB" w:rsidRPr="00BF26C8">
        <w:rPr>
          <w:rFonts w:ascii="Times New Roman" w:hAnsi="Times New Roman" w:cs="Times New Roman"/>
          <w:bCs/>
          <w:kern w:val="24"/>
          <w:sz w:val="20"/>
        </w:rPr>
        <w:t xml:space="preserve">Sample information and mass deposition rates of dust collected in </w:t>
      </w:r>
      <w:proofErr w:type="spellStart"/>
      <w:r w:rsidR="007F2CAB" w:rsidRPr="00BF26C8">
        <w:rPr>
          <w:rFonts w:ascii="Times New Roman" w:hAnsi="Times New Roman" w:cs="Times New Roman"/>
          <w:bCs/>
          <w:kern w:val="24"/>
          <w:sz w:val="20"/>
        </w:rPr>
        <w:t>Sulaiman</w:t>
      </w:r>
      <w:r w:rsidR="007F2CAB" w:rsidRPr="00BF26C8">
        <w:rPr>
          <w:rFonts w:ascii="Times New Roman" w:hAnsi="Times New Roman" w:cs="Times New Roman"/>
          <w:kern w:val="24"/>
          <w:sz w:val="20"/>
        </w:rPr>
        <w:t>i</w:t>
      </w:r>
      <w:proofErr w:type="spellEnd"/>
      <w:r w:rsidR="007F2CAB" w:rsidRPr="00BF26C8">
        <w:rPr>
          <w:rFonts w:ascii="Times New Roman" w:hAnsi="Times New Roman" w:cs="Times New Roman"/>
          <w:kern w:val="24"/>
          <w:sz w:val="20"/>
        </w:rPr>
        <w:t xml:space="preserve"> City</w:t>
      </w:r>
    </w:p>
    <w:p w14:paraId="1BE0457B" w14:textId="77777777" w:rsidR="006C2550" w:rsidRPr="00BF26C8" w:rsidRDefault="006C2550" w:rsidP="007F2CAB">
      <w:pPr>
        <w:spacing w:after="0" w:line="360" w:lineRule="auto"/>
        <w:rPr>
          <w:rFonts w:ascii="Times New Roman" w:hAnsi="Times New Roman" w:cs="Times New Roman"/>
          <w:b/>
          <w:bCs/>
          <w:kern w:val="24"/>
          <w:sz w:val="20"/>
        </w:rPr>
      </w:pPr>
    </w:p>
    <w:tbl>
      <w:tblPr>
        <w:tblStyle w:val="Tabellenraster2"/>
        <w:tblW w:w="6789" w:type="dxa"/>
        <w:jc w:val="center"/>
        <w:tblLayout w:type="fixed"/>
        <w:tblLook w:val="04A0" w:firstRow="1" w:lastRow="0" w:firstColumn="1" w:lastColumn="0" w:noHBand="0" w:noVBand="1"/>
      </w:tblPr>
      <w:tblGrid>
        <w:gridCol w:w="1276"/>
        <w:gridCol w:w="850"/>
        <w:gridCol w:w="1447"/>
        <w:gridCol w:w="1398"/>
        <w:gridCol w:w="967"/>
        <w:gridCol w:w="851"/>
      </w:tblGrid>
      <w:tr w:rsidR="00BF26C8" w:rsidRPr="00BF26C8" w14:paraId="6D9C0DFC" w14:textId="77777777" w:rsidTr="00BF7273">
        <w:trPr>
          <w:trHeight w:val="547"/>
          <w:jc w:val="center"/>
        </w:trPr>
        <w:tc>
          <w:tcPr>
            <w:tcW w:w="1276" w:type="dxa"/>
            <w:vMerge w:val="restart"/>
            <w:tcBorders>
              <w:top w:val="single" w:sz="4" w:space="0" w:color="auto"/>
              <w:left w:val="nil"/>
              <w:bottom w:val="single" w:sz="4" w:space="0" w:color="auto"/>
              <w:right w:val="nil"/>
            </w:tcBorders>
            <w:vAlign w:val="center"/>
            <w:hideMark/>
          </w:tcPr>
          <w:p w14:paraId="6D9C0DF2" w14:textId="77777777" w:rsidR="00BF7273" w:rsidRPr="00BF26C8" w:rsidRDefault="00BF7273" w:rsidP="007F2CAB">
            <w:pPr>
              <w:jc w:val="center"/>
              <w:rPr>
                <w:rFonts w:ascii="Times New Roman" w:eastAsia="Times New Roman" w:hAnsi="Times New Roman" w:cs="Times New Roman"/>
                <w:sz w:val="16"/>
                <w:szCs w:val="16"/>
              </w:rPr>
            </w:pPr>
            <w:r w:rsidRPr="00BF26C8">
              <w:rPr>
                <w:rFonts w:ascii="Times New Roman" w:eastAsia="Calibri" w:hAnsi="Times New Roman" w:cs="Times New Roman"/>
                <w:b/>
                <w:bCs/>
                <w:kern w:val="24"/>
                <w:sz w:val="16"/>
                <w:szCs w:val="16"/>
              </w:rPr>
              <w:t>Sample</w:t>
            </w:r>
          </w:p>
          <w:p w14:paraId="6D9C0DF3" w14:textId="77777777" w:rsidR="00BF7273" w:rsidRPr="00BF26C8" w:rsidRDefault="00BF7273" w:rsidP="007F2CAB">
            <w:pPr>
              <w:jc w:val="center"/>
              <w:rPr>
                <w:rFonts w:ascii="Times New Roman" w:eastAsia="Times New Roman" w:hAnsi="Times New Roman" w:cs="Times New Roman"/>
                <w:sz w:val="16"/>
                <w:szCs w:val="16"/>
              </w:rPr>
            </w:pPr>
            <w:r w:rsidRPr="00BF26C8">
              <w:rPr>
                <w:rFonts w:ascii="Times New Roman" w:eastAsia="Calibri" w:hAnsi="Times New Roman" w:cs="Times New Roman"/>
                <w:b/>
                <w:bCs/>
                <w:kern w:val="24"/>
                <w:sz w:val="16"/>
                <w:szCs w:val="16"/>
              </w:rPr>
              <w:t>name</w:t>
            </w:r>
          </w:p>
        </w:tc>
        <w:tc>
          <w:tcPr>
            <w:tcW w:w="850" w:type="dxa"/>
            <w:vMerge w:val="restart"/>
            <w:tcBorders>
              <w:top w:val="single" w:sz="4" w:space="0" w:color="auto"/>
              <w:left w:val="nil"/>
              <w:bottom w:val="single" w:sz="4" w:space="0" w:color="auto"/>
              <w:right w:val="nil"/>
            </w:tcBorders>
            <w:vAlign w:val="center"/>
            <w:hideMark/>
          </w:tcPr>
          <w:p w14:paraId="6D9C0DF4" w14:textId="77777777" w:rsidR="00BF7273" w:rsidRPr="00BF26C8" w:rsidRDefault="00BF7273" w:rsidP="007F2CAB">
            <w:pPr>
              <w:jc w:val="center"/>
              <w:rPr>
                <w:rFonts w:ascii="Times New Roman" w:eastAsia="Calibri" w:hAnsi="Times New Roman" w:cs="Times New Roman"/>
                <w:b/>
                <w:bCs/>
                <w:kern w:val="24"/>
                <w:sz w:val="16"/>
                <w:szCs w:val="16"/>
              </w:rPr>
            </w:pPr>
            <w:r w:rsidRPr="00BF26C8">
              <w:rPr>
                <w:rFonts w:ascii="Times New Roman" w:eastAsia="Calibri" w:hAnsi="Times New Roman" w:cs="Times New Roman"/>
                <w:b/>
                <w:bCs/>
                <w:kern w:val="24"/>
                <w:sz w:val="16"/>
                <w:szCs w:val="16"/>
              </w:rPr>
              <w:t>Sample</w:t>
            </w:r>
          </w:p>
          <w:p w14:paraId="6D9C0DF5" w14:textId="77777777" w:rsidR="00BF7273" w:rsidRPr="00BF26C8" w:rsidRDefault="00BF7273" w:rsidP="007F2CAB">
            <w:pPr>
              <w:jc w:val="center"/>
              <w:rPr>
                <w:rFonts w:ascii="Times New Roman" w:eastAsia="Times New Roman" w:hAnsi="Times New Roman" w:cs="Times New Roman"/>
                <w:sz w:val="16"/>
                <w:szCs w:val="16"/>
              </w:rPr>
            </w:pPr>
            <w:r w:rsidRPr="00BF26C8">
              <w:rPr>
                <w:rFonts w:ascii="Times New Roman" w:eastAsia="Calibri" w:hAnsi="Times New Roman" w:cs="Times New Roman"/>
                <w:b/>
                <w:bCs/>
                <w:kern w:val="24"/>
                <w:sz w:val="16"/>
                <w:szCs w:val="16"/>
              </w:rPr>
              <w:t xml:space="preserve"> ID</w:t>
            </w:r>
          </w:p>
        </w:tc>
        <w:tc>
          <w:tcPr>
            <w:tcW w:w="1447" w:type="dxa"/>
            <w:vMerge w:val="restart"/>
            <w:tcBorders>
              <w:top w:val="single" w:sz="4" w:space="0" w:color="auto"/>
              <w:left w:val="nil"/>
              <w:bottom w:val="single" w:sz="4" w:space="0" w:color="auto"/>
              <w:right w:val="nil"/>
            </w:tcBorders>
            <w:vAlign w:val="center"/>
            <w:hideMark/>
          </w:tcPr>
          <w:p w14:paraId="6D9C0DF6" w14:textId="77777777" w:rsidR="00BF7273" w:rsidRPr="00BF26C8" w:rsidRDefault="00BF7273" w:rsidP="007F2CAB">
            <w:pPr>
              <w:jc w:val="center"/>
              <w:rPr>
                <w:rFonts w:ascii="Times New Roman" w:eastAsia="Calibri" w:hAnsi="Times New Roman" w:cs="Times New Roman"/>
                <w:b/>
                <w:bCs/>
                <w:kern w:val="24"/>
                <w:sz w:val="16"/>
                <w:szCs w:val="16"/>
              </w:rPr>
            </w:pPr>
            <w:r w:rsidRPr="00BF26C8">
              <w:rPr>
                <w:rFonts w:ascii="Times New Roman" w:eastAsia="Calibri" w:hAnsi="Times New Roman" w:cs="Times New Roman"/>
                <w:b/>
                <w:bCs/>
                <w:kern w:val="24"/>
                <w:sz w:val="16"/>
                <w:szCs w:val="16"/>
              </w:rPr>
              <w:t xml:space="preserve">Sampling </w:t>
            </w:r>
          </w:p>
          <w:p w14:paraId="6D9C0DF7" w14:textId="77777777" w:rsidR="00BF7273" w:rsidRPr="00BF26C8" w:rsidRDefault="00BF7273" w:rsidP="007F2CAB">
            <w:pPr>
              <w:jc w:val="center"/>
              <w:rPr>
                <w:rFonts w:ascii="Times New Roman" w:eastAsia="Times New Roman" w:hAnsi="Times New Roman" w:cs="Times New Roman"/>
                <w:sz w:val="16"/>
                <w:szCs w:val="16"/>
              </w:rPr>
            </w:pPr>
            <w:r w:rsidRPr="00BF26C8">
              <w:rPr>
                <w:rFonts w:ascii="Times New Roman" w:eastAsia="Calibri" w:hAnsi="Times New Roman" w:cs="Times New Roman"/>
                <w:b/>
                <w:bCs/>
                <w:kern w:val="24"/>
                <w:sz w:val="16"/>
                <w:szCs w:val="16"/>
              </w:rPr>
              <w:t>site</w:t>
            </w:r>
          </w:p>
        </w:tc>
        <w:tc>
          <w:tcPr>
            <w:tcW w:w="1398" w:type="dxa"/>
            <w:vMerge w:val="restart"/>
            <w:tcBorders>
              <w:top w:val="single" w:sz="4" w:space="0" w:color="auto"/>
              <w:left w:val="nil"/>
              <w:bottom w:val="single" w:sz="4" w:space="0" w:color="auto"/>
              <w:right w:val="single" w:sz="4" w:space="0" w:color="auto"/>
            </w:tcBorders>
            <w:vAlign w:val="center"/>
            <w:hideMark/>
          </w:tcPr>
          <w:p w14:paraId="6D9C0DF8" w14:textId="77777777" w:rsidR="00BF7273" w:rsidRPr="00BF26C8" w:rsidRDefault="00BF7273" w:rsidP="007F2CAB">
            <w:pPr>
              <w:jc w:val="center"/>
              <w:rPr>
                <w:rFonts w:ascii="Times New Roman" w:eastAsia="Times New Roman" w:hAnsi="Times New Roman" w:cs="Times New Roman"/>
                <w:sz w:val="16"/>
                <w:szCs w:val="16"/>
              </w:rPr>
            </w:pPr>
            <w:r w:rsidRPr="00BF26C8">
              <w:rPr>
                <w:rFonts w:ascii="Times New Roman" w:eastAsia="Calibri" w:hAnsi="Times New Roman" w:cs="Times New Roman"/>
                <w:b/>
                <w:bCs/>
                <w:kern w:val="24"/>
                <w:sz w:val="16"/>
                <w:szCs w:val="16"/>
              </w:rPr>
              <w:t>GPS</w:t>
            </w:r>
          </w:p>
          <w:p w14:paraId="6D9C0DF9" w14:textId="77777777" w:rsidR="00BF7273" w:rsidRPr="00BF26C8" w:rsidRDefault="00BF7273" w:rsidP="007F2CAB">
            <w:pPr>
              <w:jc w:val="center"/>
              <w:rPr>
                <w:rFonts w:ascii="Times New Roman" w:eastAsia="Times New Roman" w:hAnsi="Times New Roman" w:cs="Times New Roman"/>
                <w:sz w:val="16"/>
                <w:szCs w:val="16"/>
              </w:rPr>
            </w:pPr>
            <w:r w:rsidRPr="00BF26C8">
              <w:rPr>
                <w:rFonts w:ascii="Times New Roman" w:eastAsia="Calibri" w:hAnsi="Times New Roman" w:cs="Times New Roman"/>
                <w:b/>
                <w:bCs/>
                <w:kern w:val="24"/>
                <w:sz w:val="16"/>
                <w:szCs w:val="16"/>
              </w:rPr>
              <w:t>Co-ordinates</w:t>
            </w:r>
          </w:p>
        </w:tc>
        <w:tc>
          <w:tcPr>
            <w:tcW w:w="1818" w:type="dxa"/>
            <w:gridSpan w:val="2"/>
            <w:tcBorders>
              <w:top w:val="single" w:sz="4" w:space="0" w:color="auto"/>
              <w:left w:val="single" w:sz="4" w:space="0" w:color="auto"/>
              <w:bottom w:val="single" w:sz="4" w:space="0" w:color="auto"/>
              <w:right w:val="nil"/>
            </w:tcBorders>
            <w:vAlign w:val="center"/>
            <w:hideMark/>
          </w:tcPr>
          <w:p w14:paraId="6D9C0DFA" w14:textId="77777777" w:rsidR="00BF7273" w:rsidRPr="00BF26C8" w:rsidRDefault="00BF7273" w:rsidP="007F2CAB">
            <w:pPr>
              <w:jc w:val="center"/>
              <w:rPr>
                <w:rFonts w:ascii="Times New Roman" w:eastAsia="Times New Roman" w:hAnsi="Times New Roman" w:cs="Times New Roman"/>
                <w:sz w:val="16"/>
                <w:szCs w:val="16"/>
              </w:rPr>
            </w:pPr>
            <w:r w:rsidRPr="00BF26C8">
              <w:rPr>
                <w:rFonts w:ascii="Times New Roman" w:eastAsia="Calibri" w:hAnsi="Times New Roman" w:cs="Times New Roman"/>
                <w:b/>
                <w:bCs/>
                <w:kern w:val="24"/>
                <w:sz w:val="16"/>
                <w:szCs w:val="16"/>
              </w:rPr>
              <w:t>Mass deposition</w:t>
            </w:r>
          </w:p>
          <w:p w14:paraId="6D9C0DFB" w14:textId="77777777" w:rsidR="00BF7273" w:rsidRPr="00BF26C8" w:rsidRDefault="00BF7273" w:rsidP="007F2CAB">
            <w:pPr>
              <w:jc w:val="center"/>
              <w:rPr>
                <w:rFonts w:ascii="Times New Roman" w:eastAsia="Times New Roman" w:hAnsi="Times New Roman" w:cs="Times New Roman"/>
                <w:sz w:val="16"/>
                <w:szCs w:val="16"/>
              </w:rPr>
            </w:pPr>
            <w:r w:rsidRPr="00BF26C8">
              <w:rPr>
                <w:rFonts w:ascii="Times New Roman" w:eastAsia="Calibri" w:hAnsi="Times New Roman" w:cs="Times New Roman"/>
                <w:b/>
                <w:bCs/>
                <w:kern w:val="24"/>
                <w:sz w:val="16"/>
                <w:szCs w:val="16"/>
              </w:rPr>
              <w:t>[g</w:t>
            </w:r>
            <w:r w:rsidRPr="00BF26C8">
              <w:rPr>
                <w:rFonts w:ascii="Times New Roman" w:eastAsia="Calibri" w:hAnsi="Times New Roman" w:cs="Times New Roman"/>
                <w:b/>
                <w:bCs/>
                <w:kern w:val="24"/>
                <w:sz w:val="16"/>
                <w:szCs w:val="16"/>
                <w:lang w:val="en-GB"/>
              </w:rPr>
              <w:t>/0.4 m</w:t>
            </w:r>
            <w:r w:rsidRPr="00BF26C8">
              <w:rPr>
                <w:rFonts w:ascii="Times New Roman" w:eastAsia="Calibri" w:hAnsi="Times New Roman" w:cs="Times New Roman"/>
                <w:b/>
                <w:bCs/>
                <w:kern w:val="24"/>
                <w:position w:val="5"/>
                <w:sz w:val="16"/>
                <w:szCs w:val="16"/>
                <w:vertAlign w:val="superscript"/>
                <w:lang w:val="en-GB"/>
              </w:rPr>
              <w:t>2</w:t>
            </w:r>
            <w:r w:rsidRPr="00BF26C8">
              <w:rPr>
                <w:rFonts w:ascii="Times New Roman" w:eastAsia="Calibri" w:hAnsi="Times New Roman" w:cs="Times New Roman"/>
                <w:b/>
                <w:bCs/>
                <w:kern w:val="24"/>
                <w:sz w:val="16"/>
                <w:szCs w:val="16"/>
                <w:lang w:val="en-GB"/>
              </w:rPr>
              <w:t>/month]</w:t>
            </w:r>
            <w:r w:rsidRPr="00BF26C8">
              <w:rPr>
                <w:rFonts w:ascii="Times New Roman" w:eastAsia="Calibri" w:hAnsi="Times New Roman" w:cs="Times New Roman"/>
                <w:b/>
                <w:bCs/>
                <w:kern w:val="24"/>
                <w:sz w:val="16"/>
                <w:szCs w:val="16"/>
                <w:vertAlign w:val="superscript"/>
                <w:lang w:val="en-GB"/>
              </w:rPr>
              <w:t>a</w:t>
            </w:r>
          </w:p>
        </w:tc>
      </w:tr>
      <w:tr w:rsidR="00BF26C8" w:rsidRPr="00BF26C8" w14:paraId="6D9C0E04" w14:textId="77777777" w:rsidTr="00BF7273">
        <w:trPr>
          <w:trHeight w:val="372"/>
          <w:jc w:val="center"/>
        </w:trPr>
        <w:tc>
          <w:tcPr>
            <w:tcW w:w="1276" w:type="dxa"/>
            <w:vMerge/>
            <w:tcBorders>
              <w:top w:val="nil"/>
              <w:left w:val="nil"/>
              <w:bottom w:val="single" w:sz="4" w:space="0" w:color="auto"/>
              <w:right w:val="nil"/>
            </w:tcBorders>
            <w:vAlign w:val="center"/>
            <w:hideMark/>
          </w:tcPr>
          <w:p w14:paraId="6D9C0DFD" w14:textId="77777777" w:rsidR="00BF7273" w:rsidRPr="00BF26C8" w:rsidRDefault="00BF7273" w:rsidP="007F2CAB">
            <w:pPr>
              <w:jc w:val="center"/>
              <w:rPr>
                <w:rFonts w:ascii="Times New Roman" w:eastAsia="Times New Roman" w:hAnsi="Times New Roman" w:cs="Times New Roman"/>
                <w:sz w:val="16"/>
                <w:szCs w:val="16"/>
              </w:rPr>
            </w:pPr>
          </w:p>
        </w:tc>
        <w:tc>
          <w:tcPr>
            <w:tcW w:w="850" w:type="dxa"/>
            <w:vMerge/>
            <w:tcBorders>
              <w:top w:val="nil"/>
              <w:left w:val="nil"/>
              <w:bottom w:val="single" w:sz="4" w:space="0" w:color="auto"/>
              <w:right w:val="nil"/>
            </w:tcBorders>
            <w:vAlign w:val="center"/>
            <w:hideMark/>
          </w:tcPr>
          <w:p w14:paraId="6D9C0DFE" w14:textId="77777777" w:rsidR="00BF7273" w:rsidRPr="00BF26C8" w:rsidRDefault="00BF7273" w:rsidP="007F2CAB">
            <w:pPr>
              <w:jc w:val="center"/>
              <w:rPr>
                <w:rFonts w:ascii="Times New Roman" w:eastAsia="Times New Roman" w:hAnsi="Times New Roman" w:cs="Times New Roman"/>
                <w:sz w:val="16"/>
                <w:szCs w:val="16"/>
              </w:rPr>
            </w:pPr>
          </w:p>
        </w:tc>
        <w:tc>
          <w:tcPr>
            <w:tcW w:w="1447" w:type="dxa"/>
            <w:vMerge/>
            <w:tcBorders>
              <w:top w:val="nil"/>
              <w:left w:val="nil"/>
              <w:bottom w:val="single" w:sz="4" w:space="0" w:color="auto"/>
              <w:right w:val="nil"/>
            </w:tcBorders>
            <w:vAlign w:val="center"/>
            <w:hideMark/>
          </w:tcPr>
          <w:p w14:paraId="6D9C0DFF" w14:textId="77777777" w:rsidR="00BF7273" w:rsidRPr="00BF26C8" w:rsidRDefault="00BF7273" w:rsidP="007F2CAB">
            <w:pPr>
              <w:jc w:val="center"/>
              <w:rPr>
                <w:rFonts w:ascii="Times New Roman" w:eastAsia="Times New Roman" w:hAnsi="Times New Roman" w:cs="Times New Roman"/>
                <w:sz w:val="16"/>
                <w:szCs w:val="16"/>
              </w:rPr>
            </w:pPr>
          </w:p>
        </w:tc>
        <w:tc>
          <w:tcPr>
            <w:tcW w:w="1398" w:type="dxa"/>
            <w:vMerge/>
            <w:tcBorders>
              <w:top w:val="nil"/>
              <w:left w:val="nil"/>
              <w:bottom w:val="single" w:sz="4" w:space="0" w:color="auto"/>
              <w:right w:val="single" w:sz="4" w:space="0" w:color="auto"/>
            </w:tcBorders>
            <w:vAlign w:val="center"/>
            <w:hideMark/>
          </w:tcPr>
          <w:p w14:paraId="6D9C0E00" w14:textId="77777777" w:rsidR="00BF7273" w:rsidRPr="00BF26C8" w:rsidRDefault="00BF7273" w:rsidP="007F2CAB">
            <w:pPr>
              <w:jc w:val="center"/>
              <w:rPr>
                <w:rFonts w:ascii="Times New Roman" w:eastAsia="Times New Roman" w:hAnsi="Times New Roman" w:cs="Times New Roman"/>
                <w:sz w:val="16"/>
                <w:szCs w:val="16"/>
              </w:rPr>
            </w:pPr>
          </w:p>
        </w:tc>
        <w:tc>
          <w:tcPr>
            <w:tcW w:w="967" w:type="dxa"/>
            <w:tcBorders>
              <w:top w:val="single" w:sz="4" w:space="0" w:color="auto"/>
              <w:left w:val="single" w:sz="4" w:space="0" w:color="auto"/>
              <w:bottom w:val="single" w:sz="4" w:space="0" w:color="auto"/>
              <w:right w:val="nil"/>
            </w:tcBorders>
            <w:vAlign w:val="center"/>
            <w:hideMark/>
          </w:tcPr>
          <w:p w14:paraId="6D9C0E01" w14:textId="77777777" w:rsidR="00BF7273" w:rsidRPr="00BF26C8" w:rsidRDefault="00BF7273" w:rsidP="007F2CAB">
            <w:pPr>
              <w:jc w:val="center"/>
              <w:rPr>
                <w:rFonts w:ascii="Times New Roman" w:eastAsia="Times New Roman" w:hAnsi="Times New Roman" w:cs="Times New Roman"/>
                <w:sz w:val="16"/>
                <w:szCs w:val="16"/>
              </w:rPr>
            </w:pPr>
            <w:r w:rsidRPr="00BF26C8">
              <w:rPr>
                <w:rFonts w:ascii="Times New Roman" w:eastAsia="Calibri" w:hAnsi="Times New Roman" w:cs="Times New Roman"/>
                <w:b/>
                <w:bCs/>
                <w:kern w:val="24"/>
                <w:sz w:val="16"/>
                <w:szCs w:val="16"/>
              </w:rPr>
              <w:t>sampler 1</w:t>
            </w:r>
          </w:p>
          <w:p w14:paraId="6D9C0E02" w14:textId="77777777" w:rsidR="00BF7273" w:rsidRPr="00BF26C8" w:rsidRDefault="00BF7273" w:rsidP="007F2CAB">
            <w:pPr>
              <w:jc w:val="center"/>
              <w:rPr>
                <w:rFonts w:ascii="Times New Roman" w:eastAsia="Times New Roman" w:hAnsi="Times New Roman" w:cs="Times New Roman"/>
                <w:sz w:val="16"/>
                <w:szCs w:val="16"/>
              </w:rPr>
            </w:pPr>
            <w:r w:rsidRPr="00BF26C8">
              <w:rPr>
                <w:rFonts w:ascii="Times New Roman" w:eastAsia="Calibri" w:hAnsi="Times New Roman" w:cs="Times New Roman"/>
                <w:b/>
                <w:bCs/>
                <w:kern w:val="24"/>
                <w:sz w:val="16"/>
                <w:szCs w:val="16"/>
              </w:rPr>
              <w:t>sampler 2</w:t>
            </w:r>
          </w:p>
        </w:tc>
        <w:tc>
          <w:tcPr>
            <w:tcW w:w="851" w:type="dxa"/>
            <w:tcBorders>
              <w:top w:val="single" w:sz="4" w:space="0" w:color="auto"/>
              <w:left w:val="nil"/>
              <w:bottom w:val="single" w:sz="4" w:space="0" w:color="auto"/>
              <w:right w:val="nil"/>
            </w:tcBorders>
            <w:vAlign w:val="center"/>
            <w:hideMark/>
          </w:tcPr>
          <w:p w14:paraId="6D9C0E03" w14:textId="77777777" w:rsidR="00BF7273" w:rsidRPr="00BF26C8" w:rsidRDefault="00BF7273" w:rsidP="007F2CAB">
            <w:pPr>
              <w:spacing w:line="360" w:lineRule="auto"/>
              <w:jc w:val="center"/>
              <w:rPr>
                <w:rFonts w:ascii="Times New Roman" w:eastAsia="Times New Roman" w:hAnsi="Times New Roman" w:cs="Times New Roman"/>
                <w:sz w:val="16"/>
                <w:szCs w:val="16"/>
              </w:rPr>
            </w:pPr>
            <w:r w:rsidRPr="00BF26C8">
              <w:rPr>
                <w:rFonts w:ascii="Times New Roman" w:eastAsia="Calibri" w:hAnsi="Times New Roman" w:cs="Times New Roman"/>
                <w:b/>
                <w:bCs/>
                <w:kern w:val="24"/>
                <w:sz w:val="16"/>
                <w:szCs w:val="16"/>
              </w:rPr>
              <w:t>average</w:t>
            </w:r>
          </w:p>
        </w:tc>
      </w:tr>
      <w:tr w:rsidR="00BF26C8" w:rsidRPr="00BF26C8" w14:paraId="6D9C0E0F" w14:textId="77777777" w:rsidTr="00BF7273">
        <w:trPr>
          <w:trHeight w:val="340"/>
          <w:jc w:val="center"/>
        </w:trPr>
        <w:tc>
          <w:tcPr>
            <w:tcW w:w="1276" w:type="dxa"/>
            <w:tcBorders>
              <w:top w:val="single" w:sz="4" w:space="0" w:color="auto"/>
              <w:left w:val="nil"/>
              <w:bottom w:val="dotted" w:sz="4" w:space="0" w:color="auto"/>
              <w:right w:val="nil"/>
            </w:tcBorders>
            <w:vAlign w:val="center"/>
            <w:hideMark/>
          </w:tcPr>
          <w:p w14:paraId="6D9C0E05" w14:textId="77777777" w:rsidR="00BF7273" w:rsidRPr="00BF26C8" w:rsidRDefault="00BF7273" w:rsidP="007F2CAB">
            <w:pPr>
              <w:jc w:val="center"/>
              <w:rPr>
                <w:rFonts w:ascii="Times New Roman" w:eastAsia="Calibri" w:hAnsi="Times New Roman" w:cs="Times New Roman"/>
                <w:kern w:val="24"/>
                <w:sz w:val="16"/>
                <w:szCs w:val="16"/>
              </w:rPr>
            </w:pPr>
            <w:r w:rsidRPr="00BF26C8">
              <w:rPr>
                <w:rFonts w:ascii="Times New Roman" w:eastAsia="Calibri" w:hAnsi="Times New Roman" w:cs="Times New Roman"/>
                <w:kern w:val="24"/>
                <w:sz w:val="16"/>
                <w:szCs w:val="16"/>
              </w:rPr>
              <w:t>Rural</w:t>
            </w:r>
          </w:p>
          <w:p w14:paraId="6D9C0E06" w14:textId="77777777" w:rsidR="00BF7273" w:rsidRPr="00BF26C8" w:rsidRDefault="00BF7273" w:rsidP="007F2CAB">
            <w:pPr>
              <w:jc w:val="center"/>
              <w:rPr>
                <w:rFonts w:ascii="Times New Roman" w:eastAsia="Calibri" w:hAnsi="Times New Roman" w:cs="Times New Roman"/>
                <w:kern w:val="24"/>
                <w:sz w:val="16"/>
                <w:szCs w:val="16"/>
              </w:rPr>
            </w:pPr>
            <w:proofErr w:type="spellStart"/>
            <w:r w:rsidRPr="00BF26C8">
              <w:rPr>
                <w:rFonts w:ascii="Times New Roman" w:eastAsia="Calibri" w:hAnsi="Times New Roman" w:cs="Times New Roman"/>
                <w:kern w:val="24"/>
                <w:sz w:val="16"/>
                <w:szCs w:val="16"/>
              </w:rPr>
              <w:t>Sulaimani</w:t>
            </w:r>
            <w:proofErr w:type="spellEnd"/>
          </w:p>
        </w:tc>
        <w:tc>
          <w:tcPr>
            <w:tcW w:w="850" w:type="dxa"/>
            <w:tcBorders>
              <w:top w:val="single" w:sz="4" w:space="0" w:color="auto"/>
              <w:left w:val="nil"/>
              <w:bottom w:val="dotted" w:sz="4" w:space="0" w:color="auto"/>
              <w:right w:val="nil"/>
            </w:tcBorders>
            <w:vAlign w:val="center"/>
            <w:hideMark/>
          </w:tcPr>
          <w:p w14:paraId="6D9C0E07" w14:textId="77777777" w:rsidR="00BF7273" w:rsidRPr="00BF26C8" w:rsidRDefault="00BF7273" w:rsidP="007F2CAB">
            <w:pPr>
              <w:jc w:val="center"/>
              <w:rPr>
                <w:rFonts w:ascii="Times New Roman" w:eastAsia="Calibri" w:hAnsi="Times New Roman" w:cs="Times New Roman"/>
                <w:kern w:val="24"/>
                <w:sz w:val="16"/>
                <w:szCs w:val="16"/>
              </w:rPr>
            </w:pPr>
            <w:proofErr w:type="spellStart"/>
            <w:r w:rsidRPr="00BF26C8">
              <w:rPr>
                <w:rFonts w:ascii="Times New Roman" w:eastAsia="Calibri" w:hAnsi="Times New Roman" w:cs="Times New Roman"/>
                <w:kern w:val="24"/>
                <w:sz w:val="16"/>
                <w:szCs w:val="16"/>
              </w:rPr>
              <w:t>RurSu</w:t>
            </w:r>
            <w:proofErr w:type="spellEnd"/>
          </w:p>
        </w:tc>
        <w:tc>
          <w:tcPr>
            <w:tcW w:w="1447" w:type="dxa"/>
            <w:tcBorders>
              <w:top w:val="single" w:sz="4" w:space="0" w:color="auto"/>
              <w:left w:val="nil"/>
              <w:bottom w:val="dotted" w:sz="4" w:space="0" w:color="auto"/>
              <w:right w:val="nil"/>
            </w:tcBorders>
            <w:vAlign w:val="center"/>
            <w:hideMark/>
          </w:tcPr>
          <w:p w14:paraId="6D9C0E08" w14:textId="77777777" w:rsidR="00BF7273" w:rsidRPr="00BF26C8" w:rsidRDefault="00BF7273" w:rsidP="007F2CAB">
            <w:pPr>
              <w:jc w:val="center"/>
              <w:rPr>
                <w:rFonts w:ascii="Times New Roman" w:eastAsia="Times New Roman" w:hAnsi="Times New Roman" w:cs="Times New Roman"/>
                <w:sz w:val="16"/>
                <w:szCs w:val="16"/>
              </w:rPr>
            </w:pPr>
            <w:proofErr w:type="spellStart"/>
            <w:r w:rsidRPr="00BF26C8">
              <w:rPr>
                <w:rFonts w:ascii="Times New Roman" w:eastAsia="Calibri" w:hAnsi="Times New Roman" w:cs="Times New Roman"/>
                <w:kern w:val="24"/>
                <w:sz w:val="16"/>
                <w:szCs w:val="16"/>
              </w:rPr>
              <w:t>Azmar</w:t>
            </w:r>
            <w:proofErr w:type="spellEnd"/>
          </w:p>
          <w:p w14:paraId="6D9C0E09" w14:textId="77777777" w:rsidR="00BF7273" w:rsidRPr="00BF26C8" w:rsidRDefault="00BF7273" w:rsidP="007F2CAB">
            <w:pPr>
              <w:jc w:val="center"/>
              <w:rPr>
                <w:rFonts w:ascii="Times New Roman" w:eastAsia="Times New Roman" w:hAnsi="Times New Roman" w:cs="Times New Roman"/>
                <w:sz w:val="16"/>
                <w:szCs w:val="16"/>
              </w:rPr>
            </w:pPr>
            <w:r w:rsidRPr="00BF26C8">
              <w:rPr>
                <w:rFonts w:ascii="Times New Roman" w:eastAsia="Calibri" w:hAnsi="Times New Roman" w:cs="Times New Roman"/>
                <w:kern w:val="24"/>
                <w:sz w:val="16"/>
                <w:szCs w:val="16"/>
              </w:rPr>
              <w:t>Mountain area</w:t>
            </w:r>
          </w:p>
        </w:tc>
        <w:tc>
          <w:tcPr>
            <w:tcW w:w="1398" w:type="dxa"/>
            <w:tcBorders>
              <w:top w:val="single" w:sz="4" w:space="0" w:color="auto"/>
              <w:left w:val="nil"/>
              <w:bottom w:val="dotted" w:sz="4" w:space="0" w:color="auto"/>
              <w:right w:val="single" w:sz="4" w:space="0" w:color="auto"/>
            </w:tcBorders>
            <w:vAlign w:val="center"/>
            <w:hideMark/>
          </w:tcPr>
          <w:p w14:paraId="6D9C0E0A" w14:textId="77777777" w:rsidR="00BF7273" w:rsidRPr="00BF26C8" w:rsidRDefault="00BF7273" w:rsidP="007F2CAB">
            <w:pPr>
              <w:jc w:val="center"/>
              <w:rPr>
                <w:rFonts w:ascii="Times New Roman" w:eastAsia="Calibri" w:hAnsi="Times New Roman" w:cs="Times New Roman"/>
                <w:kern w:val="24"/>
                <w:sz w:val="16"/>
                <w:szCs w:val="16"/>
              </w:rPr>
            </w:pPr>
            <w:r w:rsidRPr="00BF26C8">
              <w:rPr>
                <w:rFonts w:ascii="Times New Roman" w:eastAsia="Calibri" w:hAnsi="Times New Roman" w:cs="Times New Roman"/>
                <w:kern w:val="24"/>
                <w:sz w:val="16"/>
                <w:szCs w:val="16"/>
              </w:rPr>
              <w:t>N 35°36′ 44.03′′</w:t>
            </w:r>
          </w:p>
          <w:p w14:paraId="6D9C0E0B" w14:textId="77777777" w:rsidR="00BF7273" w:rsidRPr="00BF26C8" w:rsidRDefault="00BF7273" w:rsidP="007F2CAB">
            <w:pPr>
              <w:jc w:val="center"/>
              <w:rPr>
                <w:rFonts w:ascii="Times New Roman" w:eastAsia="Calibri" w:hAnsi="Times New Roman" w:cs="Times New Roman"/>
                <w:kern w:val="24"/>
                <w:sz w:val="16"/>
                <w:szCs w:val="16"/>
              </w:rPr>
            </w:pPr>
            <w:r w:rsidRPr="00BF26C8">
              <w:rPr>
                <w:rFonts w:ascii="Times New Roman" w:eastAsia="Calibri" w:hAnsi="Times New Roman" w:cs="Times New Roman"/>
                <w:kern w:val="24"/>
                <w:sz w:val="16"/>
                <w:szCs w:val="16"/>
              </w:rPr>
              <w:t>E 045°28′ 39.50′′</w:t>
            </w:r>
          </w:p>
        </w:tc>
        <w:tc>
          <w:tcPr>
            <w:tcW w:w="967" w:type="dxa"/>
            <w:tcBorders>
              <w:top w:val="single" w:sz="4" w:space="0" w:color="auto"/>
              <w:left w:val="single" w:sz="4" w:space="0" w:color="auto"/>
              <w:bottom w:val="dotted" w:sz="4" w:space="0" w:color="auto"/>
              <w:right w:val="nil"/>
            </w:tcBorders>
            <w:vAlign w:val="center"/>
            <w:hideMark/>
          </w:tcPr>
          <w:p w14:paraId="6D9C0E0C" w14:textId="77777777" w:rsidR="00BF7273" w:rsidRPr="00BF26C8" w:rsidRDefault="00BF7273" w:rsidP="007F2CAB">
            <w:pPr>
              <w:jc w:val="center"/>
              <w:rPr>
                <w:rFonts w:ascii="Times New Roman" w:eastAsia="Times New Roman" w:hAnsi="Times New Roman" w:cs="Times New Roman"/>
                <w:sz w:val="16"/>
                <w:szCs w:val="16"/>
              </w:rPr>
            </w:pPr>
            <w:r w:rsidRPr="00BF26C8">
              <w:rPr>
                <w:rFonts w:ascii="Times New Roman" w:eastAsia="Calibri" w:hAnsi="Times New Roman" w:cs="Times New Roman"/>
                <w:kern w:val="24"/>
                <w:sz w:val="16"/>
                <w:szCs w:val="16"/>
              </w:rPr>
              <w:t>0.74</w:t>
            </w:r>
          </w:p>
          <w:p w14:paraId="6D9C0E0D" w14:textId="77777777" w:rsidR="00BF7273" w:rsidRPr="00BF26C8" w:rsidRDefault="00BF7273" w:rsidP="007F2CAB">
            <w:pPr>
              <w:jc w:val="center"/>
              <w:rPr>
                <w:rFonts w:ascii="Times New Roman" w:eastAsia="Times New Roman" w:hAnsi="Times New Roman" w:cs="Times New Roman"/>
                <w:sz w:val="16"/>
                <w:szCs w:val="16"/>
              </w:rPr>
            </w:pPr>
            <w:r w:rsidRPr="00BF26C8">
              <w:rPr>
                <w:rFonts w:ascii="Times New Roman" w:eastAsia="Calibri" w:hAnsi="Times New Roman" w:cs="Times New Roman"/>
                <w:kern w:val="24"/>
                <w:sz w:val="16"/>
                <w:szCs w:val="16"/>
              </w:rPr>
              <w:t>0.56</w:t>
            </w:r>
          </w:p>
        </w:tc>
        <w:tc>
          <w:tcPr>
            <w:tcW w:w="851" w:type="dxa"/>
            <w:tcBorders>
              <w:top w:val="single" w:sz="4" w:space="0" w:color="auto"/>
              <w:left w:val="nil"/>
              <w:bottom w:val="dotted" w:sz="4" w:space="0" w:color="auto"/>
              <w:right w:val="nil"/>
            </w:tcBorders>
            <w:vAlign w:val="center"/>
            <w:hideMark/>
          </w:tcPr>
          <w:p w14:paraId="6D9C0E0E" w14:textId="77777777" w:rsidR="00BF7273" w:rsidRPr="00BF26C8" w:rsidRDefault="00BF7273" w:rsidP="007F2CAB">
            <w:pPr>
              <w:jc w:val="center"/>
              <w:rPr>
                <w:rFonts w:ascii="Times New Roman" w:eastAsia="Times New Roman" w:hAnsi="Times New Roman" w:cs="Times New Roman"/>
                <w:sz w:val="16"/>
                <w:szCs w:val="16"/>
              </w:rPr>
            </w:pPr>
            <w:r w:rsidRPr="00BF26C8">
              <w:rPr>
                <w:rFonts w:ascii="Times New Roman" w:eastAsia="Calibri" w:hAnsi="Times New Roman" w:cs="Times New Roman"/>
                <w:kern w:val="24"/>
                <w:sz w:val="16"/>
                <w:szCs w:val="16"/>
              </w:rPr>
              <w:t>0.65</w:t>
            </w:r>
          </w:p>
        </w:tc>
      </w:tr>
      <w:tr w:rsidR="00BF26C8" w:rsidRPr="00BF26C8" w14:paraId="6D9C0E19" w14:textId="77777777" w:rsidTr="00BF7273">
        <w:trPr>
          <w:trHeight w:val="340"/>
          <w:jc w:val="center"/>
        </w:trPr>
        <w:tc>
          <w:tcPr>
            <w:tcW w:w="1276" w:type="dxa"/>
            <w:tcBorders>
              <w:top w:val="dotted" w:sz="4" w:space="0" w:color="auto"/>
              <w:left w:val="nil"/>
              <w:bottom w:val="dotted" w:sz="4" w:space="0" w:color="auto"/>
              <w:right w:val="nil"/>
            </w:tcBorders>
            <w:vAlign w:val="center"/>
            <w:hideMark/>
          </w:tcPr>
          <w:p w14:paraId="6D9C0E10" w14:textId="77777777" w:rsidR="00BF7273" w:rsidRPr="00BF26C8" w:rsidRDefault="00BF7273" w:rsidP="007F2CAB">
            <w:pPr>
              <w:jc w:val="center"/>
              <w:rPr>
                <w:rFonts w:ascii="Times New Roman" w:eastAsia="Calibri" w:hAnsi="Times New Roman" w:cs="Times New Roman"/>
                <w:kern w:val="24"/>
                <w:sz w:val="16"/>
                <w:szCs w:val="16"/>
              </w:rPr>
            </w:pPr>
            <w:r w:rsidRPr="00BF26C8">
              <w:rPr>
                <w:rFonts w:ascii="Times New Roman" w:eastAsia="Calibri" w:hAnsi="Times New Roman" w:cs="Times New Roman"/>
                <w:kern w:val="24"/>
                <w:sz w:val="16"/>
                <w:szCs w:val="16"/>
              </w:rPr>
              <w:t xml:space="preserve">Industrial </w:t>
            </w:r>
            <w:proofErr w:type="spellStart"/>
            <w:r w:rsidRPr="00BF26C8">
              <w:rPr>
                <w:rFonts w:ascii="Times New Roman" w:eastAsia="Calibri" w:hAnsi="Times New Roman" w:cs="Times New Roman"/>
                <w:kern w:val="24"/>
                <w:sz w:val="16"/>
                <w:szCs w:val="16"/>
              </w:rPr>
              <w:t>Sulaimani</w:t>
            </w:r>
            <w:proofErr w:type="spellEnd"/>
          </w:p>
        </w:tc>
        <w:tc>
          <w:tcPr>
            <w:tcW w:w="850" w:type="dxa"/>
            <w:tcBorders>
              <w:top w:val="dotted" w:sz="4" w:space="0" w:color="auto"/>
              <w:left w:val="nil"/>
              <w:bottom w:val="dotted" w:sz="4" w:space="0" w:color="auto"/>
              <w:right w:val="nil"/>
            </w:tcBorders>
            <w:vAlign w:val="center"/>
            <w:hideMark/>
          </w:tcPr>
          <w:p w14:paraId="6D9C0E11" w14:textId="77777777" w:rsidR="00BF7273" w:rsidRPr="00BF26C8" w:rsidRDefault="00BF7273" w:rsidP="007F2CAB">
            <w:pPr>
              <w:jc w:val="center"/>
              <w:rPr>
                <w:rFonts w:ascii="Times New Roman" w:eastAsia="Calibri" w:hAnsi="Times New Roman" w:cs="Times New Roman"/>
                <w:kern w:val="24"/>
                <w:sz w:val="16"/>
                <w:szCs w:val="16"/>
              </w:rPr>
            </w:pPr>
            <w:proofErr w:type="spellStart"/>
            <w:r w:rsidRPr="00BF26C8">
              <w:rPr>
                <w:rFonts w:ascii="Times New Roman" w:eastAsia="Calibri" w:hAnsi="Times New Roman" w:cs="Times New Roman"/>
                <w:kern w:val="24"/>
                <w:sz w:val="16"/>
                <w:szCs w:val="16"/>
              </w:rPr>
              <w:t>IndSu</w:t>
            </w:r>
            <w:proofErr w:type="spellEnd"/>
          </w:p>
        </w:tc>
        <w:tc>
          <w:tcPr>
            <w:tcW w:w="1447" w:type="dxa"/>
            <w:tcBorders>
              <w:top w:val="dotted" w:sz="4" w:space="0" w:color="auto"/>
              <w:left w:val="nil"/>
              <w:bottom w:val="dotted" w:sz="4" w:space="0" w:color="auto"/>
              <w:right w:val="nil"/>
            </w:tcBorders>
            <w:vAlign w:val="center"/>
            <w:hideMark/>
          </w:tcPr>
          <w:p w14:paraId="6D9C0E12" w14:textId="77777777" w:rsidR="00BF7273" w:rsidRPr="00BF26C8" w:rsidRDefault="00BF7273" w:rsidP="007F2CAB">
            <w:pPr>
              <w:jc w:val="center"/>
              <w:rPr>
                <w:rFonts w:ascii="Times New Roman" w:eastAsia="Times New Roman" w:hAnsi="Times New Roman" w:cs="Times New Roman"/>
                <w:sz w:val="16"/>
                <w:szCs w:val="16"/>
              </w:rPr>
            </w:pPr>
            <w:proofErr w:type="spellStart"/>
            <w:r w:rsidRPr="00BF26C8">
              <w:rPr>
                <w:rFonts w:ascii="Times New Roman" w:eastAsia="Calibri" w:hAnsi="Times New Roman" w:cs="Times New Roman"/>
                <w:kern w:val="24"/>
                <w:sz w:val="16"/>
                <w:szCs w:val="16"/>
              </w:rPr>
              <w:t>Tanjaro</w:t>
            </w:r>
            <w:proofErr w:type="spellEnd"/>
          </w:p>
          <w:p w14:paraId="6D9C0E13" w14:textId="77777777" w:rsidR="00BF7273" w:rsidRPr="00BF26C8" w:rsidRDefault="00BF7273" w:rsidP="007F2CAB">
            <w:pPr>
              <w:jc w:val="center"/>
              <w:rPr>
                <w:rFonts w:ascii="Times New Roman" w:eastAsia="Times New Roman" w:hAnsi="Times New Roman" w:cs="Times New Roman"/>
                <w:sz w:val="16"/>
                <w:szCs w:val="16"/>
              </w:rPr>
            </w:pPr>
            <w:r w:rsidRPr="00BF26C8">
              <w:rPr>
                <w:rFonts w:ascii="Times New Roman" w:eastAsia="Calibri" w:hAnsi="Times New Roman" w:cs="Times New Roman"/>
                <w:kern w:val="24"/>
                <w:sz w:val="16"/>
                <w:szCs w:val="16"/>
              </w:rPr>
              <w:t xml:space="preserve">Industrial area </w:t>
            </w:r>
            <w:r w:rsidRPr="00BF26C8">
              <w:rPr>
                <w:rFonts w:ascii="Times New Roman" w:eastAsia="Calibri" w:hAnsi="Times New Roman" w:cs="Times New Roman"/>
                <w:kern w:val="24"/>
                <w:position w:val="5"/>
                <w:sz w:val="16"/>
                <w:szCs w:val="16"/>
                <w:vertAlign w:val="superscript"/>
              </w:rPr>
              <w:t>b</w:t>
            </w:r>
          </w:p>
        </w:tc>
        <w:tc>
          <w:tcPr>
            <w:tcW w:w="1398" w:type="dxa"/>
            <w:tcBorders>
              <w:top w:val="dotted" w:sz="4" w:space="0" w:color="auto"/>
              <w:left w:val="nil"/>
              <w:bottom w:val="dotted" w:sz="4" w:space="0" w:color="auto"/>
              <w:right w:val="single" w:sz="4" w:space="0" w:color="auto"/>
            </w:tcBorders>
            <w:vAlign w:val="center"/>
            <w:hideMark/>
          </w:tcPr>
          <w:p w14:paraId="6D9C0E14" w14:textId="77777777" w:rsidR="00BF7273" w:rsidRPr="00BF26C8" w:rsidRDefault="00BF7273" w:rsidP="007F2CAB">
            <w:pPr>
              <w:jc w:val="center"/>
              <w:rPr>
                <w:rFonts w:ascii="Times New Roman" w:eastAsia="Calibri" w:hAnsi="Times New Roman" w:cs="Times New Roman"/>
                <w:kern w:val="24"/>
                <w:sz w:val="16"/>
                <w:szCs w:val="16"/>
              </w:rPr>
            </w:pPr>
            <w:r w:rsidRPr="00BF26C8">
              <w:rPr>
                <w:rFonts w:ascii="Times New Roman" w:eastAsia="Calibri" w:hAnsi="Times New Roman" w:cs="Times New Roman"/>
                <w:kern w:val="24"/>
                <w:sz w:val="16"/>
                <w:szCs w:val="16"/>
              </w:rPr>
              <w:t>N 35°30′ 24.07′′</w:t>
            </w:r>
          </w:p>
          <w:p w14:paraId="6D9C0E15" w14:textId="77777777" w:rsidR="00BF7273" w:rsidRPr="00BF26C8" w:rsidRDefault="00BF7273" w:rsidP="007F2CAB">
            <w:pPr>
              <w:jc w:val="center"/>
              <w:rPr>
                <w:rFonts w:ascii="Times New Roman" w:eastAsia="Calibri" w:hAnsi="Times New Roman" w:cs="Times New Roman"/>
                <w:kern w:val="24"/>
                <w:sz w:val="16"/>
                <w:szCs w:val="16"/>
              </w:rPr>
            </w:pPr>
            <w:r w:rsidRPr="00BF26C8">
              <w:rPr>
                <w:rFonts w:ascii="Times New Roman" w:eastAsia="Calibri" w:hAnsi="Times New Roman" w:cs="Times New Roman"/>
                <w:kern w:val="24"/>
                <w:sz w:val="16"/>
                <w:szCs w:val="16"/>
              </w:rPr>
              <w:t>E 045°26′ 37.30′′</w:t>
            </w:r>
          </w:p>
        </w:tc>
        <w:tc>
          <w:tcPr>
            <w:tcW w:w="967" w:type="dxa"/>
            <w:tcBorders>
              <w:top w:val="dotted" w:sz="4" w:space="0" w:color="auto"/>
              <w:left w:val="single" w:sz="4" w:space="0" w:color="auto"/>
              <w:bottom w:val="dotted" w:sz="4" w:space="0" w:color="auto"/>
              <w:right w:val="nil"/>
            </w:tcBorders>
            <w:vAlign w:val="center"/>
            <w:hideMark/>
          </w:tcPr>
          <w:p w14:paraId="6D9C0E16" w14:textId="77777777" w:rsidR="00BF7273" w:rsidRPr="00BF26C8" w:rsidRDefault="00BF7273" w:rsidP="007F2CAB">
            <w:pPr>
              <w:jc w:val="center"/>
              <w:rPr>
                <w:rFonts w:ascii="Times New Roman" w:eastAsia="Times New Roman" w:hAnsi="Times New Roman" w:cs="Times New Roman"/>
                <w:sz w:val="16"/>
                <w:szCs w:val="16"/>
              </w:rPr>
            </w:pPr>
            <w:r w:rsidRPr="00BF26C8">
              <w:rPr>
                <w:rFonts w:ascii="Times New Roman" w:eastAsia="Calibri" w:hAnsi="Times New Roman" w:cs="Times New Roman"/>
                <w:kern w:val="24"/>
                <w:sz w:val="16"/>
                <w:szCs w:val="16"/>
              </w:rPr>
              <w:t>1.15</w:t>
            </w:r>
          </w:p>
          <w:p w14:paraId="6D9C0E17" w14:textId="77777777" w:rsidR="00BF7273" w:rsidRPr="00BF26C8" w:rsidRDefault="00BF7273" w:rsidP="007F2CAB">
            <w:pPr>
              <w:jc w:val="center"/>
              <w:rPr>
                <w:rFonts w:ascii="Times New Roman" w:eastAsia="Times New Roman" w:hAnsi="Times New Roman" w:cs="Times New Roman"/>
                <w:sz w:val="16"/>
                <w:szCs w:val="16"/>
              </w:rPr>
            </w:pPr>
            <w:r w:rsidRPr="00BF26C8">
              <w:rPr>
                <w:rFonts w:ascii="Times New Roman" w:eastAsia="Calibri" w:hAnsi="Times New Roman" w:cs="Times New Roman"/>
                <w:kern w:val="24"/>
                <w:sz w:val="16"/>
                <w:szCs w:val="16"/>
              </w:rPr>
              <w:t>0.87</w:t>
            </w:r>
          </w:p>
        </w:tc>
        <w:tc>
          <w:tcPr>
            <w:tcW w:w="851" w:type="dxa"/>
            <w:tcBorders>
              <w:top w:val="dotted" w:sz="4" w:space="0" w:color="auto"/>
              <w:left w:val="nil"/>
              <w:bottom w:val="dotted" w:sz="4" w:space="0" w:color="auto"/>
              <w:right w:val="nil"/>
            </w:tcBorders>
            <w:vAlign w:val="center"/>
            <w:hideMark/>
          </w:tcPr>
          <w:p w14:paraId="6D9C0E18" w14:textId="77777777" w:rsidR="00BF7273" w:rsidRPr="00BF26C8" w:rsidRDefault="00BF7273" w:rsidP="007F2CAB">
            <w:pPr>
              <w:jc w:val="center"/>
              <w:rPr>
                <w:rFonts w:ascii="Times New Roman" w:eastAsia="Times New Roman" w:hAnsi="Times New Roman" w:cs="Times New Roman"/>
                <w:sz w:val="16"/>
                <w:szCs w:val="16"/>
              </w:rPr>
            </w:pPr>
            <w:r w:rsidRPr="00BF26C8">
              <w:rPr>
                <w:rFonts w:ascii="Times New Roman" w:eastAsia="Calibri" w:hAnsi="Times New Roman" w:cs="Times New Roman"/>
                <w:kern w:val="24"/>
                <w:sz w:val="16"/>
                <w:szCs w:val="16"/>
              </w:rPr>
              <w:t>1.01</w:t>
            </w:r>
          </w:p>
        </w:tc>
      </w:tr>
      <w:tr w:rsidR="00BF7273" w:rsidRPr="00BF26C8" w14:paraId="6D9C0E23" w14:textId="77777777" w:rsidTr="00BF7273">
        <w:trPr>
          <w:trHeight w:val="340"/>
          <w:jc w:val="center"/>
        </w:trPr>
        <w:tc>
          <w:tcPr>
            <w:tcW w:w="1276" w:type="dxa"/>
            <w:tcBorders>
              <w:top w:val="dotted" w:sz="4" w:space="0" w:color="auto"/>
              <w:left w:val="nil"/>
              <w:bottom w:val="single" w:sz="4" w:space="0" w:color="auto"/>
              <w:right w:val="nil"/>
            </w:tcBorders>
            <w:vAlign w:val="center"/>
            <w:hideMark/>
          </w:tcPr>
          <w:p w14:paraId="6D9C0E1A" w14:textId="77777777" w:rsidR="00BF7273" w:rsidRPr="00BF26C8" w:rsidRDefault="00BF7273" w:rsidP="007F2CAB">
            <w:pPr>
              <w:jc w:val="center"/>
              <w:rPr>
                <w:rFonts w:ascii="Times New Roman" w:eastAsia="Calibri" w:hAnsi="Times New Roman" w:cs="Times New Roman"/>
                <w:kern w:val="24"/>
                <w:sz w:val="16"/>
                <w:szCs w:val="16"/>
              </w:rPr>
            </w:pPr>
            <w:r w:rsidRPr="00BF26C8">
              <w:rPr>
                <w:rFonts w:ascii="Times New Roman" w:eastAsia="Calibri" w:hAnsi="Times New Roman" w:cs="Times New Roman"/>
                <w:kern w:val="24"/>
                <w:sz w:val="16"/>
                <w:szCs w:val="16"/>
              </w:rPr>
              <w:t xml:space="preserve">Urban </w:t>
            </w:r>
            <w:proofErr w:type="spellStart"/>
            <w:r w:rsidRPr="00BF26C8">
              <w:rPr>
                <w:rFonts w:ascii="Times New Roman" w:eastAsia="Calibri" w:hAnsi="Times New Roman" w:cs="Times New Roman"/>
                <w:kern w:val="24"/>
                <w:sz w:val="16"/>
                <w:szCs w:val="16"/>
              </w:rPr>
              <w:t>Sulaimani</w:t>
            </w:r>
            <w:proofErr w:type="spellEnd"/>
          </w:p>
        </w:tc>
        <w:tc>
          <w:tcPr>
            <w:tcW w:w="850" w:type="dxa"/>
            <w:tcBorders>
              <w:top w:val="dotted" w:sz="4" w:space="0" w:color="auto"/>
              <w:left w:val="nil"/>
              <w:bottom w:val="single" w:sz="4" w:space="0" w:color="auto"/>
              <w:right w:val="nil"/>
            </w:tcBorders>
            <w:vAlign w:val="center"/>
            <w:hideMark/>
          </w:tcPr>
          <w:p w14:paraId="6D9C0E1B" w14:textId="77777777" w:rsidR="00BF7273" w:rsidRPr="00BF26C8" w:rsidRDefault="00BF7273" w:rsidP="007F2CAB">
            <w:pPr>
              <w:jc w:val="center"/>
              <w:rPr>
                <w:rFonts w:ascii="Times New Roman" w:eastAsia="Calibri" w:hAnsi="Times New Roman" w:cs="Times New Roman"/>
                <w:kern w:val="24"/>
                <w:sz w:val="16"/>
                <w:szCs w:val="16"/>
              </w:rPr>
            </w:pPr>
            <w:proofErr w:type="spellStart"/>
            <w:r w:rsidRPr="00BF26C8">
              <w:rPr>
                <w:rFonts w:ascii="Times New Roman" w:eastAsia="Calibri" w:hAnsi="Times New Roman" w:cs="Times New Roman"/>
                <w:kern w:val="24"/>
                <w:sz w:val="16"/>
                <w:szCs w:val="16"/>
              </w:rPr>
              <w:t>UrbSu</w:t>
            </w:r>
            <w:proofErr w:type="spellEnd"/>
          </w:p>
        </w:tc>
        <w:tc>
          <w:tcPr>
            <w:tcW w:w="1447" w:type="dxa"/>
            <w:tcBorders>
              <w:top w:val="dotted" w:sz="4" w:space="0" w:color="auto"/>
              <w:left w:val="nil"/>
              <w:bottom w:val="single" w:sz="4" w:space="0" w:color="auto"/>
              <w:right w:val="nil"/>
            </w:tcBorders>
            <w:vAlign w:val="center"/>
            <w:hideMark/>
          </w:tcPr>
          <w:p w14:paraId="6D9C0E1C" w14:textId="77777777" w:rsidR="00BF7273" w:rsidRPr="00BF26C8" w:rsidRDefault="00BF7273" w:rsidP="007F2CAB">
            <w:pPr>
              <w:jc w:val="center"/>
              <w:rPr>
                <w:rFonts w:ascii="Times New Roman" w:eastAsia="Times New Roman" w:hAnsi="Times New Roman" w:cs="Times New Roman"/>
                <w:sz w:val="16"/>
                <w:szCs w:val="16"/>
              </w:rPr>
            </w:pPr>
            <w:r w:rsidRPr="00BF26C8">
              <w:rPr>
                <w:rFonts w:ascii="Times New Roman" w:eastAsia="Calibri" w:hAnsi="Times New Roman" w:cs="Times New Roman"/>
                <w:kern w:val="24"/>
                <w:sz w:val="16"/>
                <w:szCs w:val="16"/>
              </w:rPr>
              <w:t>Malik Mahmud</w:t>
            </w:r>
          </w:p>
          <w:p w14:paraId="6D9C0E1D" w14:textId="77777777" w:rsidR="00BF7273" w:rsidRPr="00BF26C8" w:rsidRDefault="00BF7273" w:rsidP="007F2CAB">
            <w:pPr>
              <w:jc w:val="center"/>
              <w:rPr>
                <w:rFonts w:ascii="Times New Roman" w:eastAsia="Times New Roman" w:hAnsi="Times New Roman" w:cs="Times New Roman"/>
                <w:sz w:val="16"/>
                <w:szCs w:val="16"/>
              </w:rPr>
            </w:pPr>
            <w:r w:rsidRPr="00BF26C8">
              <w:rPr>
                <w:rFonts w:ascii="Times New Roman" w:eastAsia="Calibri" w:hAnsi="Times New Roman" w:cs="Times New Roman"/>
                <w:kern w:val="24"/>
                <w:sz w:val="16"/>
                <w:szCs w:val="16"/>
              </w:rPr>
              <w:t xml:space="preserve">Urban area </w:t>
            </w:r>
            <w:r w:rsidRPr="00BF26C8">
              <w:rPr>
                <w:rFonts w:ascii="Times New Roman" w:eastAsia="Calibri" w:hAnsi="Times New Roman" w:cs="Times New Roman"/>
                <w:kern w:val="24"/>
                <w:position w:val="5"/>
                <w:sz w:val="16"/>
                <w:szCs w:val="16"/>
                <w:vertAlign w:val="superscript"/>
              </w:rPr>
              <w:t>c</w:t>
            </w:r>
          </w:p>
        </w:tc>
        <w:tc>
          <w:tcPr>
            <w:tcW w:w="1398" w:type="dxa"/>
            <w:tcBorders>
              <w:top w:val="dotted" w:sz="4" w:space="0" w:color="auto"/>
              <w:left w:val="nil"/>
              <w:bottom w:val="single" w:sz="4" w:space="0" w:color="auto"/>
              <w:right w:val="single" w:sz="4" w:space="0" w:color="auto"/>
            </w:tcBorders>
            <w:vAlign w:val="center"/>
            <w:hideMark/>
          </w:tcPr>
          <w:p w14:paraId="6D9C0E1E" w14:textId="77777777" w:rsidR="00BF7273" w:rsidRPr="00BF26C8" w:rsidRDefault="00BF7273" w:rsidP="007F2CAB">
            <w:pPr>
              <w:jc w:val="center"/>
              <w:rPr>
                <w:rFonts w:ascii="Times New Roman" w:eastAsia="Calibri" w:hAnsi="Times New Roman" w:cs="Times New Roman"/>
                <w:kern w:val="24"/>
                <w:sz w:val="16"/>
                <w:szCs w:val="16"/>
              </w:rPr>
            </w:pPr>
            <w:r w:rsidRPr="00BF26C8">
              <w:rPr>
                <w:rFonts w:ascii="Times New Roman" w:eastAsia="Calibri" w:hAnsi="Times New Roman" w:cs="Times New Roman"/>
                <w:kern w:val="24"/>
                <w:sz w:val="16"/>
                <w:szCs w:val="16"/>
              </w:rPr>
              <w:t>N 35°34′ 29.87′′</w:t>
            </w:r>
          </w:p>
          <w:p w14:paraId="6D9C0E1F" w14:textId="77777777" w:rsidR="00BF7273" w:rsidRPr="00BF26C8" w:rsidRDefault="00BF7273" w:rsidP="007F2CAB">
            <w:pPr>
              <w:jc w:val="center"/>
              <w:rPr>
                <w:rFonts w:ascii="Times New Roman" w:eastAsia="Calibri" w:hAnsi="Times New Roman" w:cs="Times New Roman"/>
                <w:kern w:val="24"/>
                <w:sz w:val="16"/>
                <w:szCs w:val="16"/>
              </w:rPr>
            </w:pPr>
            <w:r w:rsidRPr="00BF26C8">
              <w:rPr>
                <w:rFonts w:ascii="Times New Roman" w:eastAsia="Calibri" w:hAnsi="Times New Roman" w:cs="Times New Roman"/>
                <w:kern w:val="24"/>
                <w:sz w:val="16"/>
                <w:szCs w:val="16"/>
              </w:rPr>
              <w:t>E 045°23′ 31.09′′</w:t>
            </w:r>
          </w:p>
        </w:tc>
        <w:tc>
          <w:tcPr>
            <w:tcW w:w="967" w:type="dxa"/>
            <w:tcBorders>
              <w:top w:val="dotted" w:sz="4" w:space="0" w:color="auto"/>
              <w:left w:val="single" w:sz="4" w:space="0" w:color="auto"/>
              <w:bottom w:val="single" w:sz="4" w:space="0" w:color="auto"/>
              <w:right w:val="nil"/>
            </w:tcBorders>
            <w:vAlign w:val="center"/>
            <w:hideMark/>
          </w:tcPr>
          <w:p w14:paraId="6D9C0E20" w14:textId="77777777" w:rsidR="00BF7273" w:rsidRPr="00BF26C8" w:rsidRDefault="00BF7273" w:rsidP="007F2CAB">
            <w:pPr>
              <w:jc w:val="center"/>
              <w:rPr>
                <w:rFonts w:ascii="Times New Roman" w:eastAsia="Times New Roman" w:hAnsi="Times New Roman" w:cs="Times New Roman"/>
                <w:sz w:val="16"/>
                <w:szCs w:val="16"/>
              </w:rPr>
            </w:pPr>
            <w:r w:rsidRPr="00BF26C8">
              <w:rPr>
                <w:rFonts w:ascii="Times New Roman" w:eastAsia="Calibri" w:hAnsi="Times New Roman" w:cs="Times New Roman"/>
                <w:kern w:val="24"/>
                <w:sz w:val="16"/>
                <w:szCs w:val="16"/>
              </w:rPr>
              <w:t>1.81</w:t>
            </w:r>
          </w:p>
          <w:p w14:paraId="6D9C0E21" w14:textId="77777777" w:rsidR="00BF7273" w:rsidRPr="00BF26C8" w:rsidRDefault="00BF7273" w:rsidP="007F2CAB">
            <w:pPr>
              <w:jc w:val="center"/>
              <w:rPr>
                <w:rFonts w:ascii="Times New Roman" w:eastAsia="Times New Roman" w:hAnsi="Times New Roman" w:cs="Times New Roman"/>
                <w:sz w:val="16"/>
                <w:szCs w:val="16"/>
              </w:rPr>
            </w:pPr>
            <w:r w:rsidRPr="00BF26C8">
              <w:rPr>
                <w:rFonts w:ascii="Times New Roman" w:eastAsia="Calibri" w:hAnsi="Times New Roman" w:cs="Times New Roman"/>
                <w:kern w:val="24"/>
                <w:sz w:val="16"/>
                <w:szCs w:val="16"/>
              </w:rPr>
              <w:t>2.3</w:t>
            </w:r>
          </w:p>
        </w:tc>
        <w:tc>
          <w:tcPr>
            <w:tcW w:w="851" w:type="dxa"/>
            <w:tcBorders>
              <w:top w:val="dotted" w:sz="4" w:space="0" w:color="auto"/>
              <w:left w:val="nil"/>
              <w:bottom w:val="single" w:sz="4" w:space="0" w:color="auto"/>
              <w:right w:val="nil"/>
            </w:tcBorders>
            <w:vAlign w:val="center"/>
            <w:hideMark/>
          </w:tcPr>
          <w:p w14:paraId="6D9C0E22" w14:textId="77777777" w:rsidR="00BF7273" w:rsidRPr="00BF26C8" w:rsidRDefault="00BF7273" w:rsidP="007F2CAB">
            <w:pPr>
              <w:jc w:val="center"/>
              <w:rPr>
                <w:rFonts w:ascii="Times New Roman" w:eastAsia="Times New Roman" w:hAnsi="Times New Roman" w:cs="Times New Roman"/>
                <w:sz w:val="16"/>
                <w:szCs w:val="16"/>
              </w:rPr>
            </w:pPr>
            <w:r w:rsidRPr="00BF26C8">
              <w:rPr>
                <w:rFonts w:ascii="Times New Roman" w:eastAsia="Calibri" w:hAnsi="Times New Roman" w:cs="Times New Roman"/>
                <w:kern w:val="24"/>
                <w:sz w:val="16"/>
                <w:szCs w:val="16"/>
              </w:rPr>
              <w:t>2.06</w:t>
            </w:r>
          </w:p>
        </w:tc>
      </w:tr>
    </w:tbl>
    <w:p w14:paraId="6D9C0E24" w14:textId="77777777" w:rsidR="00162096" w:rsidRPr="00BF26C8" w:rsidRDefault="00162096" w:rsidP="007F2CAB">
      <w:pPr>
        <w:spacing w:after="0"/>
        <w:rPr>
          <w:rFonts w:ascii="Times New Roman" w:eastAsia="Calibri" w:hAnsi="Times New Roman" w:cs="Times New Roman"/>
          <w:kern w:val="24"/>
          <w:sz w:val="12"/>
          <w:szCs w:val="16"/>
          <w:lang w:eastAsia="de-DE"/>
        </w:rPr>
      </w:pPr>
    </w:p>
    <w:p w14:paraId="6D9C0E25" w14:textId="77777777" w:rsidR="007F2CAB" w:rsidRPr="00BF26C8" w:rsidRDefault="007F2CAB" w:rsidP="00177716">
      <w:pPr>
        <w:spacing w:after="0"/>
        <w:ind w:firstLine="720"/>
        <w:rPr>
          <w:rFonts w:ascii="Times New Roman" w:eastAsia="Calibri" w:hAnsi="Times New Roman" w:cs="Times New Roman"/>
          <w:kern w:val="24"/>
          <w:sz w:val="14"/>
          <w:szCs w:val="16"/>
          <w:lang w:eastAsia="de-DE"/>
        </w:rPr>
      </w:pPr>
      <w:r w:rsidRPr="00BF26C8">
        <w:rPr>
          <w:rFonts w:ascii="Times New Roman" w:eastAsia="Calibri" w:hAnsi="Times New Roman" w:cs="Times New Roman"/>
          <w:kern w:val="24"/>
          <w:sz w:val="14"/>
          <w:szCs w:val="16"/>
          <w:lang w:eastAsia="de-DE"/>
        </w:rPr>
        <w:t>a. Sampling was done for two months continuously from 1</w:t>
      </w:r>
      <w:r w:rsidRPr="00BF26C8">
        <w:rPr>
          <w:rFonts w:ascii="Times New Roman" w:eastAsia="Calibri" w:hAnsi="Times New Roman" w:cs="Times New Roman"/>
          <w:kern w:val="24"/>
          <w:sz w:val="14"/>
          <w:szCs w:val="16"/>
          <w:vertAlign w:val="superscript"/>
          <w:lang w:eastAsia="de-DE"/>
        </w:rPr>
        <w:t xml:space="preserve">st </w:t>
      </w:r>
      <w:r w:rsidRPr="00BF26C8">
        <w:rPr>
          <w:rFonts w:ascii="Times New Roman" w:eastAsia="Calibri" w:hAnsi="Times New Roman" w:cs="Times New Roman"/>
          <w:kern w:val="24"/>
          <w:sz w:val="14"/>
          <w:szCs w:val="16"/>
          <w:lang w:eastAsia="de-DE"/>
        </w:rPr>
        <w:t>July through 31</w:t>
      </w:r>
      <w:r w:rsidRPr="00BF26C8">
        <w:rPr>
          <w:rFonts w:ascii="Times New Roman" w:eastAsia="Calibri" w:hAnsi="Times New Roman" w:cs="Times New Roman"/>
          <w:kern w:val="24"/>
          <w:sz w:val="14"/>
          <w:szCs w:val="16"/>
          <w:vertAlign w:val="superscript"/>
          <w:lang w:eastAsia="de-DE"/>
        </w:rPr>
        <w:t>st</w:t>
      </w:r>
      <w:r w:rsidRPr="00BF26C8">
        <w:rPr>
          <w:rFonts w:ascii="Times New Roman" w:eastAsia="Calibri" w:hAnsi="Times New Roman" w:cs="Times New Roman"/>
          <w:kern w:val="24"/>
          <w:sz w:val="14"/>
          <w:szCs w:val="16"/>
          <w:lang w:eastAsia="de-DE"/>
        </w:rPr>
        <w:t xml:space="preserve"> August 2014 and data are listed for one month </w:t>
      </w:r>
    </w:p>
    <w:p w14:paraId="6D9C0E26" w14:textId="77777777" w:rsidR="007F2CAB" w:rsidRPr="00BF26C8" w:rsidRDefault="007F2CAB" w:rsidP="00177716">
      <w:pPr>
        <w:spacing w:after="0"/>
        <w:ind w:firstLine="720"/>
        <w:rPr>
          <w:rFonts w:ascii="Times New Roman" w:eastAsia="Calibri" w:hAnsi="Times New Roman" w:cs="Times New Roman"/>
          <w:kern w:val="24"/>
          <w:sz w:val="14"/>
          <w:szCs w:val="16"/>
          <w:lang w:eastAsia="de-DE"/>
        </w:rPr>
      </w:pPr>
      <w:r w:rsidRPr="00BF26C8">
        <w:rPr>
          <w:rFonts w:ascii="Times New Roman" w:eastAsia="Calibri" w:hAnsi="Times New Roman" w:cs="Times New Roman"/>
          <w:kern w:val="24"/>
          <w:sz w:val="14"/>
          <w:szCs w:val="16"/>
          <w:lang w:eastAsia="de-DE"/>
        </w:rPr>
        <w:t>b. A municipal solid waste incinerator power plant is located in this area</w:t>
      </w:r>
    </w:p>
    <w:p w14:paraId="6D9C0E27" w14:textId="77777777" w:rsidR="007F2CAB" w:rsidRPr="00BF26C8" w:rsidRDefault="007F2CAB" w:rsidP="00177716">
      <w:pPr>
        <w:spacing w:after="0"/>
        <w:ind w:firstLine="720"/>
        <w:rPr>
          <w:rFonts w:ascii="Times New Roman" w:eastAsia="Calibri" w:hAnsi="Times New Roman" w:cs="Times New Roman"/>
          <w:kern w:val="24"/>
          <w:sz w:val="14"/>
          <w:szCs w:val="16"/>
          <w:lang w:eastAsia="de-DE"/>
        </w:rPr>
      </w:pPr>
      <w:r w:rsidRPr="00BF26C8">
        <w:rPr>
          <w:rFonts w:ascii="Times New Roman" w:eastAsia="Calibri" w:hAnsi="Times New Roman" w:cs="Times New Roman"/>
          <w:kern w:val="24"/>
          <w:sz w:val="14"/>
          <w:szCs w:val="16"/>
          <w:lang w:eastAsia="de-DE"/>
        </w:rPr>
        <w:t xml:space="preserve">c. </w:t>
      </w:r>
      <w:proofErr w:type="spellStart"/>
      <w:r w:rsidRPr="00BF26C8">
        <w:rPr>
          <w:rFonts w:ascii="Times New Roman" w:eastAsia="Calibri" w:hAnsi="Times New Roman" w:cs="Times New Roman"/>
          <w:kern w:val="24"/>
          <w:sz w:val="14"/>
          <w:szCs w:val="16"/>
          <w:lang w:eastAsia="de-DE"/>
        </w:rPr>
        <w:t>Sulaimani</w:t>
      </w:r>
      <w:proofErr w:type="spellEnd"/>
      <w:r w:rsidRPr="00BF26C8">
        <w:rPr>
          <w:rFonts w:ascii="Times New Roman" w:eastAsia="Calibri" w:hAnsi="Times New Roman" w:cs="Times New Roman"/>
          <w:kern w:val="24"/>
          <w:sz w:val="14"/>
          <w:szCs w:val="16"/>
          <w:lang w:eastAsia="de-DE"/>
        </w:rPr>
        <w:t xml:space="preserve"> City ring road </w:t>
      </w:r>
    </w:p>
    <w:p w14:paraId="6D9C0E28" w14:textId="77777777" w:rsidR="00162096" w:rsidRPr="00BF26C8" w:rsidRDefault="00162096" w:rsidP="004517A8"/>
    <w:p w14:paraId="6D9C0E29" w14:textId="77777777" w:rsidR="0002272E" w:rsidRPr="00BF26C8" w:rsidRDefault="0002272E" w:rsidP="004517A8"/>
    <w:p w14:paraId="6D9C0E2A" w14:textId="77777777" w:rsidR="006067E9" w:rsidRPr="00BF26C8" w:rsidRDefault="006067E9" w:rsidP="004517A8"/>
    <w:p w14:paraId="6D9C0E2B" w14:textId="77777777" w:rsidR="004517A8" w:rsidRPr="00BF26C8" w:rsidRDefault="004517A8" w:rsidP="004517A8"/>
    <w:p w14:paraId="6D9C0E2C" w14:textId="77777777" w:rsidR="004517A8" w:rsidRPr="00BF26C8" w:rsidRDefault="00EC0192" w:rsidP="0002272E">
      <w:pPr>
        <w:spacing w:after="0" w:line="360" w:lineRule="auto"/>
        <w:outlineLvl w:val="0"/>
        <w:rPr>
          <w:rFonts w:ascii="Times New Roman" w:hAnsi="Times New Roman" w:cs="Times New Roman"/>
          <w:sz w:val="20"/>
        </w:rPr>
      </w:pPr>
      <w:r w:rsidRPr="00BF26C8">
        <w:rPr>
          <w:rFonts w:ascii="Times New Roman" w:hAnsi="Times New Roman" w:cs="Times New Roman"/>
          <w:b/>
          <w:sz w:val="20"/>
        </w:rPr>
        <w:t>Table S</w:t>
      </w:r>
      <w:r w:rsidR="0002272E" w:rsidRPr="00BF26C8">
        <w:rPr>
          <w:rFonts w:ascii="Times New Roman" w:hAnsi="Times New Roman" w:cs="Times New Roman"/>
          <w:b/>
          <w:sz w:val="20"/>
        </w:rPr>
        <w:t>2</w:t>
      </w:r>
      <w:r w:rsidR="00C15FF3" w:rsidRPr="00BF26C8">
        <w:rPr>
          <w:rFonts w:ascii="Times New Roman" w:hAnsi="Times New Roman" w:cs="Times New Roman"/>
          <w:b/>
          <w:sz w:val="20"/>
        </w:rPr>
        <w:t xml:space="preserve">. </w:t>
      </w:r>
      <w:r w:rsidR="004517A8" w:rsidRPr="00BF26C8">
        <w:rPr>
          <w:rFonts w:ascii="Times New Roman" w:hAnsi="Times New Roman" w:cs="Times New Roman"/>
          <w:sz w:val="20"/>
        </w:rPr>
        <w:t>Qualitative ranking of bulk mineralogical contents in</w:t>
      </w:r>
      <w:r w:rsidR="004517A8" w:rsidRPr="00BF26C8">
        <w:rPr>
          <w:rFonts w:ascii="Times New Roman" w:hAnsi="Times New Roman" w:cs="Times New Roman"/>
          <w:sz w:val="20"/>
          <w:vertAlign w:val="subscript"/>
        </w:rPr>
        <w:t xml:space="preserve"> </w:t>
      </w:r>
      <w:r w:rsidR="004517A8" w:rsidRPr="00BF26C8">
        <w:rPr>
          <w:rFonts w:ascii="Times New Roman" w:hAnsi="Times New Roman" w:cs="Times New Roman"/>
          <w:sz w:val="20"/>
        </w:rPr>
        <w:t>dust samples obtained by XRD</w:t>
      </w:r>
    </w:p>
    <w:p w14:paraId="0D8E5B4C" w14:textId="77777777" w:rsidR="006C2550" w:rsidRPr="00BF26C8" w:rsidRDefault="006C2550" w:rsidP="0002272E">
      <w:pPr>
        <w:spacing w:after="0" w:line="360" w:lineRule="auto"/>
        <w:outlineLvl w:val="0"/>
        <w:rPr>
          <w:rFonts w:ascii="Times New Roman" w:hAnsi="Times New Roman" w:cs="Times New Roman"/>
          <w:sz w:val="20"/>
        </w:rPr>
      </w:pPr>
    </w:p>
    <w:tbl>
      <w:tblPr>
        <w:tblStyle w:val="TableGridLight2"/>
        <w:tblW w:w="76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3008"/>
        <w:gridCol w:w="992"/>
        <w:gridCol w:w="2764"/>
      </w:tblGrid>
      <w:tr w:rsidR="00BF26C8" w:rsidRPr="00BF26C8" w14:paraId="6D9C0E31" w14:textId="77777777" w:rsidTr="00187D8B">
        <w:trPr>
          <w:trHeight w:val="283"/>
          <w:jc w:val="center"/>
        </w:trPr>
        <w:tc>
          <w:tcPr>
            <w:tcW w:w="928" w:type="dxa"/>
            <w:tcBorders>
              <w:top w:val="single" w:sz="4" w:space="0" w:color="auto"/>
              <w:bottom w:val="single" w:sz="4" w:space="0" w:color="auto"/>
              <w:right w:val="single" w:sz="4" w:space="0" w:color="auto"/>
            </w:tcBorders>
            <w:noWrap/>
            <w:vAlign w:val="center"/>
          </w:tcPr>
          <w:p w14:paraId="6D9C0E2D" w14:textId="77777777" w:rsidR="004517A8" w:rsidRPr="00BF26C8" w:rsidRDefault="004517A8" w:rsidP="004517A8">
            <w:pPr>
              <w:jc w:val="center"/>
              <w:rPr>
                <w:rFonts w:ascii="Times New Roman" w:eastAsia="Times New Roman" w:hAnsi="Times New Roman" w:cs="Times New Roman"/>
                <w:b/>
                <w:bCs/>
                <w:sz w:val="16"/>
                <w:szCs w:val="20"/>
                <w:lang w:val="en-GB" w:eastAsia="en-GB"/>
              </w:rPr>
            </w:pPr>
            <w:r w:rsidRPr="00BF26C8">
              <w:rPr>
                <w:rFonts w:ascii="Times New Roman" w:eastAsia="Times New Roman" w:hAnsi="Times New Roman" w:cs="Times New Roman"/>
                <w:b/>
                <w:bCs/>
                <w:sz w:val="16"/>
                <w:szCs w:val="20"/>
                <w:lang w:val="en-GB" w:eastAsia="en-GB"/>
              </w:rPr>
              <w:t>Method</w:t>
            </w:r>
          </w:p>
        </w:tc>
        <w:tc>
          <w:tcPr>
            <w:tcW w:w="3008" w:type="dxa"/>
            <w:tcBorders>
              <w:top w:val="single" w:sz="4" w:space="0" w:color="auto"/>
              <w:left w:val="single" w:sz="4" w:space="0" w:color="auto"/>
              <w:bottom w:val="single" w:sz="4" w:space="0" w:color="auto"/>
              <w:right w:val="single" w:sz="4" w:space="0" w:color="auto"/>
            </w:tcBorders>
            <w:noWrap/>
            <w:vAlign w:val="center"/>
          </w:tcPr>
          <w:p w14:paraId="6D9C0E2E" w14:textId="77777777" w:rsidR="004517A8" w:rsidRPr="00BF26C8" w:rsidRDefault="004517A8" w:rsidP="004517A8">
            <w:pPr>
              <w:jc w:val="center"/>
              <w:rPr>
                <w:rFonts w:ascii="Times New Roman" w:hAnsi="Times New Roman" w:cs="Times New Roman"/>
                <w:b/>
                <w:bCs/>
                <w:sz w:val="16"/>
                <w:szCs w:val="20"/>
                <w:lang w:val="en-GB"/>
              </w:rPr>
            </w:pPr>
            <w:proofErr w:type="spellStart"/>
            <w:r w:rsidRPr="00BF26C8">
              <w:rPr>
                <w:rFonts w:ascii="Times New Roman" w:hAnsi="Times New Roman" w:cs="Times New Roman"/>
                <w:b/>
                <w:bCs/>
                <w:sz w:val="16"/>
                <w:szCs w:val="20"/>
                <w:lang w:val="en-GB"/>
              </w:rPr>
              <w:t>RurSu</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tcPr>
          <w:p w14:paraId="6D9C0E2F" w14:textId="77777777" w:rsidR="004517A8" w:rsidRPr="00BF26C8" w:rsidRDefault="004517A8" w:rsidP="004517A8">
            <w:pPr>
              <w:jc w:val="center"/>
              <w:rPr>
                <w:rFonts w:ascii="Times New Roman" w:hAnsi="Times New Roman" w:cs="Times New Roman"/>
                <w:b/>
                <w:bCs/>
                <w:sz w:val="16"/>
                <w:szCs w:val="20"/>
                <w:lang w:val="en-GB"/>
              </w:rPr>
            </w:pPr>
            <w:proofErr w:type="spellStart"/>
            <w:r w:rsidRPr="00BF26C8">
              <w:rPr>
                <w:rFonts w:ascii="Times New Roman" w:hAnsi="Times New Roman" w:cs="Times New Roman"/>
                <w:b/>
                <w:bCs/>
                <w:sz w:val="16"/>
                <w:szCs w:val="20"/>
                <w:lang w:val="en-GB"/>
              </w:rPr>
              <w:t>IndSu</w:t>
            </w:r>
            <w:proofErr w:type="spellEnd"/>
          </w:p>
        </w:tc>
        <w:tc>
          <w:tcPr>
            <w:tcW w:w="2764" w:type="dxa"/>
            <w:tcBorders>
              <w:top w:val="single" w:sz="4" w:space="0" w:color="auto"/>
              <w:left w:val="single" w:sz="4" w:space="0" w:color="auto"/>
              <w:bottom w:val="single" w:sz="4" w:space="0" w:color="auto"/>
            </w:tcBorders>
            <w:vAlign w:val="center"/>
          </w:tcPr>
          <w:p w14:paraId="6D9C0E30" w14:textId="77777777" w:rsidR="004517A8" w:rsidRPr="00BF26C8" w:rsidRDefault="004517A8" w:rsidP="004517A8">
            <w:pPr>
              <w:jc w:val="center"/>
              <w:rPr>
                <w:rFonts w:ascii="Times New Roman" w:hAnsi="Times New Roman" w:cs="Times New Roman"/>
                <w:b/>
                <w:bCs/>
                <w:sz w:val="16"/>
                <w:szCs w:val="20"/>
                <w:lang w:val="en-GB"/>
              </w:rPr>
            </w:pPr>
            <w:proofErr w:type="spellStart"/>
            <w:r w:rsidRPr="00BF26C8">
              <w:rPr>
                <w:rFonts w:ascii="Times New Roman" w:hAnsi="Times New Roman" w:cs="Times New Roman"/>
                <w:b/>
                <w:bCs/>
                <w:sz w:val="16"/>
                <w:szCs w:val="20"/>
                <w:lang w:val="en-GB"/>
              </w:rPr>
              <w:t>UrbSu</w:t>
            </w:r>
            <w:proofErr w:type="spellEnd"/>
          </w:p>
        </w:tc>
      </w:tr>
      <w:tr w:rsidR="004517A8" w:rsidRPr="00BF26C8" w14:paraId="6D9C0E36" w14:textId="77777777" w:rsidTr="00187D8B">
        <w:trPr>
          <w:trHeight w:val="454"/>
          <w:jc w:val="center"/>
        </w:trPr>
        <w:tc>
          <w:tcPr>
            <w:tcW w:w="928" w:type="dxa"/>
            <w:tcBorders>
              <w:top w:val="single" w:sz="4" w:space="0" w:color="auto"/>
              <w:bottom w:val="single" w:sz="4" w:space="0" w:color="auto"/>
              <w:right w:val="single" w:sz="4" w:space="0" w:color="auto"/>
            </w:tcBorders>
            <w:noWrap/>
            <w:vAlign w:val="center"/>
          </w:tcPr>
          <w:p w14:paraId="6D9C0E32" w14:textId="77777777" w:rsidR="004517A8" w:rsidRPr="00BF26C8" w:rsidRDefault="004517A8" w:rsidP="004517A8">
            <w:pPr>
              <w:jc w:val="center"/>
              <w:rPr>
                <w:rFonts w:ascii="Times New Roman" w:eastAsia="Times New Roman" w:hAnsi="Times New Roman" w:cs="Times New Roman"/>
                <w:sz w:val="16"/>
                <w:szCs w:val="20"/>
                <w:lang w:val="en-GB" w:eastAsia="en-GB"/>
              </w:rPr>
            </w:pPr>
            <w:r w:rsidRPr="00BF26C8">
              <w:rPr>
                <w:rFonts w:ascii="Times New Roman" w:eastAsia="Times New Roman" w:hAnsi="Times New Roman" w:cs="Times New Roman"/>
                <w:sz w:val="16"/>
                <w:szCs w:val="20"/>
                <w:lang w:val="en-GB" w:eastAsia="en-GB"/>
              </w:rPr>
              <w:t>XRD</w:t>
            </w:r>
          </w:p>
        </w:tc>
        <w:tc>
          <w:tcPr>
            <w:tcW w:w="3008" w:type="dxa"/>
            <w:tcBorders>
              <w:top w:val="single" w:sz="4" w:space="0" w:color="auto"/>
              <w:left w:val="single" w:sz="4" w:space="0" w:color="auto"/>
              <w:bottom w:val="single" w:sz="4" w:space="0" w:color="auto"/>
              <w:right w:val="single" w:sz="4" w:space="0" w:color="auto"/>
            </w:tcBorders>
            <w:noWrap/>
            <w:vAlign w:val="center"/>
          </w:tcPr>
          <w:p w14:paraId="6D9C0E33" w14:textId="77777777" w:rsidR="004517A8" w:rsidRPr="00BF26C8" w:rsidRDefault="004517A8" w:rsidP="004517A8">
            <w:pPr>
              <w:jc w:val="center"/>
              <w:rPr>
                <w:rFonts w:ascii="Times New Roman" w:eastAsia="Times New Roman" w:hAnsi="Times New Roman" w:cs="Times New Roman"/>
                <w:sz w:val="16"/>
                <w:szCs w:val="20"/>
                <w:lang w:val="en-GB" w:eastAsia="en-GB"/>
              </w:rPr>
            </w:pPr>
            <w:r w:rsidRPr="00BF26C8">
              <w:rPr>
                <w:rFonts w:ascii="Times New Roman" w:eastAsia="Times New Roman" w:hAnsi="Times New Roman" w:cs="Times New Roman"/>
                <w:sz w:val="16"/>
                <w:szCs w:val="20"/>
                <w:lang w:val="en-GB" w:eastAsia="en-GB"/>
              </w:rPr>
              <w:t>Quartz &gt; calcite &gt; muscovite &gt; chlorite</w:t>
            </w:r>
          </w:p>
        </w:tc>
        <w:tc>
          <w:tcPr>
            <w:tcW w:w="992" w:type="dxa"/>
            <w:tcBorders>
              <w:top w:val="single" w:sz="4" w:space="0" w:color="auto"/>
              <w:left w:val="single" w:sz="4" w:space="0" w:color="auto"/>
              <w:bottom w:val="single" w:sz="4" w:space="0" w:color="auto"/>
              <w:right w:val="single" w:sz="4" w:space="0" w:color="auto"/>
            </w:tcBorders>
            <w:noWrap/>
            <w:vAlign w:val="center"/>
          </w:tcPr>
          <w:p w14:paraId="6D9C0E34" w14:textId="77777777" w:rsidR="004517A8" w:rsidRPr="00BF26C8" w:rsidRDefault="004517A8" w:rsidP="004517A8">
            <w:pPr>
              <w:jc w:val="center"/>
              <w:rPr>
                <w:rFonts w:ascii="Times New Roman" w:eastAsia="Times New Roman" w:hAnsi="Times New Roman" w:cs="Times New Roman"/>
                <w:sz w:val="16"/>
                <w:szCs w:val="20"/>
                <w:lang w:val="en-GB" w:eastAsia="en-GB"/>
              </w:rPr>
            </w:pPr>
            <w:r w:rsidRPr="00BF26C8">
              <w:rPr>
                <w:rFonts w:ascii="Times New Roman" w:eastAsia="Times New Roman" w:hAnsi="Times New Roman" w:cs="Times New Roman"/>
                <w:sz w:val="16"/>
                <w:szCs w:val="20"/>
                <w:lang w:val="en-GB" w:eastAsia="en-GB"/>
              </w:rPr>
              <w:t xml:space="preserve">not tested </w:t>
            </w:r>
            <w:r w:rsidRPr="00BF26C8">
              <w:rPr>
                <w:rFonts w:ascii="Times New Roman" w:eastAsia="Times New Roman" w:hAnsi="Times New Roman" w:cs="Times New Roman"/>
                <w:sz w:val="16"/>
                <w:szCs w:val="20"/>
                <w:vertAlign w:val="superscript"/>
                <w:lang w:val="en-GB" w:eastAsia="en-GB"/>
              </w:rPr>
              <w:t>a</w:t>
            </w:r>
          </w:p>
        </w:tc>
        <w:tc>
          <w:tcPr>
            <w:tcW w:w="2764" w:type="dxa"/>
            <w:tcBorders>
              <w:top w:val="single" w:sz="4" w:space="0" w:color="auto"/>
              <w:left w:val="single" w:sz="4" w:space="0" w:color="auto"/>
              <w:bottom w:val="single" w:sz="4" w:space="0" w:color="auto"/>
            </w:tcBorders>
            <w:vAlign w:val="center"/>
          </w:tcPr>
          <w:p w14:paraId="6D9C0E35" w14:textId="77777777" w:rsidR="004517A8" w:rsidRPr="00BF26C8" w:rsidRDefault="004517A8" w:rsidP="004517A8">
            <w:pPr>
              <w:jc w:val="center"/>
              <w:rPr>
                <w:rFonts w:ascii="Times New Roman" w:eastAsia="Times New Roman" w:hAnsi="Times New Roman" w:cs="Times New Roman"/>
                <w:sz w:val="16"/>
                <w:szCs w:val="20"/>
                <w:lang w:val="en-GB" w:eastAsia="en-GB"/>
              </w:rPr>
            </w:pPr>
            <w:r w:rsidRPr="00BF26C8">
              <w:rPr>
                <w:rFonts w:ascii="Times New Roman" w:eastAsia="Times New Roman" w:hAnsi="Times New Roman" w:cs="Times New Roman"/>
                <w:sz w:val="16"/>
                <w:szCs w:val="20"/>
                <w:lang w:val="en-GB" w:eastAsia="en-GB"/>
              </w:rPr>
              <w:t>Quartz &gt; muscovite &gt; calcite &gt; chlorite</w:t>
            </w:r>
          </w:p>
        </w:tc>
      </w:tr>
    </w:tbl>
    <w:p w14:paraId="6D9C0E37" w14:textId="77777777" w:rsidR="00162096" w:rsidRPr="00BF26C8" w:rsidRDefault="00162096" w:rsidP="00FD0507">
      <w:pPr>
        <w:spacing w:after="0"/>
        <w:ind w:firstLine="720"/>
        <w:rPr>
          <w:rFonts w:ascii="Times New Roman" w:eastAsia="Calibri" w:hAnsi="Times New Roman" w:cs="Times New Roman"/>
          <w:kern w:val="24"/>
          <w:sz w:val="14"/>
          <w:szCs w:val="16"/>
          <w:lang w:eastAsia="de-DE"/>
        </w:rPr>
      </w:pPr>
    </w:p>
    <w:p w14:paraId="6D9C0E38" w14:textId="77777777" w:rsidR="004517A8" w:rsidRPr="00BF26C8" w:rsidRDefault="004517A8" w:rsidP="00FD0507">
      <w:pPr>
        <w:spacing w:after="0"/>
        <w:ind w:firstLine="720"/>
        <w:rPr>
          <w:rFonts w:ascii="Times New Roman" w:eastAsia="Calibri" w:hAnsi="Times New Roman" w:cs="Times New Roman"/>
          <w:kern w:val="24"/>
          <w:sz w:val="16"/>
          <w:szCs w:val="16"/>
          <w:lang w:eastAsia="de-DE"/>
        </w:rPr>
      </w:pPr>
      <w:r w:rsidRPr="00BF26C8">
        <w:rPr>
          <w:rFonts w:ascii="Times New Roman" w:eastAsia="Calibri" w:hAnsi="Times New Roman" w:cs="Times New Roman"/>
          <w:kern w:val="24"/>
          <w:sz w:val="14"/>
          <w:szCs w:val="16"/>
          <w:lang w:eastAsia="de-DE"/>
        </w:rPr>
        <w:t xml:space="preserve">a. Dust sample </w:t>
      </w:r>
      <w:proofErr w:type="spellStart"/>
      <w:r w:rsidRPr="00BF26C8">
        <w:rPr>
          <w:rFonts w:ascii="Times New Roman" w:eastAsia="Calibri" w:hAnsi="Times New Roman" w:cs="Times New Roman"/>
          <w:kern w:val="24"/>
          <w:sz w:val="14"/>
          <w:szCs w:val="16"/>
          <w:lang w:eastAsia="de-DE"/>
        </w:rPr>
        <w:t>IndSu</w:t>
      </w:r>
      <w:proofErr w:type="spellEnd"/>
      <w:r w:rsidRPr="00BF26C8">
        <w:rPr>
          <w:rFonts w:ascii="Times New Roman" w:eastAsia="Calibri" w:hAnsi="Times New Roman" w:cs="Times New Roman"/>
          <w:kern w:val="24"/>
          <w:sz w:val="14"/>
          <w:szCs w:val="16"/>
          <w:lang w:eastAsia="de-DE"/>
        </w:rPr>
        <w:t xml:space="preserve"> could not be analyzed</w:t>
      </w:r>
      <w:r w:rsidR="004B575F" w:rsidRPr="00BF26C8">
        <w:rPr>
          <w:rFonts w:ascii="Times New Roman" w:eastAsia="Calibri" w:hAnsi="Times New Roman" w:cs="Times New Roman"/>
          <w:kern w:val="24"/>
          <w:sz w:val="14"/>
          <w:szCs w:val="16"/>
          <w:lang w:eastAsia="de-DE"/>
        </w:rPr>
        <w:t xml:space="preserve"> </w:t>
      </w:r>
      <w:r w:rsidRPr="00BF26C8">
        <w:rPr>
          <w:rFonts w:ascii="Times New Roman" w:eastAsia="Calibri" w:hAnsi="Times New Roman" w:cs="Times New Roman"/>
          <w:kern w:val="24"/>
          <w:sz w:val="14"/>
          <w:szCs w:val="16"/>
          <w:lang w:eastAsia="de-DE"/>
        </w:rPr>
        <w:t xml:space="preserve">by XRD because of insufficient sample material </w:t>
      </w:r>
    </w:p>
    <w:p w14:paraId="6D9C0E39" w14:textId="77777777" w:rsidR="009836BB" w:rsidRPr="00BF26C8" w:rsidRDefault="009836BB" w:rsidP="009836BB">
      <w:pPr>
        <w:rPr>
          <w:rFonts w:ascii="Calibri" w:eastAsia="Calibri" w:hAnsi="Calibri" w:cs="Times New Roman"/>
        </w:rPr>
      </w:pPr>
    </w:p>
    <w:p w14:paraId="6D9C0E3A" w14:textId="77777777" w:rsidR="0002272E" w:rsidRPr="00BF26C8" w:rsidRDefault="0002272E" w:rsidP="009836BB">
      <w:pPr>
        <w:rPr>
          <w:rFonts w:ascii="Calibri" w:eastAsia="Calibri" w:hAnsi="Calibri" w:cs="Times New Roman"/>
        </w:rPr>
      </w:pPr>
    </w:p>
    <w:p w14:paraId="6D9C0E3B" w14:textId="77777777" w:rsidR="006067E9" w:rsidRPr="00BF26C8" w:rsidRDefault="006067E9" w:rsidP="009836BB">
      <w:pPr>
        <w:rPr>
          <w:rFonts w:ascii="Calibri" w:eastAsia="Calibri" w:hAnsi="Calibri" w:cs="Times New Roman"/>
        </w:rPr>
      </w:pPr>
    </w:p>
    <w:p w14:paraId="6D9C0E3C" w14:textId="77777777" w:rsidR="0002272E" w:rsidRPr="00BF26C8" w:rsidRDefault="0002272E" w:rsidP="009836BB">
      <w:pPr>
        <w:rPr>
          <w:rFonts w:ascii="Calibri" w:eastAsia="Calibri" w:hAnsi="Calibri" w:cs="Times New Roman"/>
        </w:rPr>
      </w:pPr>
    </w:p>
    <w:p w14:paraId="6D9C0E3D" w14:textId="77777777" w:rsidR="009836BB" w:rsidRPr="00BF26C8" w:rsidRDefault="00EC0192" w:rsidP="0002272E">
      <w:pPr>
        <w:spacing w:after="0" w:line="360" w:lineRule="auto"/>
        <w:outlineLvl w:val="0"/>
        <w:rPr>
          <w:rFonts w:ascii="Times New Roman" w:eastAsia="Calibri" w:hAnsi="Times New Roman" w:cs="Times New Roman"/>
          <w:b/>
          <w:sz w:val="20"/>
        </w:rPr>
      </w:pPr>
      <w:r w:rsidRPr="00BF26C8">
        <w:rPr>
          <w:rFonts w:ascii="Times New Roman" w:eastAsia="Calibri" w:hAnsi="Times New Roman" w:cs="Times New Roman"/>
          <w:b/>
          <w:sz w:val="20"/>
        </w:rPr>
        <w:t>Table S</w:t>
      </w:r>
      <w:r w:rsidR="0002272E" w:rsidRPr="00BF26C8">
        <w:rPr>
          <w:rFonts w:ascii="Times New Roman" w:eastAsia="Calibri" w:hAnsi="Times New Roman" w:cs="Times New Roman"/>
          <w:b/>
          <w:sz w:val="20"/>
        </w:rPr>
        <w:t>3</w:t>
      </w:r>
      <w:r w:rsidR="009836BB" w:rsidRPr="00BF26C8">
        <w:rPr>
          <w:rFonts w:ascii="Times New Roman" w:eastAsia="Calibri" w:hAnsi="Times New Roman" w:cs="Times New Roman"/>
          <w:b/>
          <w:sz w:val="20"/>
        </w:rPr>
        <w:t>.</w:t>
      </w:r>
      <w:r w:rsidR="009836BB" w:rsidRPr="00BF26C8">
        <w:rPr>
          <w:rFonts w:ascii="Times New Roman" w:eastAsia="Calibri" w:hAnsi="Times New Roman" w:cs="Times New Roman"/>
          <w:sz w:val="20"/>
        </w:rPr>
        <w:t xml:space="preserve"> Particle-size characterization of PM</w:t>
      </w:r>
      <w:r w:rsidR="009836BB" w:rsidRPr="00BF26C8">
        <w:rPr>
          <w:rFonts w:ascii="Times New Roman" w:eastAsia="Calibri" w:hAnsi="Times New Roman" w:cs="Times New Roman"/>
          <w:sz w:val="20"/>
          <w:vertAlign w:val="subscript"/>
        </w:rPr>
        <w:t>10</w:t>
      </w:r>
      <w:r w:rsidR="009836BB" w:rsidRPr="00BF26C8">
        <w:rPr>
          <w:rFonts w:ascii="Times New Roman" w:eastAsia="Calibri" w:hAnsi="Times New Roman" w:cs="Times New Roman"/>
          <w:sz w:val="20"/>
        </w:rPr>
        <w:t xml:space="preserve"> samples, nano-SiO</w:t>
      </w:r>
      <w:r w:rsidR="009836BB" w:rsidRPr="00BF26C8">
        <w:rPr>
          <w:rFonts w:ascii="Times New Roman" w:eastAsia="Calibri" w:hAnsi="Times New Roman" w:cs="Times New Roman"/>
          <w:sz w:val="20"/>
          <w:vertAlign w:val="subscript"/>
        </w:rPr>
        <w:t xml:space="preserve">2 </w:t>
      </w:r>
      <w:r w:rsidR="009836BB" w:rsidRPr="00BF26C8">
        <w:rPr>
          <w:rFonts w:ascii="Times New Roman" w:eastAsia="Calibri" w:hAnsi="Times New Roman" w:cs="Times New Roman"/>
          <w:sz w:val="20"/>
        </w:rPr>
        <w:t>and dolomite</w:t>
      </w:r>
      <w:r w:rsidR="009836BB" w:rsidRPr="00BF26C8">
        <w:rPr>
          <w:rFonts w:ascii="Times New Roman" w:eastAsia="Calibri" w:hAnsi="Times New Roman" w:cs="Times New Roman"/>
          <w:b/>
          <w:sz w:val="20"/>
        </w:rPr>
        <w:t xml:space="preserve"> </w:t>
      </w:r>
    </w:p>
    <w:p w14:paraId="6E8CC8C9" w14:textId="77777777" w:rsidR="006C2550" w:rsidRPr="00BF26C8" w:rsidRDefault="006C2550" w:rsidP="0002272E">
      <w:pPr>
        <w:spacing w:after="0" w:line="360" w:lineRule="auto"/>
        <w:outlineLvl w:val="0"/>
        <w:rPr>
          <w:rFonts w:ascii="Times New Roman" w:eastAsia="Calibri" w:hAnsi="Times New Roman" w:cs="Times New Roman"/>
          <w:b/>
          <w:sz w:val="20"/>
        </w:rPr>
      </w:pPr>
    </w:p>
    <w:tbl>
      <w:tblPr>
        <w:tblpPr w:leftFromText="180" w:rightFromText="180" w:bottomFromText="200" w:vertAnchor="text" w:tblpXSpec="center" w:tblpY="1"/>
        <w:tblW w:w="8760" w:type="dxa"/>
        <w:tblBorders>
          <w:top w:val="single" w:sz="8" w:space="0" w:color="000000"/>
          <w:bottom w:val="single" w:sz="8" w:space="0" w:color="000000"/>
        </w:tblBorders>
        <w:tblLayout w:type="fixed"/>
        <w:tblLook w:val="04A0" w:firstRow="1" w:lastRow="0" w:firstColumn="1" w:lastColumn="0" w:noHBand="0" w:noVBand="1"/>
      </w:tblPr>
      <w:tblGrid>
        <w:gridCol w:w="817"/>
        <w:gridCol w:w="993"/>
        <w:gridCol w:w="3263"/>
        <w:gridCol w:w="1276"/>
        <w:gridCol w:w="2411"/>
      </w:tblGrid>
      <w:tr w:rsidR="00BF26C8" w:rsidRPr="00BF26C8" w14:paraId="6D9C0E43" w14:textId="77777777" w:rsidTr="00FD0507">
        <w:trPr>
          <w:trHeight w:val="340"/>
        </w:trPr>
        <w:tc>
          <w:tcPr>
            <w:tcW w:w="817" w:type="dxa"/>
            <w:tcBorders>
              <w:top w:val="single" w:sz="4" w:space="0" w:color="auto"/>
              <w:left w:val="nil"/>
              <w:bottom w:val="single" w:sz="4" w:space="0" w:color="auto"/>
              <w:right w:val="single" w:sz="4" w:space="0" w:color="auto"/>
            </w:tcBorders>
            <w:shd w:val="clear" w:color="auto" w:fill="FFFFFF"/>
            <w:vAlign w:val="center"/>
            <w:hideMark/>
          </w:tcPr>
          <w:p w14:paraId="6D9C0E3E" w14:textId="77777777" w:rsidR="009836BB" w:rsidRPr="00BF26C8" w:rsidRDefault="009836BB">
            <w:pPr>
              <w:spacing w:after="0" w:line="240" w:lineRule="auto"/>
              <w:jc w:val="center"/>
              <w:rPr>
                <w:rFonts w:ascii="Times New Roman" w:eastAsia="Times New Roman" w:hAnsi="Times New Roman" w:cs="Times New Roman"/>
                <w:b/>
                <w:bCs/>
                <w:sz w:val="16"/>
                <w:szCs w:val="20"/>
                <w:lang w:eastAsia="it-IT"/>
              </w:rPr>
            </w:pPr>
            <w:r w:rsidRPr="00BF26C8">
              <w:rPr>
                <w:rFonts w:ascii="Times New Roman" w:eastAsia="Times New Roman" w:hAnsi="Times New Roman" w:cs="Times New Roman"/>
                <w:b/>
                <w:bCs/>
                <w:sz w:val="16"/>
                <w:szCs w:val="20"/>
                <w:lang w:eastAsia="it-IT"/>
              </w:rPr>
              <w:t>Sample</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14:paraId="6D9C0E3F" w14:textId="77777777" w:rsidR="009836BB" w:rsidRPr="00BF26C8" w:rsidRDefault="009836BB">
            <w:pPr>
              <w:spacing w:after="0" w:line="240" w:lineRule="auto"/>
              <w:jc w:val="center"/>
              <w:rPr>
                <w:rFonts w:ascii="Times New Roman" w:eastAsia="Times New Roman" w:hAnsi="Times New Roman" w:cs="Times New Roman"/>
                <w:b/>
                <w:bCs/>
                <w:sz w:val="16"/>
                <w:szCs w:val="20"/>
                <w:lang w:eastAsia="it-IT"/>
              </w:rPr>
            </w:pPr>
            <w:r w:rsidRPr="00BF26C8">
              <w:rPr>
                <w:rFonts w:ascii="Times New Roman" w:eastAsia="Times New Roman" w:hAnsi="Times New Roman" w:cs="Times New Roman"/>
                <w:b/>
                <w:bCs/>
                <w:sz w:val="16"/>
                <w:szCs w:val="20"/>
                <w:lang w:eastAsia="it-IT"/>
              </w:rPr>
              <w:t xml:space="preserve">Size [µm] </w:t>
            </w:r>
            <w:r w:rsidRPr="00BF26C8">
              <w:rPr>
                <w:rFonts w:ascii="Times New Roman" w:eastAsia="Times New Roman" w:hAnsi="Times New Roman" w:cs="Times New Roman"/>
                <w:b/>
                <w:bCs/>
                <w:sz w:val="16"/>
                <w:szCs w:val="20"/>
                <w:vertAlign w:val="superscript"/>
                <w:lang w:eastAsia="it-IT"/>
              </w:rPr>
              <w:t>a</w:t>
            </w:r>
          </w:p>
        </w:tc>
        <w:tc>
          <w:tcPr>
            <w:tcW w:w="3261" w:type="dxa"/>
            <w:tcBorders>
              <w:top w:val="single" w:sz="4" w:space="0" w:color="auto"/>
              <w:left w:val="nil"/>
              <w:bottom w:val="single" w:sz="4" w:space="0" w:color="auto"/>
              <w:right w:val="nil"/>
            </w:tcBorders>
            <w:shd w:val="clear" w:color="auto" w:fill="FFFFFF"/>
            <w:vAlign w:val="center"/>
            <w:hideMark/>
          </w:tcPr>
          <w:p w14:paraId="6D9C0E40" w14:textId="77777777" w:rsidR="009836BB" w:rsidRPr="00BF26C8" w:rsidRDefault="009836BB">
            <w:pPr>
              <w:spacing w:after="0" w:line="240" w:lineRule="auto"/>
              <w:jc w:val="center"/>
              <w:rPr>
                <w:rFonts w:ascii="Times New Roman" w:eastAsia="Times New Roman" w:hAnsi="Times New Roman" w:cs="Times New Roman"/>
                <w:b/>
                <w:bCs/>
                <w:sz w:val="16"/>
                <w:szCs w:val="20"/>
                <w:lang w:eastAsia="it-IT"/>
              </w:rPr>
            </w:pPr>
            <w:r w:rsidRPr="00BF26C8">
              <w:rPr>
                <w:rFonts w:ascii="Times New Roman" w:eastAsia="Times New Roman" w:hAnsi="Times New Roman" w:cs="Times New Roman"/>
                <w:b/>
                <w:bCs/>
                <w:sz w:val="16"/>
                <w:szCs w:val="20"/>
                <w:lang w:eastAsia="it-IT"/>
              </w:rPr>
              <w:t xml:space="preserve">maxima in the distribution spectrum [µm] </w:t>
            </w:r>
            <w:r w:rsidRPr="00BF26C8">
              <w:rPr>
                <w:rFonts w:ascii="Times New Roman" w:eastAsia="Times New Roman" w:hAnsi="Times New Roman" w:cs="Times New Roman"/>
                <w:b/>
                <w:bCs/>
                <w:sz w:val="16"/>
                <w:szCs w:val="20"/>
                <w:vertAlign w:val="superscript"/>
                <w:lang w:eastAsia="it-IT"/>
              </w:rPr>
              <w:t>b</w:t>
            </w:r>
          </w:p>
        </w:tc>
        <w:tc>
          <w:tcPr>
            <w:tcW w:w="1275" w:type="dxa"/>
            <w:tcBorders>
              <w:top w:val="single" w:sz="4" w:space="0" w:color="auto"/>
              <w:left w:val="nil"/>
              <w:bottom w:val="single" w:sz="4" w:space="0" w:color="auto"/>
              <w:right w:val="nil"/>
            </w:tcBorders>
            <w:shd w:val="clear" w:color="auto" w:fill="FFFFFF"/>
            <w:vAlign w:val="center"/>
            <w:hideMark/>
          </w:tcPr>
          <w:p w14:paraId="6D9C0E41" w14:textId="77777777" w:rsidR="009836BB" w:rsidRPr="00BF26C8" w:rsidRDefault="009836BB">
            <w:pPr>
              <w:spacing w:after="0" w:line="240" w:lineRule="auto"/>
              <w:jc w:val="center"/>
              <w:rPr>
                <w:rFonts w:ascii="Times New Roman" w:eastAsia="Times New Roman" w:hAnsi="Times New Roman" w:cs="Times New Roman"/>
                <w:b/>
                <w:bCs/>
                <w:sz w:val="16"/>
                <w:szCs w:val="20"/>
                <w:vertAlign w:val="superscript"/>
                <w:lang w:eastAsia="it-IT"/>
              </w:rPr>
            </w:pPr>
            <w:r w:rsidRPr="00BF26C8">
              <w:rPr>
                <w:rFonts w:ascii="Times New Roman" w:eastAsia="Times New Roman" w:hAnsi="Times New Roman" w:cs="Times New Roman"/>
                <w:b/>
                <w:bCs/>
                <w:sz w:val="16"/>
                <w:szCs w:val="20"/>
                <w:lang w:eastAsia="it-IT"/>
              </w:rPr>
              <w:t>PM size</w:t>
            </w:r>
            <w:r w:rsidRPr="00BF26C8">
              <w:rPr>
                <w:rFonts w:ascii="Times New Roman" w:eastAsia="Times New Roman" w:hAnsi="Times New Roman" w:cs="Times New Roman"/>
                <w:b/>
                <w:bCs/>
                <w:i/>
                <w:sz w:val="16"/>
                <w:szCs w:val="20"/>
                <w:lang w:eastAsia="it-IT"/>
              </w:rPr>
              <w:t xml:space="preserve"> </w:t>
            </w:r>
            <w:r w:rsidRPr="00BF26C8">
              <w:rPr>
                <w:rFonts w:ascii="Times New Roman" w:eastAsia="Times New Roman" w:hAnsi="Times New Roman" w:cs="Times New Roman"/>
                <w:b/>
                <w:bCs/>
                <w:sz w:val="16"/>
                <w:szCs w:val="20"/>
                <w:lang w:eastAsia="it-IT"/>
              </w:rPr>
              <w:t>[µm]</w:t>
            </w:r>
            <w:r w:rsidRPr="00BF26C8">
              <w:rPr>
                <w:rFonts w:ascii="Times New Roman" w:eastAsia="Times New Roman" w:hAnsi="Times New Roman" w:cs="Times New Roman"/>
                <w:b/>
                <w:bCs/>
                <w:i/>
                <w:sz w:val="16"/>
                <w:szCs w:val="20"/>
                <w:vertAlign w:val="superscript"/>
                <w:lang w:eastAsia="it-IT"/>
              </w:rPr>
              <w:t xml:space="preserve"> </w:t>
            </w:r>
            <w:r w:rsidRPr="00BF26C8">
              <w:rPr>
                <w:rFonts w:ascii="Times New Roman" w:eastAsia="Times New Roman" w:hAnsi="Times New Roman" w:cs="Times New Roman"/>
                <w:b/>
                <w:bCs/>
                <w:sz w:val="16"/>
                <w:szCs w:val="20"/>
                <w:vertAlign w:val="superscript"/>
                <w:lang w:eastAsia="it-IT"/>
              </w:rPr>
              <w:t>c</w:t>
            </w:r>
          </w:p>
        </w:tc>
        <w:tc>
          <w:tcPr>
            <w:tcW w:w="2410" w:type="dxa"/>
            <w:tcBorders>
              <w:top w:val="single" w:sz="4" w:space="0" w:color="auto"/>
              <w:left w:val="nil"/>
              <w:bottom w:val="single" w:sz="4" w:space="0" w:color="auto"/>
              <w:right w:val="nil"/>
            </w:tcBorders>
            <w:shd w:val="clear" w:color="auto" w:fill="FFFFFF"/>
            <w:vAlign w:val="center"/>
            <w:hideMark/>
          </w:tcPr>
          <w:p w14:paraId="6D9C0E42" w14:textId="77777777" w:rsidR="009836BB" w:rsidRPr="00BF26C8" w:rsidRDefault="009836BB">
            <w:pPr>
              <w:spacing w:after="0" w:line="240" w:lineRule="auto"/>
              <w:jc w:val="center"/>
              <w:rPr>
                <w:rFonts w:ascii="Times New Roman" w:eastAsia="Times New Roman" w:hAnsi="Times New Roman" w:cs="Times New Roman"/>
                <w:b/>
                <w:bCs/>
                <w:sz w:val="16"/>
                <w:szCs w:val="20"/>
                <w:lang w:eastAsia="it-IT"/>
              </w:rPr>
            </w:pPr>
            <w:r w:rsidRPr="00BF26C8">
              <w:rPr>
                <w:rFonts w:ascii="Times New Roman" w:eastAsia="Times New Roman" w:hAnsi="Times New Roman" w:cs="Times New Roman"/>
                <w:b/>
                <w:bCs/>
                <w:sz w:val="16"/>
                <w:szCs w:val="20"/>
                <w:lang w:eastAsia="it-IT"/>
              </w:rPr>
              <w:t xml:space="preserve">Zeta potential </w:t>
            </w:r>
            <w:r w:rsidRPr="00BF26C8">
              <w:rPr>
                <w:rFonts w:ascii="Times New Roman" w:eastAsia="Times New Roman" w:hAnsi="Times New Roman" w:cs="Times New Roman"/>
                <w:b/>
                <w:bCs/>
                <w:sz w:val="16"/>
                <w:szCs w:val="20"/>
                <w:vertAlign w:val="superscript"/>
                <w:lang w:eastAsia="it-IT"/>
              </w:rPr>
              <w:t>d</w:t>
            </w:r>
            <w:r w:rsidRPr="00BF26C8">
              <w:rPr>
                <w:rFonts w:ascii="Times New Roman" w:eastAsia="Times New Roman" w:hAnsi="Times New Roman" w:cs="Times New Roman"/>
                <w:b/>
                <w:bCs/>
                <w:sz w:val="16"/>
                <w:szCs w:val="20"/>
                <w:lang w:eastAsia="it-IT"/>
              </w:rPr>
              <w:t xml:space="preserve"> (mV) ± SD</w:t>
            </w:r>
          </w:p>
        </w:tc>
      </w:tr>
      <w:tr w:rsidR="00BF26C8" w:rsidRPr="00BF26C8" w14:paraId="6D9C0E53" w14:textId="77777777" w:rsidTr="00FD0507">
        <w:trPr>
          <w:trHeight w:val="170"/>
        </w:trPr>
        <w:tc>
          <w:tcPr>
            <w:tcW w:w="817" w:type="dxa"/>
            <w:tcBorders>
              <w:top w:val="single" w:sz="4" w:space="0" w:color="auto"/>
              <w:left w:val="nil"/>
              <w:bottom w:val="dotted" w:sz="4" w:space="0" w:color="auto"/>
              <w:right w:val="single" w:sz="4" w:space="0" w:color="auto"/>
            </w:tcBorders>
            <w:shd w:val="clear" w:color="auto" w:fill="FFFFFF"/>
            <w:vAlign w:val="center"/>
            <w:hideMark/>
          </w:tcPr>
          <w:p w14:paraId="6D9C0E44" w14:textId="77777777" w:rsidR="009836BB" w:rsidRPr="00BF26C8" w:rsidRDefault="009836BB">
            <w:pPr>
              <w:spacing w:after="0" w:line="240" w:lineRule="auto"/>
              <w:jc w:val="center"/>
              <w:rPr>
                <w:rFonts w:ascii="Times New Roman" w:eastAsia="Times New Roman" w:hAnsi="Times New Roman" w:cs="Times New Roman"/>
                <w:b/>
                <w:bCs/>
                <w:sz w:val="14"/>
                <w:szCs w:val="20"/>
                <w:vertAlign w:val="superscript"/>
                <w:lang w:eastAsia="it-IT"/>
              </w:rPr>
            </w:pPr>
            <w:proofErr w:type="spellStart"/>
            <w:r w:rsidRPr="00BF26C8">
              <w:rPr>
                <w:rFonts w:ascii="Times New Roman" w:eastAsia="Times New Roman" w:hAnsi="Times New Roman" w:cs="Times New Roman"/>
                <w:sz w:val="14"/>
                <w:szCs w:val="20"/>
                <w:lang w:eastAsia="it-IT"/>
              </w:rPr>
              <w:t>RurSu</w:t>
            </w:r>
            <w:proofErr w:type="spellEnd"/>
          </w:p>
          <w:p w14:paraId="6D9C0E45" w14:textId="77777777" w:rsidR="009836BB" w:rsidRPr="00BF26C8" w:rsidRDefault="009836BB">
            <w:pPr>
              <w:spacing w:after="0" w:line="240" w:lineRule="auto"/>
              <w:jc w:val="center"/>
              <w:rPr>
                <w:rFonts w:ascii="Times New Roman" w:eastAsia="Times New Roman" w:hAnsi="Times New Roman" w:cs="Times New Roman"/>
                <w:b/>
                <w:bCs/>
                <w:sz w:val="14"/>
                <w:szCs w:val="20"/>
                <w:lang w:eastAsia="it-IT"/>
              </w:rPr>
            </w:pPr>
            <w:proofErr w:type="spellStart"/>
            <w:r w:rsidRPr="00BF26C8">
              <w:rPr>
                <w:rFonts w:ascii="Times New Roman" w:eastAsia="Times New Roman" w:hAnsi="Times New Roman" w:cs="Times New Roman"/>
                <w:sz w:val="14"/>
                <w:szCs w:val="20"/>
                <w:lang w:eastAsia="it-IT"/>
              </w:rPr>
              <w:t>IndSu</w:t>
            </w:r>
            <w:proofErr w:type="spellEnd"/>
          </w:p>
          <w:p w14:paraId="6D9C0E46" w14:textId="77777777" w:rsidR="009836BB" w:rsidRPr="00BF26C8" w:rsidRDefault="009836BB">
            <w:pPr>
              <w:spacing w:after="0" w:line="240" w:lineRule="auto"/>
              <w:jc w:val="center"/>
              <w:rPr>
                <w:rFonts w:ascii="Times New Roman" w:eastAsia="Times New Roman" w:hAnsi="Times New Roman" w:cs="Times New Roman"/>
                <w:b/>
                <w:bCs/>
                <w:sz w:val="14"/>
                <w:szCs w:val="20"/>
                <w:vertAlign w:val="superscript"/>
                <w:lang w:eastAsia="it-IT"/>
              </w:rPr>
            </w:pPr>
            <w:proofErr w:type="spellStart"/>
            <w:r w:rsidRPr="00BF26C8">
              <w:rPr>
                <w:rFonts w:ascii="Times New Roman" w:eastAsia="Times New Roman" w:hAnsi="Times New Roman" w:cs="Times New Roman"/>
                <w:sz w:val="14"/>
                <w:szCs w:val="20"/>
                <w:lang w:eastAsia="it-IT"/>
              </w:rPr>
              <w:t>UrbSu</w:t>
            </w:r>
            <w:proofErr w:type="spellEnd"/>
          </w:p>
        </w:tc>
        <w:tc>
          <w:tcPr>
            <w:tcW w:w="992" w:type="dxa"/>
            <w:tcBorders>
              <w:top w:val="single" w:sz="4" w:space="0" w:color="auto"/>
              <w:left w:val="single" w:sz="4" w:space="0" w:color="auto"/>
              <w:bottom w:val="dotted" w:sz="4" w:space="0" w:color="auto"/>
              <w:right w:val="nil"/>
            </w:tcBorders>
            <w:shd w:val="clear" w:color="auto" w:fill="FFFFFF"/>
            <w:vAlign w:val="center"/>
            <w:hideMark/>
          </w:tcPr>
          <w:p w14:paraId="6D9C0E47" w14:textId="77777777" w:rsidR="009836BB" w:rsidRPr="00BF26C8" w:rsidRDefault="009836BB">
            <w:pPr>
              <w:spacing w:after="0" w:line="240" w:lineRule="auto"/>
              <w:jc w:val="center"/>
              <w:rPr>
                <w:rFonts w:ascii="Times New Roman" w:eastAsia="Times New Roman" w:hAnsi="Times New Roman" w:cs="Times New Roman"/>
                <w:sz w:val="14"/>
                <w:szCs w:val="20"/>
                <w:lang w:eastAsia="it-IT"/>
              </w:rPr>
            </w:pPr>
            <w:r w:rsidRPr="00BF26C8">
              <w:rPr>
                <w:rFonts w:ascii="Times New Roman" w:eastAsia="Times New Roman" w:hAnsi="Times New Roman" w:cs="Times New Roman"/>
                <w:sz w:val="14"/>
                <w:szCs w:val="20"/>
                <w:lang w:eastAsia="it-IT"/>
              </w:rPr>
              <w:t>&lt;10</w:t>
            </w:r>
          </w:p>
          <w:p w14:paraId="6D9C0E48" w14:textId="77777777" w:rsidR="009836BB" w:rsidRPr="00BF26C8" w:rsidRDefault="009836BB">
            <w:pPr>
              <w:spacing w:after="0" w:line="240" w:lineRule="auto"/>
              <w:jc w:val="center"/>
              <w:rPr>
                <w:rFonts w:ascii="Times New Roman" w:eastAsia="Times New Roman" w:hAnsi="Times New Roman" w:cs="Times New Roman"/>
                <w:sz w:val="14"/>
                <w:szCs w:val="20"/>
                <w:lang w:eastAsia="it-IT"/>
              </w:rPr>
            </w:pPr>
            <w:r w:rsidRPr="00BF26C8">
              <w:rPr>
                <w:rFonts w:ascii="Times New Roman" w:eastAsia="Times New Roman" w:hAnsi="Times New Roman" w:cs="Times New Roman"/>
                <w:sz w:val="14"/>
                <w:szCs w:val="20"/>
                <w:lang w:eastAsia="it-IT"/>
              </w:rPr>
              <w:t>&lt;10</w:t>
            </w:r>
          </w:p>
          <w:p w14:paraId="6D9C0E49" w14:textId="77777777" w:rsidR="009836BB" w:rsidRPr="00BF26C8" w:rsidRDefault="009836BB">
            <w:pPr>
              <w:spacing w:after="0" w:line="240" w:lineRule="auto"/>
              <w:jc w:val="center"/>
              <w:rPr>
                <w:rFonts w:ascii="Times New Roman" w:eastAsia="Times New Roman" w:hAnsi="Times New Roman" w:cs="Times New Roman"/>
                <w:sz w:val="14"/>
                <w:szCs w:val="20"/>
                <w:lang w:eastAsia="it-IT"/>
              </w:rPr>
            </w:pPr>
            <w:r w:rsidRPr="00BF26C8">
              <w:rPr>
                <w:rFonts w:ascii="Times New Roman" w:eastAsia="Times New Roman" w:hAnsi="Times New Roman" w:cs="Times New Roman"/>
                <w:sz w:val="14"/>
                <w:szCs w:val="20"/>
                <w:lang w:eastAsia="it-IT"/>
              </w:rPr>
              <w:t>&lt;10</w:t>
            </w:r>
          </w:p>
        </w:tc>
        <w:tc>
          <w:tcPr>
            <w:tcW w:w="3261" w:type="dxa"/>
            <w:tcBorders>
              <w:top w:val="single" w:sz="4" w:space="0" w:color="auto"/>
              <w:left w:val="nil"/>
              <w:bottom w:val="dotted" w:sz="4" w:space="0" w:color="auto"/>
              <w:right w:val="nil"/>
            </w:tcBorders>
            <w:shd w:val="clear" w:color="auto" w:fill="FFFFFF"/>
            <w:vAlign w:val="center"/>
            <w:hideMark/>
          </w:tcPr>
          <w:p w14:paraId="6D9C0E4A" w14:textId="77777777" w:rsidR="009836BB" w:rsidRPr="00BF26C8" w:rsidRDefault="009836BB">
            <w:pPr>
              <w:spacing w:after="0" w:line="240" w:lineRule="auto"/>
              <w:jc w:val="center"/>
              <w:rPr>
                <w:rFonts w:ascii="Times New Roman" w:eastAsia="Times New Roman" w:hAnsi="Times New Roman" w:cs="Times New Roman"/>
                <w:sz w:val="14"/>
                <w:szCs w:val="20"/>
                <w:lang w:eastAsia="it-IT"/>
              </w:rPr>
            </w:pPr>
            <w:r w:rsidRPr="00BF26C8">
              <w:rPr>
                <w:rFonts w:ascii="Times New Roman" w:eastAsia="Times New Roman" w:hAnsi="Times New Roman" w:cs="Times New Roman"/>
                <w:sz w:val="14"/>
                <w:szCs w:val="20"/>
                <w:lang w:eastAsia="it-IT"/>
              </w:rPr>
              <w:t>0.22 and 0.74</w:t>
            </w:r>
          </w:p>
          <w:p w14:paraId="6D9C0E4B" w14:textId="77777777" w:rsidR="009836BB" w:rsidRPr="00BF26C8" w:rsidRDefault="009836BB">
            <w:pPr>
              <w:spacing w:after="0" w:line="240" w:lineRule="auto"/>
              <w:jc w:val="center"/>
              <w:rPr>
                <w:rFonts w:ascii="Times New Roman" w:eastAsia="Times New Roman" w:hAnsi="Times New Roman" w:cs="Times New Roman"/>
                <w:sz w:val="14"/>
                <w:szCs w:val="20"/>
                <w:lang w:eastAsia="it-IT"/>
              </w:rPr>
            </w:pPr>
            <w:r w:rsidRPr="00BF26C8">
              <w:rPr>
                <w:rFonts w:ascii="Times New Roman" w:eastAsia="Times New Roman" w:hAnsi="Times New Roman" w:cs="Times New Roman"/>
                <w:sz w:val="14"/>
                <w:szCs w:val="20"/>
                <w:lang w:eastAsia="it-IT"/>
              </w:rPr>
              <w:t>0.48 and 2.18</w:t>
            </w:r>
          </w:p>
          <w:p w14:paraId="6D9C0E4C" w14:textId="77777777" w:rsidR="009836BB" w:rsidRPr="00BF26C8" w:rsidRDefault="009836BB">
            <w:pPr>
              <w:spacing w:after="0" w:line="240" w:lineRule="auto"/>
              <w:jc w:val="center"/>
              <w:rPr>
                <w:rFonts w:ascii="Times New Roman" w:eastAsia="Times New Roman" w:hAnsi="Times New Roman" w:cs="Times New Roman"/>
                <w:sz w:val="14"/>
                <w:szCs w:val="20"/>
                <w:lang w:eastAsia="it-IT"/>
              </w:rPr>
            </w:pPr>
            <w:r w:rsidRPr="00BF26C8">
              <w:rPr>
                <w:rFonts w:ascii="Times New Roman" w:eastAsia="Times New Roman" w:hAnsi="Times New Roman" w:cs="Times New Roman"/>
                <w:sz w:val="14"/>
                <w:szCs w:val="20"/>
                <w:lang w:eastAsia="it-IT"/>
              </w:rPr>
              <w:t>0.31, 1.16 and 1.86</w:t>
            </w:r>
          </w:p>
        </w:tc>
        <w:tc>
          <w:tcPr>
            <w:tcW w:w="1275" w:type="dxa"/>
            <w:tcBorders>
              <w:top w:val="single" w:sz="4" w:space="0" w:color="auto"/>
              <w:left w:val="nil"/>
              <w:bottom w:val="dotted" w:sz="4" w:space="0" w:color="auto"/>
              <w:right w:val="nil"/>
            </w:tcBorders>
            <w:shd w:val="clear" w:color="auto" w:fill="FFFFFF"/>
            <w:vAlign w:val="center"/>
            <w:hideMark/>
          </w:tcPr>
          <w:p w14:paraId="6D9C0E4D" w14:textId="77777777" w:rsidR="009836BB" w:rsidRPr="00BF26C8" w:rsidRDefault="009836BB">
            <w:pPr>
              <w:spacing w:after="0" w:line="240" w:lineRule="auto"/>
              <w:jc w:val="center"/>
              <w:rPr>
                <w:rFonts w:ascii="Times New Roman" w:eastAsia="Times New Roman" w:hAnsi="Times New Roman" w:cs="Times New Roman"/>
                <w:sz w:val="14"/>
                <w:szCs w:val="20"/>
                <w:lang w:eastAsia="it-IT"/>
              </w:rPr>
            </w:pPr>
            <w:r w:rsidRPr="00BF26C8">
              <w:rPr>
                <w:rFonts w:ascii="Times New Roman" w:eastAsia="Times New Roman" w:hAnsi="Times New Roman" w:cs="Times New Roman"/>
                <w:sz w:val="14"/>
                <w:szCs w:val="20"/>
                <w:lang w:eastAsia="it-IT"/>
              </w:rPr>
              <w:t>≈ 1</w:t>
            </w:r>
          </w:p>
          <w:p w14:paraId="6D9C0E4E" w14:textId="77777777" w:rsidR="009836BB" w:rsidRPr="00BF26C8" w:rsidRDefault="009836BB">
            <w:pPr>
              <w:spacing w:after="0" w:line="240" w:lineRule="auto"/>
              <w:jc w:val="center"/>
              <w:rPr>
                <w:rFonts w:ascii="Times New Roman" w:eastAsia="Times New Roman" w:hAnsi="Times New Roman" w:cs="Times New Roman"/>
                <w:sz w:val="14"/>
                <w:szCs w:val="20"/>
                <w:lang w:eastAsia="it-IT"/>
              </w:rPr>
            </w:pPr>
            <w:r w:rsidRPr="00BF26C8">
              <w:rPr>
                <w:rFonts w:ascii="Times New Roman" w:eastAsia="Times New Roman" w:hAnsi="Times New Roman" w:cs="Times New Roman"/>
                <w:sz w:val="14"/>
                <w:szCs w:val="20"/>
                <w:lang w:eastAsia="it-IT"/>
              </w:rPr>
              <w:t>≈ 1</w:t>
            </w:r>
          </w:p>
          <w:p w14:paraId="6D9C0E4F" w14:textId="77777777" w:rsidR="009836BB" w:rsidRPr="00BF26C8" w:rsidRDefault="009836BB">
            <w:pPr>
              <w:spacing w:after="0" w:line="240" w:lineRule="auto"/>
              <w:jc w:val="center"/>
              <w:rPr>
                <w:rFonts w:ascii="Times New Roman" w:eastAsia="Times New Roman" w:hAnsi="Times New Roman" w:cs="Times New Roman"/>
                <w:sz w:val="14"/>
                <w:szCs w:val="20"/>
                <w:lang w:eastAsia="it-IT"/>
              </w:rPr>
            </w:pPr>
            <w:r w:rsidRPr="00BF26C8">
              <w:rPr>
                <w:rFonts w:ascii="Times New Roman" w:eastAsia="Times New Roman" w:hAnsi="Times New Roman" w:cs="Times New Roman"/>
                <w:sz w:val="14"/>
                <w:szCs w:val="20"/>
                <w:lang w:eastAsia="it-IT"/>
              </w:rPr>
              <w:t>≈ 0.2</w:t>
            </w:r>
          </w:p>
        </w:tc>
        <w:tc>
          <w:tcPr>
            <w:tcW w:w="2410" w:type="dxa"/>
            <w:tcBorders>
              <w:top w:val="single" w:sz="4" w:space="0" w:color="auto"/>
              <w:left w:val="nil"/>
              <w:bottom w:val="dotted" w:sz="4" w:space="0" w:color="auto"/>
              <w:right w:val="nil"/>
            </w:tcBorders>
            <w:shd w:val="clear" w:color="auto" w:fill="FFFFFF"/>
            <w:vAlign w:val="center"/>
            <w:hideMark/>
          </w:tcPr>
          <w:p w14:paraId="6D9C0E50" w14:textId="77777777" w:rsidR="009836BB" w:rsidRPr="00BF26C8" w:rsidRDefault="009836BB">
            <w:pPr>
              <w:spacing w:after="0" w:line="240" w:lineRule="auto"/>
              <w:jc w:val="center"/>
              <w:rPr>
                <w:rFonts w:ascii="Times New Roman" w:eastAsia="Times New Roman" w:hAnsi="Times New Roman" w:cs="Times New Roman"/>
                <w:sz w:val="14"/>
                <w:szCs w:val="20"/>
                <w:lang w:eastAsia="it-IT"/>
              </w:rPr>
            </w:pPr>
            <w:r w:rsidRPr="00BF26C8">
              <w:rPr>
                <w:rFonts w:ascii="Times New Roman" w:eastAsia="Times New Roman" w:hAnsi="Times New Roman" w:cs="Times New Roman"/>
                <w:sz w:val="14"/>
                <w:szCs w:val="20"/>
                <w:lang w:eastAsia="it-IT"/>
              </w:rPr>
              <w:t>- 36.78 ± 0.78</w:t>
            </w:r>
          </w:p>
          <w:p w14:paraId="6D9C0E51" w14:textId="77777777" w:rsidR="009836BB" w:rsidRPr="00BF26C8" w:rsidRDefault="009836BB">
            <w:pPr>
              <w:spacing w:after="0" w:line="240" w:lineRule="auto"/>
              <w:jc w:val="center"/>
              <w:rPr>
                <w:rFonts w:ascii="Times New Roman" w:eastAsia="Times New Roman" w:hAnsi="Times New Roman" w:cs="Times New Roman"/>
                <w:sz w:val="14"/>
                <w:szCs w:val="20"/>
                <w:lang w:eastAsia="it-IT"/>
              </w:rPr>
            </w:pPr>
            <w:r w:rsidRPr="00BF26C8">
              <w:rPr>
                <w:rFonts w:ascii="Times New Roman" w:eastAsia="Times New Roman" w:hAnsi="Times New Roman" w:cs="Times New Roman"/>
                <w:sz w:val="14"/>
                <w:szCs w:val="20"/>
                <w:lang w:eastAsia="it-IT"/>
              </w:rPr>
              <w:t>- 41.29 ± 1.34</w:t>
            </w:r>
          </w:p>
          <w:p w14:paraId="6D9C0E52" w14:textId="77777777" w:rsidR="009836BB" w:rsidRPr="00BF26C8" w:rsidRDefault="009836BB">
            <w:pPr>
              <w:spacing w:after="0" w:line="240" w:lineRule="auto"/>
              <w:jc w:val="center"/>
              <w:rPr>
                <w:rFonts w:ascii="Times New Roman" w:eastAsia="Times New Roman" w:hAnsi="Times New Roman" w:cs="Times New Roman"/>
                <w:sz w:val="14"/>
                <w:szCs w:val="20"/>
                <w:lang w:eastAsia="it-IT"/>
              </w:rPr>
            </w:pPr>
            <w:r w:rsidRPr="00BF26C8">
              <w:rPr>
                <w:rFonts w:ascii="Times New Roman" w:eastAsia="Times New Roman" w:hAnsi="Times New Roman" w:cs="Times New Roman"/>
                <w:sz w:val="14"/>
                <w:szCs w:val="20"/>
                <w:lang w:eastAsia="it-IT"/>
              </w:rPr>
              <w:t>- 49.43 ± 1.32</w:t>
            </w:r>
          </w:p>
        </w:tc>
      </w:tr>
      <w:tr w:rsidR="00BF26C8" w:rsidRPr="00BF26C8" w14:paraId="6D9C0E59" w14:textId="77777777" w:rsidTr="00FD0507">
        <w:trPr>
          <w:trHeight w:val="170"/>
        </w:trPr>
        <w:tc>
          <w:tcPr>
            <w:tcW w:w="817" w:type="dxa"/>
            <w:tcBorders>
              <w:top w:val="dotted" w:sz="4" w:space="0" w:color="auto"/>
              <w:left w:val="nil"/>
              <w:bottom w:val="dotted" w:sz="4" w:space="0" w:color="auto"/>
              <w:right w:val="single" w:sz="4" w:space="0" w:color="auto"/>
            </w:tcBorders>
            <w:shd w:val="clear" w:color="auto" w:fill="FFFFFF"/>
            <w:vAlign w:val="center"/>
            <w:hideMark/>
          </w:tcPr>
          <w:p w14:paraId="6D9C0E54" w14:textId="77777777" w:rsidR="009836BB" w:rsidRPr="00BF26C8" w:rsidRDefault="009836BB">
            <w:pPr>
              <w:spacing w:after="0" w:line="240" w:lineRule="auto"/>
              <w:jc w:val="center"/>
              <w:rPr>
                <w:rFonts w:ascii="Times New Roman" w:eastAsia="Times New Roman" w:hAnsi="Times New Roman" w:cs="Times New Roman"/>
                <w:b/>
                <w:bCs/>
                <w:sz w:val="14"/>
                <w:szCs w:val="16"/>
              </w:rPr>
            </w:pPr>
            <w:r w:rsidRPr="00BF26C8">
              <w:rPr>
                <w:rFonts w:ascii="Times New Roman" w:eastAsia="Times New Roman" w:hAnsi="Times New Roman" w:cs="Times New Roman"/>
                <w:bCs/>
                <w:sz w:val="14"/>
                <w:szCs w:val="16"/>
              </w:rPr>
              <w:t>nano-SiO</w:t>
            </w:r>
            <w:r w:rsidRPr="00BF26C8">
              <w:rPr>
                <w:rFonts w:ascii="Times New Roman" w:eastAsia="Times New Roman" w:hAnsi="Times New Roman" w:cs="Times New Roman"/>
                <w:bCs/>
                <w:sz w:val="14"/>
                <w:szCs w:val="16"/>
                <w:vertAlign w:val="subscript"/>
              </w:rPr>
              <w:t>2</w:t>
            </w:r>
          </w:p>
        </w:tc>
        <w:tc>
          <w:tcPr>
            <w:tcW w:w="992" w:type="dxa"/>
            <w:tcBorders>
              <w:top w:val="dotted" w:sz="4" w:space="0" w:color="auto"/>
              <w:left w:val="single" w:sz="4" w:space="0" w:color="auto"/>
              <w:bottom w:val="dotted" w:sz="4" w:space="0" w:color="auto"/>
              <w:right w:val="nil"/>
            </w:tcBorders>
            <w:shd w:val="clear" w:color="auto" w:fill="FFFFFF"/>
            <w:vAlign w:val="center"/>
            <w:hideMark/>
          </w:tcPr>
          <w:p w14:paraId="6D9C0E55" w14:textId="77777777" w:rsidR="009836BB" w:rsidRPr="00BF26C8" w:rsidRDefault="009836BB">
            <w:pPr>
              <w:spacing w:after="0" w:line="240" w:lineRule="auto"/>
              <w:jc w:val="center"/>
              <w:rPr>
                <w:rFonts w:ascii="Times New Roman" w:eastAsia="Times New Roman" w:hAnsi="Times New Roman" w:cs="Times New Roman"/>
                <w:sz w:val="14"/>
                <w:szCs w:val="20"/>
                <w:vertAlign w:val="superscript"/>
                <w:lang w:eastAsia="it-IT"/>
              </w:rPr>
            </w:pPr>
            <w:r w:rsidRPr="00BF26C8">
              <w:rPr>
                <w:rFonts w:ascii="Times New Roman" w:eastAsia="Times New Roman" w:hAnsi="Times New Roman" w:cs="Times New Roman"/>
                <w:sz w:val="14"/>
                <w:szCs w:val="20"/>
                <w:lang w:eastAsia="it-IT"/>
              </w:rPr>
              <w:t xml:space="preserve">0.016 </w:t>
            </w:r>
            <w:r w:rsidRPr="00BF26C8">
              <w:rPr>
                <w:rFonts w:ascii="Times New Roman" w:eastAsia="Times New Roman" w:hAnsi="Times New Roman" w:cs="Times New Roman"/>
                <w:sz w:val="14"/>
                <w:szCs w:val="20"/>
                <w:vertAlign w:val="superscript"/>
                <w:lang w:eastAsia="it-IT"/>
              </w:rPr>
              <w:t>e</w:t>
            </w:r>
          </w:p>
        </w:tc>
        <w:tc>
          <w:tcPr>
            <w:tcW w:w="3261" w:type="dxa"/>
            <w:tcBorders>
              <w:top w:val="dotted" w:sz="4" w:space="0" w:color="auto"/>
              <w:left w:val="nil"/>
              <w:bottom w:val="dotted" w:sz="4" w:space="0" w:color="auto"/>
              <w:right w:val="nil"/>
            </w:tcBorders>
            <w:shd w:val="clear" w:color="auto" w:fill="FFFFFF"/>
            <w:vAlign w:val="center"/>
            <w:hideMark/>
          </w:tcPr>
          <w:p w14:paraId="6D9C0E56" w14:textId="77777777" w:rsidR="009836BB" w:rsidRPr="00BF26C8" w:rsidRDefault="009836BB">
            <w:pPr>
              <w:spacing w:after="0" w:line="240" w:lineRule="auto"/>
              <w:jc w:val="center"/>
              <w:rPr>
                <w:rFonts w:ascii="Times New Roman" w:eastAsia="Times New Roman" w:hAnsi="Times New Roman" w:cs="Times New Roman"/>
                <w:sz w:val="14"/>
                <w:szCs w:val="20"/>
                <w:lang w:eastAsia="it-IT"/>
              </w:rPr>
            </w:pPr>
            <w:r w:rsidRPr="00BF26C8">
              <w:rPr>
                <w:rFonts w:ascii="Times New Roman" w:eastAsia="Times New Roman" w:hAnsi="Times New Roman" w:cs="Times New Roman"/>
                <w:sz w:val="14"/>
                <w:szCs w:val="20"/>
                <w:lang w:eastAsia="it-IT"/>
              </w:rPr>
              <w:t>0.21 and 1.04</w:t>
            </w:r>
          </w:p>
        </w:tc>
        <w:tc>
          <w:tcPr>
            <w:tcW w:w="1275" w:type="dxa"/>
            <w:tcBorders>
              <w:top w:val="dotted" w:sz="4" w:space="0" w:color="auto"/>
              <w:left w:val="nil"/>
              <w:bottom w:val="dotted" w:sz="4" w:space="0" w:color="auto"/>
              <w:right w:val="nil"/>
            </w:tcBorders>
            <w:shd w:val="clear" w:color="auto" w:fill="FFFFFF"/>
            <w:vAlign w:val="center"/>
            <w:hideMark/>
          </w:tcPr>
          <w:p w14:paraId="6D9C0E57" w14:textId="77777777" w:rsidR="009836BB" w:rsidRPr="00BF26C8" w:rsidRDefault="009836BB">
            <w:pPr>
              <w:spacing w:after="0" w:line="240" w:lineRule="auto"/>
              <w:jc w:val="center"/>
              <w:rPr>
                <w:rFonts w:ascii="Times New Roman" w:eastAsia="Times New Roman" w:hAnsi="Times New Roman" w:cs="Times New Roman"/>
                <w:sz w:val="14"/>
                <w:szCs w:val="20"/>
                <w:lang w:eastAsia="it-IT"/>
              </w:rPr>
            </w:pPr>
            <w:r w:rsidRPr="00BF26C8">
              <w:rPr>
                <w:rFonts w:ascii="Times New Roman" w:eastAsia="Times New Roman" w:hAnsi="Times New Roman" w:cs="Times New Roman"/>
                <w:sz w:val="14"/>
                <w:szCs w:val="20"/>
                <w:lang w:eastAsia="it-IT"/>
              </w:rPr>
              <w:t>≈ 0.2</w:t>
            </w:r>
          </w:p>
        </w:tc>
        <w:tc>
          <w:tcPr>
            <w:tcW w:w="2410" w:type="dxa"/>
            <w:tcBorders>
              <w:top w:val="dotted" w:sz="4" w:space="0" w:color="auto"/>
              <w:left w:val="nil"/>
              <w:bottom w:val="dotted" w:sz="4" w:space="0" w:color="auto"/>
              <w:right w:val="nil"/>
            </w:tcBorders>
            <w:shd w:val="clear" w:color="auto" w:fill="FFFFFF"/>
            <w:vAlign w:val="center"/>
            <w:hideMark/>
          </w:tcPr>
          <w:p w14:paraId="6D9C0E58" w14:textId="77777777" w:rsidR="009836BB" w:rsidRPr="00BF26C8" w:rsidRDefault="009836BB">
            <w:pPr>
              <w:tabs>
                <w:tab w:val="left" w:pos="190"/>
                <w:tab w:val="center" w:pos="671"/>
              </w:tabs>
              <w:spacing w:after="0" w:line="240" w:lineRule="auto"/>
              <w:jc w:val="center"/>
              <w:rPr>
                <w:rFonts w:ascii="Times New Roman" w:eastAsia="Times New Roman" w:hAnsi="Times New Roman" w:cs="Times New Roman"/>
                <w:sz w:val="14"/>
                <w:szCs w:val="20"/>
                <w:lang w:eastAsia="it-IT"/>
              </w:rPr>
            </w:pPr>
            <w:r w:rsidRPr="00BF26C8">
              <w:rPr>
                <w:rFonts w:ascii="Times New Roman" w:eastAsia="Times New Roman" w:hAnsi="Times New Roman" w:cs="Times New Roman"/>
                <w:sz w:val="14"/>
                <w:szCs w:val="20"/>
                <w:lang w:eastAsia="it-IT"/>
              </w:rPr>
              <w:t>- 32.56 ± 1.11</w:t>
            </w:r>
          </w:p>
        </w:tc>
      </w:tr>
      <w:tr w:rsidR="00BF26C8" w:rsidRPr="00BF26C8" w14:paraId="6D9C0E5F" w14:textId="77777777" w:rsidTr="00FD0507">
        <w:trPr>
          <w:trHeight w:val="170"/>
        </w:trPr>
        <w:tc>
          <w:tcPr>
            <w:tcW w:w="817" w:type="dxa"/>
            <w:tcBorders>
              <w:top w:val="dotted" w:sz="4" w:space="0" w:color="auto"/>
              <w:left w:val="nil"/>
              <w:bottom w:val="single" w:sz="4" w:space="0" w:color="auto"/>
              <w:right w:val="single" w:sz="4" w:space="0" w:color="auto"/>
            </w:tcBorders>
            <w:shd w:val="clear" w:color="auto" w:fill="FFFFFF"/>
            <w:vAlign w:val="center"/>
            <w:hideMark/>
          </w:tcPr>
          <w:p w14:paraId="6D9C0E5A" w14:textId="77777777" w:rsidR="009836BB" w:rsidRPr="00BF26C8" w:rsidRDefault="009836BB">
            <w:pPr>
              <w:spacing w:after="0" w:line="240" w:lineRule="auto"/>
              <w:jc w:val="center"/>
              <w:rPr>
                <w:rFonts w:ascii="Times New Roman" w:eastAsia="Times New Roman" w:hAnsi="Times New Roman" w:cs="Times New Roman"/>
                <w:bCs/>
                <w:sz w:val="14"/>
                <w:szCs w:val="16"/>
              </w:rPr>
            </w:pPr>
            <w:r w:rsidRPr="00BF26C8">
              <w:rPr>
                <w:rFonts w:ascii="Times New Roman" w:eastAsia="Times New Roman" w:hAnsi="Times New Roman" w:cs="Times New Roman"/>
                <w:bCs/>
                <w:sz w:val="14"/>
                <w:szCs w:val="16"/>
              </w:rPr>
              <w:t>dolomite</w:t>
            </w:r>
          </w:p>
        </w:tc>
        <w:tc>
          <w:tcPr>
            <w:tcW w:w="992" w:type="dxa"/>
            <w:tcBorders>
              <w:top w:val="dotted" w:sz="4" w:space="0" w:color="auto"/>
              <w:left w:val="single" w:sz="4" w:space="0" w:color="auto"/>
              <w:bottom w:val="single" w:sz="4" w:space="0" w:color="auto"/>
              <w:right w:val="nil"/>
            </w:tcBorders>
            <w:shd w:val="clear" w:color="auto" w:fill="FFFFFF"/>
            <w:vAlign w:val="center"/>
            <w:hideMark/>
          </w:tcPr>
          <w:p w14:paraId="6D9C0E5B" w14:textId="77777777" w:rsidR="009836BB" w:rsidRPr="00BF26C8" w:rsidRDefault="009836BB">
            <w:pPr>
              <w:spacing w:after="0" w:line="240" w:lineRule="auto"/>
              <w:jc w:val="center"/>
              <w:rPr>
                <w:rFonts w:ascii="Times New Roman" w:eastAsia="Times New Roman" w:hAnsi="Times New Roman" w:cs="Times New Roman"/>
                <w:sz w:val="14"/>
                <w:szCs w:val="20"/>
                <w:lang w:eastAsia="it-IT"/>
              </w:rPr>
            </w:pPr>
            <w:r w:rsidRPr="00BF26C8">
              <w:rPr>
                <w:rFonts w:ascii="Times New Roman" w:eastAsia="Times New Roman" w:hAnsi="Times New Roman" w:cs="Times New Roman"/>
                <w:sz w:val="14"/>
                <w:szCs w:val="20"/>
                <w:lang w:eastAsia="it-IT"/>
              </w:rPr>
              <w:t xml:space="preserve">3-5 </w:t>
            </w:r>
            <w:r w:rsidRPr="00BF26C8">
              <w:rPr>
                <w:rFonts w:ascii="Times New Roman" w:eastAsia="Times New Roman" w:hAnsi="Times New Roman" w:cs="Times New Roman"/>
                <w:sz w:val="14"/>
                <w:szCs w:val="20"/>
                <w:vertAlign w:val="superscript"/>
                <w:lang w:eastAsia="it-IT"/>
              </w:rPr>
              <w:t>e</w:t>
            </w:r>
          </w:p>
        </w:tc>
        <w:tc>
          <w:tcPr>
            <w:tcW w:w="3261" w:type="dxa"/>
            <w:tcBorders>
              <w:top w:val="dotted" w:sz="4" w:space="0" w:color="auto"/>
              <w:left w:val="nil"/>
              <w:bottom w:val="single" w:sz="4" w:space="0" w:color="auto"/>
              <w:right w:val="nil"/>
            </w:tcBorders>
            <w:shd w:val="clear" w:color="auto" w:fill="FFFFFF"/>
            <w:vAlign w:val="center"/>
            <w:hideMark/>
          </w:tcPr>
          <w:p w14:paraId="6D9C0E5C" w14:textId="77777777" w:rsidR="009836BB" w:rsidRPr="00BF26C8" w:rsidRDefault="009836BB">
            <w:pPr>
              <w:spacing w:after="0" w:line="240" w:lineRule="auto"/>
              <w:jc w:val="center"/>
              <w:rPr>
                <w:rFonts w:ascii="Times New Roman" w:eastAsia="Times New Roman" w:hAnsi="Times New Roman" w:cs="Times New Roman"/>
                <w:sz w:val="14"/>
                <w:szCs w:val="20"/>
                <w:lang w:eastAsia="it-IT"/>
              </w:rPr>
            </w:pPr>
            <w:r w:rsidRPr="00BF26C8">
              <w:rPr>
                <w:rFonts w:ascii="Times New Roman" w:eastAsia="Times New Roman" w:hAnsi="Times New Roman" w:cs="Times New Roman"/>
                <w:sz w:val="14"/>
                <w:szCs w:val="20"/>
                <w:lang w:eastAsia="it-IT"/>
              </w:rPr>
              <w:t>0.29 and 1.35</w:t>
            </w:r>
          </w:p>
        </w:tc>
        <w:tc>
          <w:tcPr>
            <w:tcW w:w="1275" w:type="dxa"/>
            <w:tcBorders>
              <w:top w:val="dotted" w:sz="4" w:space="0" w:color="auto"/>
              <w:left w:val="nil"/>
              <w:bottom w:val="single" w:sz="4" w:space="0" w:color="auto"/>
              <w:right w:val="nil"/>
            </w:tcBorders>
            <w:shd w:val="clear" w:color="auto" w:fill="FFFFFF"/>
            <w:vAlign w:val="center"/>
            <w:hideMark/>
          </w:tcPr>
          <w:p w14:paraId="6D9C0E5D" w14:textId="77777777" w:rsidR="009836BB" w:rsidRPr="00BF26C8" w:rsidRDefault="009836BB">
            <w:pPr>
              <w:spacing w:after="0" w:line="240" w:lineRule="auto"/>
              <w:jc w:val="center"/>
              <w:rPr>
                <w:rFonts w:ascii="Times New Roman" w:eastAsia="Times New Roman" w:hAnsi="Times New Roman" w:cs="Times New Roman"/>
                <w:sz w:val="14"/>
                <w:szCs w:val="20"/>
                <w:lang w:eastAsia="it-IT"/>
              </w:rPr>
            </w:pPr>
            <w:r w:rsidRPr="00BF26C8">
              <w:rPr>
                <w:rFonts w:ascii="Times New Roman" w:eastAsia="Times New Roman" w:hAnsi="Times New Roman" w:cs="Times New Roman"/>
                <w:sz w:val="14"/>
                <w:szCs w:val="20"/>
                <w:lang w:eastAsia="it-IT"/>
              </w:rPr>
              <w:t>≈ 1</w:t>
            </w:r>
          </w:p>
        </w:tc>
        <w:tc>
          <w:tcPr>
            <w:tcW w:w="2410" w:type="dxa"/>
            <w:tcBorders>
              <w:top w:val="dotted" w:sz="4" w:space="0" w:color="auto"/>
              <w:left w:val="nil"/>
              <w:bottom w:val="single" w:sz="4" w:space="0" w:color="auto"/>
              <w:right w:val="nil"/>
            </w:tcBorders>
            <w:shd w:val="clear" w:color="auto" w:fill="FFFFFF"/>
            <w:vAlign w:val="center"/>
            <w:hideMark/>
          </w:tcPr>
          <w:p w14:paraId="6D9C0E5E" w14:textId="77777777" w:rsidR="009836BB" w:rsidRPr="00BF26C8" w:rsidRDefault="009836BB">
            <w:pPr>
              <w:tabs>
                <w:tab w:val="left" w:pos="190"/>
                <w:tab w:val="center" w:pos="671"/>
              </w:tabs>
              <w:spacing w:after="0" w:line="240" w:lineRule="auto"/>
              <w:jc w:val="center"/>
              <w:rPr>
                <w:rFonts w:ascii="Times New Roman" w:eastAsia="Times New Roman" w:hAnsi="Times New Roman" w:cs="Times New Roman"/>
                <w:sz w:val="14"/>
                <w:szCs w:val="20"/>
                <w:lang w:eastAsia="it-IT"/>
              </w:rPr>
            </w:pPr>
            <w:r w:rsidRPr="00BF26C8">
              <w:rPr>
                <w:rFonts w:ascii="Times New Roman" w:eastAsia="Times New Roman" w:hAnsi="Times New Roman" w:cs="Times New Roman"/>
                <w:sz w:val="14"/>
                <w:szCs w:val="20"/>
                <w:lang w:eastAsia="it-IT"/>
              </w:rPr>
              <w:t>- 28.43 ± 1.56</w:t>
            </w:r>
          </w:p>
        </w:tc>
      </w:tr>
    </w:tbl>
    <w:p w14:paraId="6D9C0E60" w14:textId="77777777" w:rsidR="009836BB" w:rsidRPr="00BF26C8" w:rsidRDefault="009836BB" w:rsidP="004067EA">
      <w:pPr>
        <w:spacing w:after="0"/>
        <w:ind w:firstLine="720"/>
        <w:rPr>
          <w:rFonts w:ascii="Times New Roman" w:eastAsia="Batang" w:hAnsi="Times New Roman" w:cs="Times New Roman"/>
          <w:sz w:val="14"/>
          <w:szCs w:val="14"/>
          <w:lang w:eastAsia="it-IT"/>
        </w:rPr>
      </w:pPr>
      <w:r w:rsidRPr="00BF26C8">
        <w:rPr>
          <w:rFonts w:ascii="Times New Roman" w:eastAsia="Batang" w:hAnsi="Times New Roman" w:cs="Times New Roman"/>
          <w:sz w:val="14"/>
          <w:szCs w:val="14"/>
          <w:lang w:eastAsia="it-IT"/>
        </w:rPr>
        <w:t>a. PM</w:t>
      </w:r>
      <w:r w:rsidRPr="00BF26C8">
        <w:rPr>
          <w:rFonts w:ascii="Times New Roman" w:eastAsia="Batang" w:hAnsi="Times New Roman" w:cs="Times New Roman"/>
          <w:sz w:val="14"/>
          <w:szCs w:val="14"/>
          <w:vertAlign w:val="subscript"/>
          <w:lang w:eastAsia="it-IT"/>
        </w:rPr>
        <w:t>10</w:t>
      </w:r>
      <w:r w:rsidRPr="00BF26C8">
        <w:rPr>
          <w:rFonts w:ascii="Times New Roman" w:eastAsia="Batang" w:hAnsi="Times New Roman" w:cs="Times New Roman"/>
          <w:sz w:val="14"/>
          <w:szCs w:val="14"/>
          <w:lang w:eastAsia="it-IT"/>
        </w:rPr>
        <w:t xml:space="preserve"> fraction of sieved dust according to their aerodynamic diameter using </w:t>
      </w:r>
      <w:proofErr w:type="spellStart"/>
      <w:r w:rsidRPr="00BF26C8">
        <w:rPr>
          <w:rFonts w:ascii="Times New Roman" w:eastAsia="Batang" w:hAnsi="Times New Roman" w:cs="Times New Roman"/>
          <w:sz w:val="14"/>
          <w:szCs w:val="14"/>
          <w:lang w:eastAsia="it-IT"/>
        </w:rPr>
        <w:t>Berner</w:t>
      </w:r>
      <w:proofErr w:type="spellEnd"/>
      <w:r w:rsidRPr="00BF26C8">
        <w:rPr>
          <w:rFonts w:ascii="Times New Roman" w:eastAsia="Batang" w:hAnsi="Times New Roman" w:cs="Times New Roman"/>
          <w:sz w:val="14"/>
          <w:szCs w:val="14"/>
          <w:lang w:eastAsia="it-IT"/>
        </w:rPr>
        <w:t>-type low-pressure impactor (BLPI)</w:t>
      </w:r>
    </w:p>
    <w:p w14:paraId="6D9C0E61" w14:textId="77777777" w:rsidR="009836BB" w:rsidRPr="00BF26C8" w:rsidRDefault="009836BB" w:rsidP="004067EA">
      <w:pPr>
        <w:spacing w:after="0"/>
        <w:ind w:firstLine="720"/>
        <w:rPr>
          <w:rFonts w:ascii="Times New Roman" w:eastAsia="Batang" w:hAnsi="Times New Roman" w:cs="Times New Roman"/>
          <w:sz w:val="14"/>
          <w:szCs w:val="14"/>
          <w:lang w:eastAsia="it-IT"/>
        </w:rPr>
      </w:pPr>
      <w:r w:rsidRPr="00BF26C8">
        <w:rPr>
          <w:rFonts w:ascii="Times New Roman" w:eastAsia="Batang" w:hAnsi="Times New Roman" w:cs="Times New Roman"/>
          <w:sz w:val="14"/>
          <w:szCs w:val="14"/>
          <w:lang w:eastAsia="it-IT"/>
        </w:rPr>
        <w:t>b. Hydrodynamic particle size distribution as determined by DLS analysis</w:t>
      </w:r>
    </w:p>
    <w:p w14:paraId="6D9C0E62" w14:textId="77777777" w:rsidR="009836BB" w:rsidRPr="00BF26C8" w:rsidRDefault="009836BB" w:rsidP="004067EA">
      <w:pPr>
        <w:spacing w:after="0"/>
        <w:ind w:firstLine="720"/>
        <w:rPr>
          <w:rFonts w:ascii="Times New Roman" w:eastAsia="Batang" w:hAnsi="Times New Roman" w:cs="Times New Roman"/>
          <w:sz w:val="14"/>
          <w:szCs w:val="14"/>
          <w:lang w:eastAsia="it-IT"/>
        </w:rPr>
      </w:pPr>
      <w:r w:rsidRPr="00BF26C8">
        <w:rPr>
          <w:rFonts w:ascii="Times New Roman" w:eastAsia="Batang" w:hAnsi="Times New Roman" w:cs="Times New Roman"/>
          <w:sz w:val="14"/>
          <w:szCs w:val="14"/>
          <w:lang w:eastAsia="it-IT"/>
        </w:rPr>
        <w:t>c. Physical diameter, determined by Transmission Electron Microscopy (TEM)</w:t>
      </w:r>
    </w:p>
    <w:p w14:paraId="6D9C0E63" w14:textId="77777777" w:rsidR="009836BB" w:rsidRPr="00BF26C8" w:rsidRDefault="009836BB" w:rsidP="004067EA">
      <w:pPr>
        <w:spacing w:after="0"/>
        <w:ind w:firstLine="720"/>
        <w:rPr>
          <w:rFonts w:ascii="Times New Roman" w:eastAsia="Batang" w:hAnsi="Times New Roman" w:cs="Times New Roman"/>
          <w:sz w:val="14"/>
          <w:szCs w:val="14"/>
          <w:lang w:eastAsia="it-IT"/>
        </w:rPr>
      </w:pPr>
      <w:r w:rsidRPr="00BF26C8">
        <w:rPr>
          <w:rFonts w:ascii="Times New Roman" w:eastAsia="Batang" w:hAnsi="Times New Roman" w:cs="Times New Roman"/>
          <w:sz w:val="14"/>
          <w:szCs w:val="14"/>
          <w:lang w:eastAsia="it-IT"/>
        </w:rPr>
        <w:t>d. Surface charge (Zeta potential) measurement by Nanoparticle Tracking Analysis (NTA)</w:t>
      </w:r>
    </w:p>
    <w:p w14:paraId="6D9C0E64" w14:textId="77777777" w:rsidR="009836BB" w:rsidRPr="00BF26C8" w:rsidRDefault="009836BB" w:rsidP="004067EA">
      <w:pPr>
        <w:spacing w:after="0"/>
        <w:ind w:firstLine="720"/>
        <w:rPr>
          <w:rFonts w:ascii="Times New Roman" w:eastAsia="Batang" w:hAnsi="Times New Roman" w:cs="Times New Roman"/>
          <w:sz w:val="14"/>
          <w:szCs w:val="14"/>
          <w:lang w:eastAsia="it-IT"/>
        </w:rPr>
      </w:pPr>
      <w:r w:rsidRPr="00BF26C8">
        <w:rPr>
          <w:rFonts w:ascii="Times New Roman" w:eastAsia="Batang" w:hAnsi="Times New Roman" w:cs="Times New Roman"/>
          <w:sz w:val="14"/>
          <w:szCs w:val="14"/>
          <w:lang w:eastAsia="it-IT"/>
        </w:rPr>
        <w:t xml:space="preserve">e. Size distribution according to manufacturer’s certification data sheet </w:t>
      </w:r>
    </w:p>
    <w:p w14:paraId="6D9C0E65" w14:textId="77777777" w:rsidR="004517A8" w:rsidRPr="00BF26C8" w:rsidRDefault="004517A8" w:rsidP="004517A8">
      <w:pPr>
        <w:spacing w:after="0" w:line="360" w:lineRule="auto"/>
        <w:outlineLvl w:val="0"/>
      </w:pPr>
    </w:p>
    <w:p w14:paraId="16EE5AF3" w14:textId="77777777" w:rsidR="006C2550" w:rsidRPr="00BF26C8" w:rsidRDefault="006C2550" w:rsidP="00BF60F0">
      <w:pPr>
        <w:spacing w:line="360" w:lineRule="auto"/>
        <w:jc w:val="both"/>
        <w:outlineLvl w:val="0"/>
        <w:rPr>
          <w:rFonts w:ascii="Times New Roman" w:eastAsia="Batang" w:hAnsi="Times New Roman" w:cs="Times New Roman"/>
          <w:sz w:val="14"/>
          <w:szCs w:val="14"/>
          <w:lang w:eastAsia="it-IT"/>
        </w:rPr>
      </w:pPr>
    </w:p>
    <w:p w14:paraId="6D9C0E69" w14:textId="77777777" w:rsidR="00BF60F0" w:rsidRPr="00BF26C8" w:rsidRDefault="004067EA" w:rsidP="00BF60F0">
      <w:pPr>
        <w:spacing w:line="360" w:lineRule="auto"/>
        <w:jc w:val="both"/>
        <w:outlineLvl w:val="0"/>
        <w:rPr>
          <w:rFonts w:ascii="Times New Roman" w:hAnsi="Times New Roman" w:cs="Times New Roman"/>
          <w:b/>
        </w:rPr>
      </w:pPr>
      <w:r w:rsidRPr="00BF26C8">
        <w:rPr>
          <w:rFonts w:ascii="Times New Roman" w:hAnsi="Times New Roman" w:cs="Times New Roman"/>
          <w:b/>
        </w:rPr>
        <w:lastRenderedPageBreak/>
        <w:t xml:space="preserve">SUPPLEMENTAL REFERENCES </w:t>
      </w:r>
    </w:p>
    <w:p w14:paraId="6D9C0E6A" w14:textId="77777777" w:rsidR="006067E9" w:rsidRPr="00BF26C8" w:rsidRDefault="00C66C7C" w:rsidP="006067E9">
      <w:pPr>
        <w:pStyle w:val="Literaturverzeichnis"/>
        <w:rPr>
          <w:rFonts w:ascii="Times New Roman" w:hAnsi="Times New Roman" w:cs="Times New Roman"/>
        </w:rPr>
      </w:pPr>
      <w:r w:rsidRPr="00BF26C8">
        <w:rPr>
          <w:b/>
        </w:rPr>
        <w:fldChar w:fldCharType="begin"/>
      </w:r>
      <w:r w:rsidR="006067E9" w:rsidRPr="00BF26C8">
        <w:rPr>
          <w:b/>
        </w:rPr>
        <w:instrText xml:space="preserve"> ADDIN ZOTERO_BIBL {"custom":[]} CSL_BIBLIOGRAPHY </w:instrText>
      </w:r>
      <w:r w:rsidRPr="00BF26C8">
        <w:rPr>
          <w:b/>
        </w:rPr>
        <w:fldChar w:fldCharType="separate"/>
      </w:r>
      <w:r w:rsidR="006067E9" w:rsidRPr="00BF26C8">
        <w:rPr>
          <w:rFonts w:ascii="Times New Roman" w:hAnsi="Times New Roman" w:cs="Times New Roman"/>
        </w:rPr>
        <w:t xml:space="preserve">Arif, Ali Talib, Christoph Maschowski, Patxi Garra, Manuel Garcia-Käufer, Tatiana Petithory, Gwenaëlle Trouvé, Alain Dieterlen, et al. 2017. “Cytotoxic and Genotoxic Responses of Human Lung Cells to Combustion Smoke Particles of Miscanthus Straw, Softwood and Beech Wood Chips.” </w:t>
      </w:r>
      <w:r w:rsidR="006067E9" w:rsidRPr="00BF26C8">
        <w:rPr>
          <w:rFonts w:ascii="Times New Roman" w:hAnsi="Times New Roman" w:cs="Times New Roman"/>
          <w:i/>
          <w:iCs/>
        </w:rPr>
        <w:t>Atmospheric Environment</w:t>
      </w:r>
      <w:r w:rsidR="006067E9" w:rsidRPr="00BF26C8">
        <w:rPr>
          <w:rFonts w:ascii="Times New Roman" w:hAnsi="Times New Roman" w:cs="Times New Roman"/>
        </w:rPr>
        <w:t xml:space="preserve"> 163 (August): 138–154. doi:10.1016/j.atmosenv.2017.05.019.</w:t>
      </w:r>
    </w:p>
    <w:p w14:paraId="6D9C0E6B" w14:textId="77777777" w:rsidR="006067E9" w:rsidRPr="00BF26C8" w:rsidRDefault="006067E9" w:rsidP="006067E9">
      <w:pPr>
        <w:pStyle w:val="Literaturverzeichnis"/>
        <w:rPr>
          <w:rFonts w:ascii="Times New Roman" w:hAnsi="Times New Roman" w:cs="Times New Roman"/>
        </w:rPr>
      </w:pPr>
      <w:r w:rsidRPr="00BF26C8">
        <w:rPr>
          <w:rFonts w:ascii="Times New Roman" w:hAnsi="Times New Roman" w:cs="Times New Roman"/>
        </w:rPr>
        <w:t xml:space="preserve">Criddle, David N., Stuart Gillies, Heidi K. Baumgartner-Wilson, Mohammed Jaffar, Edwin C. Chinje, Sarah Passmore, Michael Chvanov, et al. 2006. “Menadione-Induced Reactive Oxygen Species Generation via Redox Cycling Promotes Apoptosis of Murine Pancreatic Acinar Cells.” </w:t>
      </w:r>
      <w:r w:rsidRPr="00BF26C8">
        <w:rPr>
          <w:rFonts w:ascii="Times New Roman" w:hAnsi="Times New Roman" w:cs="Times New Roman"/>
          <w:i/>
          <w:iCs/>
        </w:rPr>
        <w:t>Journal of Biological Chemistry</w:t>
      </w:r>
      <w:r w:rsidRPr="00BF26C8">
        <w:rPr>
          <w:rFonts w:ascii="Times New Roman" w:hAnsi="Times New Roman" w:cs="Times New Roman"/>
        </w:rPr>
        <w:t xml:space="preserve"> 281 (52): 40485–40492. doi:10.1074/jbc.M607704200.</w:t>
      </w:r>
    </w:p>
    <w:p w14:paraId="6D9C0E6C" w14:textId="77777777" w:rsidR="006067E9" w:rsidRPr="00BF26C8" w:rsidRDefault="006067E9" w:rsidP="006067E9">
      <w:pPr>
        <w:pStyle w:val="Literaturverzeichnis"/>
        <w:rPr>
          <w:rFonts w:ascii="Times New Roman" w:hAnsi="Times New Roman" w:cs="Times New Roman"/>
        </w:rPr>
      </w:pPr>
      <w:r w:rsidRPr="00BF26C8">
        <w:rPr>
          <w:rFonts w:ascii="Times New Roman" w:hAnsi="Times New Roman" w:cs="Times New Roman"/>
        </w:rPr>
        <w:t xml:space="preserve">Hartwig, Andrea, and Regina Schlepegrell. 1995. “Induction of Oxidative DNA Damage by Ferric Iron in Mammalian Cells.” </w:t>
      </w:r>
      <w:r w:rsidRPr="00BF26C8">
        <w:rPr>
          <w:rFonts w:ascii="Times New Roman" w:hAnsi="Times New Roman" w:cs="Times New Roman"/>
          <w:i/>
          <w:iCs/>
        </w:rPr>
        <w:t>Carcinogenesis</w:t>
      </w:r>
      <w:r w:rsidRPr="00BF26C8">
        <w:rPr>
          <w:rFonts w:ascii="Times New Roman" w:hAnsi="Times New Roman" w:cs="Times New Roman"/>
        </w:rPr>
        <w:t xml:space="preserve"> 16 (12): 3009–3013. doi:10.1093/carcin/16.12.3009.</w:t>
      </w:r>
    </w:p>
    <w:p w14:paraId="6D9C0E6D" w14:textId="77777777" w:rsidR="00BF60F0" w:rsidRPr="00BF26C8" w:rsidRDefault="00C66C7C" w:rsidP="00415CCA">
      <w:pPr>
        <w:spacing w:line="360" w:lineRule="auto"/>
        <w:jc w:val="both"/>
        <w:outlineLvl w:val="0"/>
        <w:rPr>
          <w:rFonts w:ascii="Times New Roman" w:hAnsi="Times New Roman" w:cs="Times New Roman"/>
          <w:b/>
        </w:rPr>
      </w:pPr>
      <w:r w:rsidRPr="00BF26C8">
        <w:rPr>
          <w:rFonts w:ascii="Times New Roman" w:hAnsi="Times New Roman" w:cs="Times New Roman"/>
          <w:b/>
        </w:rPr>
        <w:fldChar w:fldCharType="end"/>
      </w:r>
    </w:p>
    <w:sectPr w:rsidR="00BF60F0" w:rsidRPr="00BF26C8" w:rsidSect="00863226">
      <w:footerReference w:type="default" r:id="rId15"/>
      <w:pgSz w:w="12240" w:h="15840"/>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C0E7E" w14:textId="77777777" w:rsidR="003B48DC" w:rsidRDefault="003B48DC">
      <w:pPr>
        <w:spacing w:after="0" w:line="240" w:lineRule="auto"/>
      </w:pPr>
      <w:r>
        <w:separator/>
      </w:r>
    </w:p>
  </w:endnote>
  <w:endnote w:type="continuationSeparator" w:id="0">
    <w:p w14:paraId="6D9C0E7F" w14:textId="77777777" w:rsidR="003B48DC" w:rsidRDefault="003B4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450012"/>
      <w:docPartObj>
        <w:docPartGallery w:val="Page Numbers (Bottom of Page)"/>
        <w:docPartUnique/>
      </w:docPartObj>
    </w:sdtPr>
    <w:sdtEndPr/>
    <w:sdtContent>
      <w:p w14:paraId="6D9C0E80" w14:textId="77777777" w:rsidR="003F5B9E" w:rsidRDefault="00C66C7C">
        <w:pPr>
          <w:pStyle w:val="Fuzeile"/>
          <w:jc w:val="right"/>
        </w:pPr>
        <w:r>
          <w:fldChar w:fldCharType="begin"/>
        </w:r>
        <w:r w:rsidR="003F5B9E">
          <w:instrText>PAGE   \* MERGEFORMAT</w:instrText>
        </w:r>
        <w:r>
          <w:fldChar w:fldCharType="separate"/>
        </w:r>
        <w:r w:rsidR="00BF26C8" w:rsidRPr="00BF26C8">
          <w:rPr>
            <w:noProof/>
            <w:lang w:val="de-DE"/>
          </w:rPr>
          <w:t>10</w:t>
        </w:r>
        <w:r>
          <w:fldChar w:fldCharType="end"/>
        </w:r>
      </w:p>
    </w:sdtContent>
  </w:sdt>
  <w:p w14:paraId="6D9C0E81" w14:textId="77777777" w:rsidR="007819AE" w:rsidRDefault="00BF26C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C0E7C" w14:textId="77777777" w:rsidR="003B48DC" w:rsidRDefault="003B48DC">
      <w:pPr>
        <w:spacing w:after="0" w:line="240" w:lineRule="auto"/>
      </w:pPr>
      <w:r>
        <w:separator/>
      </w:r>
    </w:p>
  </w:footnote>
  <w:footnote w:type="continuationSeparator" w:id="0">
    <w:p w14:paraId="6D9C0E7D" w14:textId="77777777" w:rsidR="003B48DC" w:rsidRDefault="003B4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272FB"/>
    <w:multiLevelType w:val="multilevel"/>
    <w:tmpl w:val="DD4EAA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ere, Reto">
    <w15:presenceInfo w15:providerId="Windows Live" w15:userId="99df2ad0-63bf-44d0-b6ca-28545edbe5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D2"/>
    <w:rsid w:val="0002272E"/>
    <w:rsid w:val="00076CCC"/>
    <w:rsid w:val="000B1AFC"/>
    <w:rsid w:val="000C2D5C"/>
    <w:rsid w:val="000D7A8B"/>
    <w:rsid w:val="000E75B3"/>
    <w:rsid w:val="00111B57"/>
    <w:rsid w:val="00162096"/>
    <w:rsid w:val="00177716"/>
    <w:rsid w:val="00187D8B"/>
    <w:rsid w:val="001D6317"/>
    <w:rsid w:val="001E36FE"/>
    <w:rsid w:val="001F7EDF"/>
    <w:rsid w:val="00234F6A"/>
    <w:rsid w:val="002636A2"/>
    <w:rsid w:val="002F3628"/>
    <w:rsid w:val="00371DBD"/>
    <w:rsid w:val="003739AC"/>
    <w:rsid w:val="003B48DC"/>
    <w:rsid w:val="003F5B9E"/>
    <w:rsid w:val="004067EA"/>
    <w:rsid w:val="00415CCA"/>
    <w:rsid w:val="004517A8"/>
    <w:rsid w:val="00466916"/>
    <w:rsid w:val="004734E3"/>
    <w:rsid w:val="00487020"/>
    <w:rsid w:val="004B1B8E"/>
    <w:rsid w:val="004B575F"/>
    <w:rsid w:val="00517475"/>
    <w:rsid w:val="00525B71"/>
    <w:rsid w:val="005570F2"/>
    <w:rsid w:val="0056394D"/>
    <w:rsid w:val="0057495A"/>
    <w:rsid w:val="006067E9"/>
    <w:rsid w:val="0062292C"/>
    <w:rsid w:val="006A4E06"/>
    <w:rsid w:val="006A57DC"/>
    <w:rsid w:val="006C112E"/>
    <w:rsid w:val="006C2550"/>
    <w:rsid w:val="006E516C"/>
    <w:rsid w:val="00740D93"/>
    <w:rsid w:val="007A6635"/>
    <w:rsid w:val="007F2CAB"/>
    <w:rsid w:val="00837412"/>
    <w:rsid w:val="00863226"/>
    <w:rsid w:val="00872AC1"/>
    <w:rsid w:val="00952D4D"/>
    <w:rsid w:val="009609D3"/>
    <w:rsid w:val="009836BB"/>
    <w:rsid w:val="009E5D57"/>
    <w:rsid w:val="009F3ABC"/>
    <w:rsid w:val="00A07026"/>
    <w:rsid w:val="00A379C8"/>
    <w:rsid w:val="00A40037"/>
    <w:rsid w:val="00A933FA"/>
    <w:rsid w:val="00AA12B5"/>
    <w:rsid w:val="00AC307D"/>
    <w:rsid w:val="00B16725"/>
    <w:rsid w:val="00B63774"/>
    <w:rsid w:val="00BF0D41"/>
    <w:rsid w:val="00BF26C8"/>
    <w:rsid w:val="00BF60F0"/>
    <w:rsid w:val="00BF7273"/>
    <w:rsid w:val="00C15FF3"/>
    <w:rsid w:val="00C478CC"/>
    <w:rsid w:val="00C66454"/>
    <w:rsid w:val="00C66C7C"/>
    <w:rsid w:val="00CA371F"/>
    <w:rsid w:val="00CD6298"/>
    <w:rsid w:val="00D03F36"/>
    <w:rsid w:val="00D23EC0"/>
    <w:rsid w:val="00DA7665"/>
    <w:rsid w:val="00DC5B1C"/>
    <w:rsid w:val="00DF6A3B"/>
    <w:rsid w:val="00E84877"/>
    <w:rsid w:val="00EC0192"/>
    <w:rsid w:val="00EE56D2"/>
    <w:rsid w:val="00EF1E39"/>
    <w:rsid w:val="00FD05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C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6C11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112E"/>
  </w:style>
  <w:style w:type="character" w:styleId="Zeilennummer">
    <w:name w:val="line number"/>
    <w:basedOn w:val="Absatz-Standardschriftart"/>
    <w:uiPriority w:val="99"/>
    <w:semiHidden/>
    <w:unhideWhenUsed/>
    <w:rsid w:val="006C112E"/>
  </w:style>
  <w:style w:type="paragraph" w:styleId="Sprechblasentext">
    <w:name w:val="Balloon Text"/>
    <w:basedOn w:val="Standard"/>
    <w:link w:val="SprechblasentextZchn"/>
    <w:uiPriority w:val="99"/>
    <w:semiHidden/>
    <w:unhideWhenUsed/>
    <w:rsid w:val="006C11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12E"/>
    <w:rPr>
      <w:rFonts w:ascii="Tahoma" w:hAnsi="Tahoma" w:cs="Tahoma"/>
      <w:sz w:val="16"/>
      <w:szCs w:val="16"/>
    </w:rPr>
  </w:style>
  <w:style w:type="paragraph" w:styleId="Literaturverzeichnis">
    <w:name w:val="Bibliography"/>
    <w:basedOn w:val="Standard"/>
    <w:next w:val="Standard"/>
    <w:uiPriority w:val="37"/>
    <w:unhideWhenUsed/>
    <w:rsid w:val="00BF60F0"/>
    <w:pPr>
      <w:spacing w:after="0" w:line="240" w:lineRule="auto"/>
      <w:ind w:left="720" w:hanging="720"/>
    </w:pPr>
  </w:style>
  <w:style w:type="paragraph" w:styleId="Kopfzeile">
    <w:name w:val="header"/>
    <w:basedOn w:val="Standard"/>
    <w:link w:val="KopfzeileZchn"/>
    <w:uiPriority w:val="99"/>
    <w:unhideWhenUsed/>
    <w:rsid w:val="003F5B9E"/>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3F5B9E"/>
  </w:style>
  <w:style w:type="table" w:customStyle="1" w:styleId="Tabellenraster1">
    <w:name w:val="Tabellenraster1"/>
    <w:basedOn w:val="NormaleTabelle"/>
    <w:next w:val="Tabellenraster"/>
    <w:uiPriority w:val="59"/>
    <w:rsid w:val="004517A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NormaleTabelle"/>
    <w:uiPriority w:val="40"/>
    <w:rsid w:val="004517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59"/>
    <w:rsid w:val="00451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A57DC"/>
    <w:pPr>
      <w:ind w:left="720"/>
      <w:contextualSpacing/>
    </w:pPr>
  </w:style>
  <w:style w:type="table" w:customStyle="1" w:styleId="Tabellenraster2">
    <w:name w:val="Tabellenraster2"/>
    <w:basedOn w:val="NormaleTabelle"/>
    <w:next w:val="Tabellenraster"/>
    <w:uiPriority w:val="59"/>
    <w:rsid w:val="007F2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E516C"/>
    <w:rPr>
      <w:sz w:val="16"/>
      <w:szCs w:val="16"/>
    </w:rPr>
  </w:style>
  <w:style w:type="paragraph" w:styleId="Kommentartext">
    <w:name w:val="annotation text"/>
    <w:basedOn w:val="Standard"/>
    <w:link w:val="KommentartextZchn"/>
    <w:uiPriority w:val="99"/>
    <w:semiHidden/>
    <w:unhideWhenUsed/>
    <w:rsid w:val="006E51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516C"/>
    <w:rPr>
      <w:sz w:val="20"/>
      <w:szCs w:val="20"/>
    </w:rPr>
  </w:style>
  <w:style w:type="paragraph" w:styleId="Kommentarthema">
    <w:name w:val="annotation subject"/>
    <w:basedOn w:val="Kommentartext"/>
    <w:next w:val="Kommentartext"/>
    <w:link w:val="KommentarthemaZchn"/>
    <w:uiPriority w:val="99"/>
    <w:semiHidden/>
    <w:unhideWhenUsed/>
    <w:rsid w:val="006E516C"/>
    <w:rPr>
      <w:b/>
      <w:bCs/>
    </w:rPr>
  </w:style>
  <w:style w:type="character" w:customStyle="1" w:styleId="KommentarthemaZchn">
    <w:name w:val="Kommentarthema Zchn"/>
    <w:basedOn w:val="KommentartextZchn"/>
    <w:link w:val="Kommentarthema"/>
    <w:uiPriority w:val="99"/>
    <w:semiHidden/>
    <w:rsid w:val="006E51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6C11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112E"/>
  </w:style>
  <w:style w:type="character" w:styleId="Zeilennummer">
    <w:name w:val="line number"/>
    <w:basedOn w:val="Absatz-Standardschriftart"/>
    <w:uiPriority w:val="99"/>
    <w:semiHidden/>
    <w:unhideWhenUsed/>
    <w:rsid w:val="006C112E"/>
  </w:style>
  <w:style w:type="paragraph" w:styleId="Sprechblasentext">
    <w:name w:val="Balloon Text"/>
    <w:basedOn w:val="Standard"/>
    <w:link w:val="SprechblasentextZchn"/>
    <w:uiPriority w:val="99"/>
    <w:semiHidden/>
    <w:unhideWhenUsed/>
    <w:rsid w:val="006C11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12E"/>
    <w:rPr>
      <w:rFonts w:ascii="Tahoma" w:hAnsi="Tahoma" w:cs="Tahoma"/>
      <w:sz w:val="16"/>
      <w:szCs w:val="16"/>
    </w:rPr>
  </w:style>
  <w:style w:type="paragraph" w:styleId="Literaturverzeichnis">
    <w:name w:val="Bibliography"/>
    <w:basedOn w:val="Standard"/>
    <w:next w:val="Standard"/>
    <w:uiPriority w:val="37"/>
    <w:unhideWhenUsed/>
    <w:rsid w:val="00BF60F0"/>
    <w:pPr>
      <w:spacing w:after="0" w:line="240" w:lineRule="auto"/>
      <w:ind w:left="720" w:hanging="720"/>
    </w:pPr>
  </w:style>
  <w:style w:type="paragraph" w:styleId="Kopfzeile">
    <w:name w:val="header"/>
    <w:basedOn w:val="Standard"/>
    <w:link w:val="KopfzeileZchn"/>
    <w:uiPriority w:val="99"/>
    <w:unhideWhenUsed/>
    <w:rsid w:val="003F5B9E"/>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3F5B9E"/>
  </w:style>
  <w:style w:type="table" w:customStyle="1" w:styleId="Tabellenraster1">
    <w:name w:val="Tabellenraster1"/>
    <w:basedOn w:val="NormaleTabelle"/>
    <w:next w:val="Tabellenraster"/>
    <w:uiPriority w:val="59"/>
    <w:rsid w:val="004517A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NormaleTabelle"/>
    <w:uiPriority w:val="40"/>
    <w:rsid w:val="004517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59"/>
    <w:rsid w:val="00451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A57DC"/>
    <w:pPr>
      <w:ind w:left="720"/>
      <w:contextualSpacing/>
    </w:pPr>
  </w:style>
  <w:style w:type="table" w:customStyle="1" w:styleId="Tabellenraster2">
    <w:name w:val="Tabellenraster2"/>
    <w:basedOn w:val="NormaleTabelle"/>
    <w:next w:val="Tabellenraster"/>
    <w:uiPriority w:val="59"/>
    <w:rsid w:val="007F2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E516C"/>
    <w:rPr>
      <w:sz w:val="16"/>
      <w:szCs w:val="16"/>
    </w:rPr>
  </w:style>
  <w:style w:type="paragraph" w:styleId="Kommentartext">
    <w:name w:val="annotation text"/>
    <w:basedOn w:val="Standard"/>
    <w:link w:val="KommentartextZchn"/>
    <w:uiPriority w:val="99"/>
    <w:semiHidden/>
    <w:unhideWhenUsed/>
    <w:rsid w:val="006E51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516C"/>
    <w:rPr>
      <w:sz w:val="20"/>
      <w:szCs w:val="20"/>
    </w:rPr>
  </w:style>
  <w:style w:type="paragraph" w:styleId="Kommentarthema">
    <w:name w:val="annotation subject"/>
    <w:basedOn w:val="Kommentartext"/>
    <w:next w:val="Kommentartext"/>
    <w:link w:val="KommentarthemaZchn"/>
    <w:uiPriority w:val="99"/>
    <w:semiHidden/>
    <w:unhideWhenUsed/>
    <w:rsid w:val="006E516C"/>
    <w:rPr>
      <w:b/>
      <w:bCs/>
    </w:rPr>
  </w:style>
  <w:style w:type="character" w:customStyle="1" w:styleId="KommentarthemaZchn">
    <w:name w:val="Kommentarthema Zchn"/>
    <w:basedOn w:val="KommentartextZchn"/>
    <w:link w:val="Kommentarthema"/>
    <w:uiPriority w:val="99"/>
    <w:semiHidden/>
    <w:rsid w:val="006E51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167030">
      <w:bodyDiv w:val="1"/>
      <w:marLeft w:val="0"/>
      <w:marRight w:val="0"/>
      <w:marTop w:val="0"/>
      <w:marBottom w:val="0"/>
      <w:divBdr>
        <w:top w:val="none" w:sz="0" w:space="0" w:color="auto"/>
        <w:left w:val="none" w:sz="0" w:space="0" w:color="auto"/>
        <w:bottom w:val="none" w:sz="0" w:space="0" w:color="auto"/>
        <w:right w:val="none" w:sz="0" w:space="0" w:color="auto"/>
      </w:divBdr>
    </w:div>
    <w:div w:id="175797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tiff"/><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3589</Words>
  <Characters>20463</Characters>
  <Application>Microsoft Office Word</Application>
  <DocSecurity>0</DocSecurity>
  <Lines>170</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Uniklinikum Freiburg</Company>
  <LinksUpToDate>false</LinksUpToDate>
  <CharactersWithSpaces>24004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Talib Arif</dc:creator>
  <cp:lastModifiedBy>Ali Talib Arif</cp:lastModifiedBy>
  <cp:revision>5</cp:revision>
  <dcterms:created xsi:type="dcterms:W3CDTF">2018-07-16T16:09:00Z</dcterms:created>
  <dcterms:modified xsi:type="dcterms:W3CDTF">2018-08-20T12:17:00Z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zotero-version="5.0.34.5"&gt;&lt;session id="RmGbolyV"/&gt;&lt;style id="http://www.zotero.org/styles/toxicological-and-environmental-chemistry" hasBibliography="1" bibliographyStyleHasBeenSet="1"/&gt;&lt;prefs&gt;&lt;pref name="fieldType" value="Field"/&gt;&lt;</vt:lpwstr>
  </property>
  <property fmtid="{D5CDD505-2E9C-101B-9397-08002B2CF9AE}" pid="3" name="ZOTERO_PREF_2">
    <vt:lpwstr>pref name="automaticJournalAbbreviations" value="true"/&gt;&lt;pref name="noteType" value="0"/&gt;&lt;/prefs&gt;&lt;/data&gt;</vt:lpwstr>
  </property>
</Properties>
</file>