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1" w:rsidRDefault="002F4B01" w:rsidP="002F4B01">
      <w:pPr>
        <w:shd w:val="clear" w:color="auto" w:fill="FFFFFF"/>
        <w:tabs>
          <w:tab w:val="left" w:pos="975"/>
        </w:tabs>
        <w:spacing w:before="240" w:after="120" w:line="480" w:lineRule="auto"/>
        <w:ind w:left="993" w:hanging="975"/>
        <w:outlineLvl w:val="0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>Supplementary material</w:t>
      </w:r>
    </w:p>
    <w:p w:rsidR="002F4B01" w:rsidRDefault="002F4B01" w:rsidP="002F4B01">
      <w:pPr>
        <w:pStyle w:val="Nadpis1"/>
        <w:keepNext w:val="0"/>
        <w:keepLines w:val="0"/>
        <w:spacing w:line="480" w:lineRule="auto"/>
        <w:rPr>
          <w:lang w:val="en-US"/>
        </w:rPr>
      </w:pPr>
      <w:r>
        <w:rPr>
          <w:lang w:val="en-US"/>
        </w:rPr>
        <w:t xml:space="preserve">Long-term relationship between </w:t>
      </w:r>
      <w:r w:rsidRPr="00044815">
        <w:rPr>
          <w:lang w:val="en-US"/>
        </w:rPr>
        <w:t xml:space="preserve">unattended automated blood pressure </w:t>
      </w:r>
      <w:r>
        <w:rPr>
          <w:lang w:val="en-US"/>
        </w:rPr>
        <w:t xml:space="preserve">and auscultatory BP </w:t>
      </w:r>
      <w:r w:rsidRPr="00044815">
        <w:rPr>
          <w:lang w:val="en-US"/>
        </w:rPr>
        <w:t xml:space="preserve">measurements in hypertensive patients </w:t>
      </w:r>
    </w:p>
    <w:p w:rsidR="002F4B01" w:rsidRPr="00044815" w:rsidRDefault="002F4B01" w:rsidP="002F4B01">
      <w:pPr>
        <w:spacing w:before="720" w:after="600" w:line="480" w:lineRule="auto"/>
        <w:jc w:val="center"/>
        <w:rPr>
          <w:rFonts w:ascii="Arial" w:hAnsi="Arial" w:cs="Arial"/>
          <w:lang w:val="en-US"/>
        </w:rPr>
      </w:pPr>
      <w:proofErr w:type="spellStart"/>
      <w:r w:rsidRPr="00044815">
        <w:rPr>
          <w:rFonts w:ascii="Arial" w:eastAsia="Arial" w:hAnsi="Arial" w:cs="Arial"/>
          <w:lang w:val="en-US"/>
        </w:rPr>
        <w:t>Jitka</w:t>
      </w:r>
      <w:proofErr w:type="spellEnd"/>
      <w:r w:rsidRPr="00044815">
        <w:rPr>
          <w:rFonts w:ascii="Arial" w:eastAsia="Arial" w:hAnsi="Arial" w:cs="Arial"/>
          <w:lang w:val="en-US"/>
        </w:rPr>
        <w:t xml:space="preserve"> </w:t>
      </w:r>
      <w:proofErr w:type="spellStart"/>
      <w:r w:rsidRPr="00044815">
        <w:rPr>
          <w:rFonts w:ascii="Arial" w:eastAsia="Arial" w:hAnsi="Arial" w:cs="Arial"/>
          <w:lang w:val="en-US"/>
        </w:rPr>
        <w:t>Seidlerová</w:t>
      </w:r>
      <w:r w:rsidRPr="00044815">
        <w:rPr>
          <w:rFonts w:ascii="Arial" w:eastAsia="Arial" w:hAnsi="Arial" w:cs="Arial"/>
          <w:vertAlign w:val="superscript"/>
          <w:lang w:val="en-US"/>
        </w:rPr>
        <w:t>a,b</w:t>
      </w:r>
      <w:proofErr w:type="spellEnd"/>
      <w:r w:rsidRPr="00044815">
        <w:rPr>
          <w:rFonts w:ascii="Arial" w:eastAsia="Arial" w:hAnsi="Arial" w:cs="Arial"/>
          <w:lang w:val="en-US"/>
        </w:rPr>
        <w:t xml:space="preserve">, </w:t>
      </w:r>
      <w:proofErr w:type="spellStart"/>
      <w:r w:rsidRPr="00044815">
        <w:rPr>
          <w:rFonts w:ascii="Arial" w:eastAsia="Arial" w:hAnsi="Arial" w:cs="Arial"/>
          <w:lang w:val="en-US"/>
        </w:rPr>
        <w:t>Jiří</w:t>
      </w:r>
      <w:proofErr w:type="spellEnd"/>
      <w:r w:rsidRPr="00044815">
        <w:rPr>
          <w:rFonts w:ascii="Arial" w:eastAsia="Arial" w:hAnsi="Arial" w:cs="Arial"/>
          <w:lang w:val="en-US"/>
        </w:rPr>
        <w:t xml:space="preserve"> </w:t>
      </w:r>
      <w:proofErr w:type="spellStart"/>
      <w:r w:rsidRPr="00044815">
        <w:rPr>
          <w:rFonts w:ascii="Arial" w:eastAsia="Arial" w:hAnsi="Arial" w:cs="Arial"/>
          <w:lang w:val="en-US"/>
        </w:rPr>
        <w:t>Ceral</w:t>
      </w:r>
      <w:r w:rsidRPr="00044815">
        <w:rPr>
          <w:rFonts w:ascii="Arial" w:eastAsia="Arial" w:hAnsi="Arial" w:cs="Arial"/>
          <w:vertAlign w:val="superscript"/>
          <w:lang w:val="en-US"/>
        </w:rPr>
        <w:t>c</w:t>
      </w:r>
      <w:proofErr w:type="spellEnd"/>
      <w:r w:rsidRPr="00044815">
        <w:rPr>
          <w:rFonts w:ascii="Arial" w:eastAsia="Arial" w:hAnsi="Arial" w:cs="Arial"/>
          <w:lang w:val="en-US"/>
        </w:rPr>
        <w:t xml:space="preserve">, </w:t>
      </w:r>
      <w:proofErr w:type="spellStart"/>
      <w:r w:rsidRPr="00044815">
        <w:rPr>
          <w:rFonts w:ascii="Arial" w:eastAsia="Arial" w:hAnsi="Arial" w:cs="Arial"/>
          <w:lang w:val="en-US"/>
        </w:rPr>
        <w:t>Markéta</w:t>
      </w:r>
      <w:proofErr w:type="spellEnd"/>
      <w:r w:rsidRPr="00044815">
        <w:rPr>
          <w:rFonts w:ascii="Arial" w:eastAsia="Arial" w:hAnsi="Arial" w:cs="Arial"/>
          <w:lang w:val="en-US"/>
        </w:rPr>
        <w:t xml:space="preserve"> </w:t>
      </w:r>
      <w:proofErr w:type="spellStart"/>
      <w:r w:rsidRPr="00044815">
        <w:rPr>
          <w:rFonts w:ascii="Arial" w:eastAsia="Arial" w:hAnsi="Arial" w:cs="Arial"/>
          <w:lang w:val="en-US"/>
        </w:rPr>
        <w:t>Mateřánková</w:t>
      </w:r>
      <w:r w:rsidRPr="00044815">
        <w:rPr>
          <w:rFonts w:ascii="Arial" w:eastAsia="Arial" w:hAnsi="Arial" w:cs="Arial"/>
          <w:vertAlign w:val="superscript"/>
          <w:lang w:val="en-US"/>
        </w:rPr>
        <w:t>a</w:t>
      </w:r>
      <w:proofErr w:type="spellEnd"/>
      <w:r w:rsidRPr="00044815">
        <w:rPr>
          <w:rFonts w:ascii="Arial" w:eastAsia="Arial" w:hAnsi="Arial" w:cs="Arial"/>
          <w:lang w:val="en-US"/>
        </w:rPr>
        <w:t xml:space="preserve">, Petr </w:t>
      </w:r>
      <w:proofErr w:type="spellStart"/>
      <w:r w:rsidRPr="00044815">
        <w:rPr>
          <w:rFonts w:ascii="Arial" w:eastAsia="Arial" w:hAnsi="Arial" w:cs="Arial"/>
          <w:lang w:val="en-US"/>
        </w:rPr>
        <w:t>König</w:t>
      </w:r>
      <w:r w:rsidRPr="00044815">
        <w:rPr>
          <w:rFonts w:ascii="Arial" w:eastAsia="Arial" w:hAnsi="Arial" w:cs="Arial"/>
          <w:vertAlign w:val="superscript"/>
          <w:lang w:val="en-US"/>
        </w:rPr>
        <w:t>a</w:t>
      </w:r>
      <w:proofErr w:type="spellEnd"/>
      <w:r w:rsidRPr="00044815">
        <w:rPr>
          <w:rFonts w:ascii="Arial" w:eastAsia="Arial" w:hAnsi="Arial" w:cs="Arial"/>
          <w:lang w:val="en-US"/>
        </w:rPr>
        <w:t xml:space="preserve">, Ivan </w:t>
      </w:r>
      <w:proofErr w:type="spellStart"/>
      <w:r w:rsidRPr="00044815">
        <w:rPr>
          <w:rFonts w:ascii="Arial" w:eastAsia="Arial" w:hAnsi="Arial" w:cs="Arial"/>
          <w:lang w:val="en-US"/>
        </w:rPr>
        <w:t>Řiháček</w:t>
      </w:r>
      <w:r w:rsidRPr="00044815">
        <w:rPr>
          <w:rFonts w:ascii="Arial" w:eastAsia="Arial" w:hAnsi="Arial" w:cs="Arial"/>
          <w:vertAlign w:val="superscript"/>
          <w:lang w:val="en-US"/>
        </w:rPr>
        <w:t>d</w:t>
      </w:r>
      <w:proofErr w:type="spellEnd"/>
      <w:r w:rsidRPr="00044815">
        <w:rPr>
          <w:rFonts w:ascii="Arial" w:eastAsia="Arial" w:hAnsi="Arial" w:cs="Arial"/>
          <w:lang w:val="en-US"/>
        </w:rPr>
        <w:t xml:space="preserve">, </w:t>
      </w:r>
      <w:r w:rsidRPr="00044815">
        <w:rPr>
          <w:rFonts w:ascii="Arial" w:eastAsia="Arial" w:hAnsi="Arial" w:cs="Arial"/>
          <w:lang w:val="en-US"/>
        </w:rPr>
        <w:br/>
        <w:t xml:space="preserve">Petra </w:t>
      </w:r>
      <w:proofErr w:type="spellStart"/>
      <w:r w:rsidRPr="00044815">
        <w:rPr>
          <w:rFonts w:ascii="Arial" w:eastAsia="Arial" w:hAnsi="Arial" w:cs="Arial"/>
          <w:lang w:val="en-US"/>
        </w:rPr>
        <w:t>Vysočanová</w:t>
      </w:r>
      <w:r w:rsidRPr="00044815">
        <w:rPr>
          <w:rFonts w:ascii="Arial" w:eastAsia="Arial" w:hAnsi="Arial" w:cs="Arial"/>
          <w:vertAlign w:val="superscript"/>
          <w:lang w:val="en-US"/>
        </w:rPr>
        <w:t>e</w:t>
      </w:r>
      <w:proofErr w:type="spellEnd"/>
      <w:r w:rsidRPr="00044815">
        <w:rPr>
          <w:rFonts w:ascii="Arial" w:eastAsia="Arial" w:hAnsi="Arial" w:cs="Arial"/>
          <w:lang w:val="en-US"/>
        </w:rPr>
        <w:t xml:space="preserve">, Miroslav </w:t>
      </w:r>
      <w:proofErr w:type="spellStart"/>
      <w:r w:rsidRPr="00044815">
        <w:rPr>
          <w:rFonts w:ascii="Arial" w:eastAsia="Arial" w:hAnsi="Arial" w:cs="Arial"/>
          <w:lang w:val="en-US"/>
        </w:rPr>
        <w:t>Souček</w:t>
      </w:r>
      <w:r w:rsidRPr="00044815">
        <w:rPr>
          <w:rFonts w:ascii="Arial" w:eastAsia="Arial" w:hAnsi="Arial" w:cs="Arial"/>
          <w:vertAlign w:val="superscript"/>
          <w:lang w:val="en-US"/>
        </w:rPr>
        <w:t>d</w:t>
      </w:r>
      <w:proofErr w:type="spellEnd"/>
      <w:r w:rsidRPr="00044815">
        <w:rPr>
          <w:rFonts w:ascii="Arial" w:eastAsia="Arial" w:hAnsi="Arial" w:cs="Arial"/>
          <w:lang w:val="en-US"/>
        </w:rPr>
        <w:t xml:space="preserve">, Jan </w:t>
      </w:r>
      <w:proofErr w:type="spellStart"/>
      <w:r w:rsidRPr="00044815">
        <w:rPr>
          <w:rFonts w:ascii="Arial" w:eastAsia="Arial" w:hAnsi="Arial" w:cs="Arial"/>
          <w:lang w:val="en-US"/>
        </w:rPr>
        <w:t>Filipovský</w:t>
      </w:r>
      <w:r w:rsidRPr="00044815">
        <w:rPr>
          <w:rFonts w:ascii="Arial" w:eastAsia="Arial" w:hAnsi="Arial" w:cs="Arial"/>
          <w:vertAlign w:val="superscript"/>
          <w:lang w:val="en-US"/>
        </w:rPr>
        <w:t>a,b</w:t>
      </w:r>
      <w:proofErr w:type="spellEnd"/>
      <w:r w:rsidRPr="00044815">
        <w:rPr>
          <w:rFonts w:ascii="Arial" w:eastAsia="Arial" w:hAnsi="Arial" w:cs="Arial"/>
          <w:lang w:val="en-US"/>
        </w:rPr>
        <w:t xml:space="preserve">, </w:t>
      </w:r>
    </w:p>
    <w:p w:rsidR="002F4B01" w:rsidRDefault="002F4B01" w:rsidP="002F4B01">
      <w:pPr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br w:type="page"/>
      </w:r>
    </w:p>
    <w:p w:rsidR="002F4B01" w:rsidRPr="00044815" w:rsidRDefault="002F4B01" w:rsidP="002F4B01">
      <w:pPr>
        <w:shd w:val="clear" w:color="auto" w:fill="FFFFFF"/>
        <w:tabs>
          <w:tab w:val="left" w:pos="975"/>
        </w:tabs>
        <w:spacing w:before="240" w:after="120" w:line="480" w:lineRule="auto"/>
        <w:ind w:left="993" w:hanging="975"/>
        <w:outlineLvl w:val="0"/>
        <w:rPr>
          <w:rFonts w:ascii="Arial" w:hAnsi="Arial" w:cs="Arial"/>
          <w:b/>
          <w:color w:val="auto"/>
          <w:lang w:val="en-US"/>
        </w:rPr>
      </w:pPr>
      <w:r w:rsidRPr="00044815">
        <w:rPr>
          <w:rFonts w:ascii="Arial" w:hAnsi="Arial" w:cs="Arial"/>
          <w:b/>
          <w:color w:val="auto"/>
          <w:lang w:val="en-US"/>
        </w:rPr>
        <w:lastRenderedPageBreak/>
        <w:t>Supplementary Table 1</w:t>
      </w:r>
      <w:r w:rsidRPr="00044815">
        <w:rPr>
          <w:rFonts w:ascii="Arial" w:hAnsi="Arial" w:cs="Arial"/>
          <w:b/>
          <w:color w:val="auto"/>
          <w:lang w:val="en-US"/>
        </w:rPr>
        <w:tab/>
        <w:t>Characteristics of the study population (n=112)</w:t>
      </w:r>
    </w:p>
    <w:tbl>
      <w:tblPr>
        <w:tblStyle w:val="Mkatabulky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1915"/>
      </w:tblGrid>
      <w:tr w:rsidR="002F4B01" w:rsidRPr="00044815" w:rsidTr="00CE07BD">
        <w:tc>
          <w:tcPr>
            <w:tcW w:w="4491" w:type="dxa"/>
            <w:tcBorders>
              <w:top w:val="single" w:sz="4" w:space="0" w:color="auto"/>
            </w:tcBorders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Women, n (%)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55 (49.1)</w:t>
            </w:r>
          </w:p>
        </w:tc>
      </w:tr>
      <w:tr w:rsidR="002F4B01" w:rsidRPr="00044815" w:rsidTr="00CE07BD"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Age, years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65.6±10.8</w:t>
            </w:r>
          </w:p>
        </w:tc>
      </w:tr>
      <w:tr w:rsidR="002F4B01" w:rsidRPr="00044815" w:rsidTr="00CE07BD"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Duration of follow-up, n (%)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F4B01" w:rsidRPr="00044815" w:rsidTr="00CE07BD"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17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&gt; 1 year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103 (92.0)</w:t>
            </w:r>
          </w:p>
        </w:tc>
      </w:tr>
      <w:tr w:rsidR="002F4B01" w:rsidRPr="00044815" w:rsidTr="00CE07BD"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17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6 – 12 months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8 (7.1)</w:t>
            </w:r>
          </w:p>
        </w:tc>
      </w:tr>
      <w:tr w:rsidR="002F4B01" w:rsidRPr="00044815" w:rsidTr="00CE07BD"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17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&lt; 6 months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1 (0.9)</w:t>
            </w:r>
          </w:p>
        </w:tc>
      </w:tr>
      <w:tr w:rsidR="002F4B01" w:rsidRPr="00044815" w:rsidTr="00CE07BD"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Diabetes mellitus, n (%)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24 (21.4)</w:t>
            </w:r>
          </w:p>
        </w:tc>
      </w:tr>
      <w:tr w:rsidR="002F4B01" w:rsidRPr="00044815" w:rsidTr="00CE07BD"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Hyperlipidemia, n (%)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79 (70.5)</w:t>
            </w:r>
          </w:p>
        </w:tc>
      </w:tr>
      <w:tr w:rsidR="002F4B01" w:rsidRPr="00044815" w:rsidTr="00CE07BD"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Current smokers, n (%)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12 (10.7)</w:t>
            </w:r>
          </w:p>
        </w:tc>
      </w:tr>
      <w:tr w:rsidR="002F4B01" w:rsidRPr="00044815" w:rsidTr="00CE07BD"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Number of antihypertensive drugs, n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2.9±1.2</w:t>
            </w:r>
          </w:p>
        </w:tc>
      </w:tr>
      <w:tr w:rsidR="002F4B01" w:rsidRPr="00044815" w:rsidTr="00CE07BD">
        <w:trPr>
          <w:trHeight w:val="68"/>
        </w:trPr>
        <w:tc>
          <w:tcPr>
            <w:tcW w:w="4491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BMI, kg/m</w:t>
            </w:r>
            <w:r w:rsidRPr="00044815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915" w:type="dxa"/>
          </w:tcPr>
          <w:p w:rsidR="002F4B01" w:rsidRPr="00044815" w:rsidRDefault="002F4B01" w:rsidP="00CE07BD">
            <w:pPr>
              <w:pStyle w:val="Odstavecseseznamem"/>
              <w:spacing w:line="480" w:lineRule="auto"/>
              <w:ind w:left="0"/>
              <w:contextualSpacing w:val="0"/>
              <w:jc w:val="center"/>
              <w:rPr>
                <w:rFonts w:ascii="Arial" w:hAnsi="Arial" w:cs="Arial"/>
                <w:lang w:val="en-US"/>
              </w:rPr>
            </w:pPr>
            <w:r w:rsidRPr="00044815">
              <w:rPr>
                <w:rFonts w:ascii="Arial" w:hAnsi="Arial" w:cs="Arial"/>
                <w:lang w:val="en-US"/>
              </w:rPr>
              <w:t>29.8±4.9</w:t>
            </w:r>
          </w:p>
        </w:tc>
      </w:tr>
    </w:tbl>
    <w:p w:rsidR="002F4B01" w:rsidRPr="00044815" w:rsidRDefault="002F4B01" w:rsidP="002F4B01">
      <w:pPr>
        <w:rPr>
          <w:rFonts w:ascii="Arial" w:hAnsi="Arial" w:cs="Arial"/>
          <w:sz w:val="20"/>
          <w:lang w:val="en-US"/>
        </w:rPr>
      </w:pPr>
      <w:r w:rsidRPr="00044815">
        <w:rPr>
          <w:rFonts w:ascii="Arial" w:hAnsi="Arial" w:cs="Arial"/>
          <w:sz w:val="20"/>
          <w:lang w:val="en-US"/>
        </w:rPr>
        <w:t xml:space="preserve">Data are </w:t>
      </w:r>
      <w:proofErr w:type="spellStart"/>
      <w:r w:rsidRPr="00044815">
        <w:rPr>
          <w:rFonts w:ascii="Arial" w:hAnsi="Arial" w:cs="Arial"/>
          <w:sz w:val="20"/>
          <w:lang w:val="en-US"/>
        </w:rPr>
        <w:t>means±SD</w:t>
      </w:r>
      <w:proofErr w:type="spellEnd"/>
      <w:r w:rsidRPr="00044815">
        <w:rPr>
          <w:rFonts w:ascii="Arial" w:hAnsi="Arial" w:cs="Arial"/>
          <w:sz w:val="20"/>
          <w:lang w:val="en-US"/>
        </w:rPr>
        <w:t xml:space="preserve"> or number (percentage).</w:t>
      </w:r>
    </w:p>
    <w:p w:rsidR="00FB77ED" w:rsidRDefault="00FB77ED">
      <w:pPr>
        <w:sectPr w:rsidR="00FB77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301" w:rsidRPr="00C95949" w:rsidRDefault="00404301" w:rsidP="00404301">
      <w:pPr>
        <w:spacing w:line="480" w:lineRule="auto"/>
        <w:rPr>
          <w:rFonts w:ascii="Arial" w:hAnsi="Arial" w:cs="Arial"/>
          <w:lang w:val="en-US"/>
        </w:rPr>
      </w:pPr>
      <w:r w:rsidRPr="00C95949">
        <w:rPr>
          <w:rFonts w:ascii="Arial" w:hAnsi="Arial" w:cs="Arial"/>
          <w:b/>
          <w:lang w:val="en-US"/>
        </w:rPr>
        <w:lastRenderedPageBreak/>
        <w:t xml:space="preserve">Supplement Table </w:t>
      </w:r>
      <w:r w:rsidR="002F4B01" w:rsidRPr="00C95949">
        <w:rPr>
          <w:rFonts w:ascii="Arial" w:hAnsi="Arial" w:cs="Arial"/>
          <w:b/>
          <w:lang w:val="en-US"/>
        </w:rPr>
        <w:t>2</w:t>
      </w:r>
      <w:r w:rsidRPr="00C95949">
        <w:rPr>
          <w:rFonts w:ascii="Arial" w:hAnsi="Arial" w:cs="Arial"/>
          <w:b/>
          <w:lang w:val="en-US"/>
        </w:rPr>
        <w:tab/>
        <w:t xml:space="preserve">Determinants of the difference between systolic and diastolic </w:t>
      </w:r>
      <w:proofErr w:type="spellStart"/>
      <w:r w:rsidRPr="00C95949">
        <w:rPr>
          <w:rFonts w:ascii="Arial" w:hAnsi="Arial" w:cs="Arial"/>
          <w:b/>
          <w:lang w:val="en-US"/>
        </w:rPr>
        <w:t>AuscOBP</w:t>
      </w:r>
      <w:proofErr w:type="spellEnd"/>
      <w:r w:rsidRPr="00C95949">
        <w:rPr>
          <w:rFonts w:ascii="Arial" w:hAnsi="Arial" w:cs="Arial"/>
          <w:b/>
          <w:lang w:val="en-US"/>
        </w:rPr>
        <w:t xml:space="preserve"> and </w:t>
      </w:r>
      <w:proofErr w:type="spellStart"/>
      <w:r w:rsidRPr="00C95949">
        <w:rPr>
          <w:rFonts w:ascii="Arial" w:hAnsi="Arial" w:cs="Arial"/>
          <w:b/>
          <w:lang w:val="en-US"/>
        </w:rPr>
        <w:t>uAutoOBP</w:t>
      </w:r>
      <w:proofErr w:type="spellEnd"/>
    </w:p>
    <w:tbl>
      <w:tblPr>
        <w:tblStyle w:val="Mkatabulky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1939"/>
        <w:gridCol w:w="1362"/>
        <w:gridCol w:w="1560"/>
      </w:tblGrid>
      <w:tr w:rsidR="00404301" w:rsidRPr="00C95949" w:rsidTr="00CE07BD"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Variables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β±SEM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P</w:t>
            </w:r>
          </w:p>
        </w:tc>
      </w:tr>
      <w:tr w:rsidR="00404301" w:rsidRPr="00C95949" w:rsidTr="00CE07B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5949">
              <w:rPr>
                <w:rFonts w:ascii="Arial" w:hAnsi="Arial" w:cs="Arial"/>
                <w:b/>
                <w:lang w:val="en-US"/>
              </w:rPr>
              <w:t>Systolic BP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 xml:space="preserve">Systolic </w:t>
            </w:r>
            <w:proofErr w:type="spellStart"/>
            <w:r w:rsidRPr="00C95949">
              <w:rPr>
                <w:rFonts w:ascii="Arial" w:hAnsi="Arial" w:cs="Arial"/>
                <w:lang w:val="en-US"/>
              </w:rPr>
              <w:t>AuscOBP</w:t>
            </w:r>
            <w:proofErr w:type="spellEnd"/>
            <w:r w:rsidRPr="00C95949">
              <w:rPr>
                <w:rFonts w:ascii="Arial" w:hAnsi="Arial" w:cs="Arial"/>
                <w:lang w:val="en-US"/>
              </w:rPr>
              <w:t>, mm Hg</w:t>
            </w:r>
          </w:p>
        </w:tc>
        <w:tc>
          <w:tcPr>
            <w:tcW w:w="1044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0.30±0.03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90.51</w:t>
            </w:r>
          </w:p>
        </w:tc>
        <w:tc>
          <w:tcPr>
            <w:tcW w:w="839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&lt;0.0001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Age, years</w:t>
            </w:r>
          </w:p>
        </w:tc>
        <w:tc>
          <w:tcPr>
            <w:tcW w:w="1044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0.09±0.04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5.08</w:t>
            </w:r>
          </w:p>
        </w:tc>
        <w:tc>
          <w:tcPr>
            <w:tcW w:w="839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0.025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Sex , male</w:t>
            </w:r>
          </w:p>
        </w:tc>
        <w:tc>
          <w:tcPr>
            <w:tcW w:w="1044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-1.81±0.88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4.21</w:t>
            </w:r>
          </w:p>
        </w:tc>
        <w:tc>
          <w:tcPr>
            <w:tcW w:w="839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0.043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BMI, kg/m</w:t>
            </w:r>
            <w:r w:rsidRPr="00C95949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044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-0.23±0.09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6.22</w:t>
            </w:r>
          </w:p>
        </w:tc>
        <w:tc>
          <w:tcPr>
            <w:tcW w:w="839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0.013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Heart rate, bpm</w:t>
            </w:r>
          </w:p>
        </w:tc>
        <w:tc>
          <w:tcPr>
            <w:tcW w:w="1044" w:type="pct"/>
            <w:tcBorders>
              <w:top w:val="nil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-0.07±0.04</w:t>
            </w:r>
          </w:p>
        </w:tc>
        <w:tc>
          <w:tcPr>
            <w:tcW w:w="733" w:type="pct"/>
            <w:tcBorders>
              <w:top w:val="nil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2.41</w:t>
            </w:r>
          </w:p>
        </w:tc>
        <w:tc>
          <w:tcPr>
            <w:tcW w:w="839" w:type="pct"/>
            <w:tcBorders>
              <w:top w:val="nil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0.12</w:t>
            </w:r>
          </w:p>
        </w:tc>
      </w:tr>
      <w:tr w:rsidR="00404301" w:rsidRPr="00C95949" w:rsidTr="00CE07BD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95949">
              <w:rPr>
                <w:rFonts w:ascii="Arial" w:hAnsi="Arial" w:cs="Arial"/>
                <w:b/>
                <w:lang w:val="en-US"/>
              </w:rPr>
              <w:t>Diastolic BP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 xml:space="preserve">Diastolic </w:t>
            </w:r>
            <w:proofErr w:type="spellStart"/>
            <w:r w:rsidRPr="00C95949">
              <w:rPr>
                <w:rFonts w:ascii="Arial" w:hAnsi="Arial" w:cs="Arial"/>
                <w:lang w:val="en-US"/>
              </w:rPr>
              <w:t>AuscOBP</w:t>
            </w:r>
            <w:proofErr w:type="spellEnd"/>
            <w:r w:rsidRPr="00C95949">
              <w:rPr>
                <w:rFonts w:ascii="Arial" w:hAnsi="Arial" w:cs="Arial"/>
                <w:lang w:val="en-US"/>
              </w:rPr>
              <w:t>, mm Hg</w:t>
            </w:r>
          </w:p>
        </w:tc>
        <w:tc>
          <w:tcPr>
            <w:tcW w:w="1044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0.32±0.03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116.27</w:t>
            </w:r>
          </w:p>
        </w:tc>
        <w:tc>
          <w:tcPr>
            <w:tcW w:w="839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&lt;0.0001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Age, years</w:t>
            </w:r>
          </w:p>
        </w:tc>
        <w:tc>
          <w:tcPr>
            <w:tcW w:w="1044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0.09±0.03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8.21</w:t>
            </w:r>
          </w:p>
        </w:tc>
        <w:tc>
          <w:tcPr>
            <w:tcW w:w="839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0.0044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Sex , male</w:t>
            </w:r>
          </w:p>
        </w:tc>
        <w:tc>
          <w:tcPr>
            <w:tcW w:w="1044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-2.06±0.67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9.32</w:t>
            </w:r>
          </w:p>
        </w:tc>
        <w:tc>
          <w:tcPr>
            <w:tcW w:w="839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0.0029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BMI, kg/m</w:t>
            </w:r>
            <w:r w:rsidRPr="00C95949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044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-0.15±0.07</w:t>
            </w:r>
          </w:p>
        </w:tc>
        <w:tc>
          <w:tcPr>
            <w:tcW w:w="733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4.52</w:t>
            </w:r>
          </w:p>
        </w:tc>
        <w:tc>
          <w:tcPr>
            <w:tcW w:w="839" w:type="pct"/>
            <w:tcBorders>
              <w:top w:val="nil"/>
              <w:bottom w:val="nil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0.034</w:t>
            </w:r>
          </w:p>
        </w:tc>
      </w:tr>
      <w:tr w:rsidR="00404301" w:rsidRPr="00C95949" w:rsidTr="00CE07BD">
        <w:tc>
          <w:tcPr>
            <w:tcW w:w="2383" w:type="pct"/>
            <w:tcBorders>
              <w:top w:val="nil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Heart rate, bpm</w:t>
            </w:r>
          </w:p>
        </w:tc>
        <w:tc>
          <w:tcPr>
            <w:tcW w:w="1044" w:type="pct"/>
            <w:tcBorders>
              <w:top w:val="nil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-0.08±0.03</w:t>
            </w:r>
          </w:p>
        </w:tc>
        <w:tc>
          <w:tcPr>
            <w:tcW w:w="733" w:type="pct"/>
            <w:tcBorders>
              <w:top w:val="nil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5.72</w:t>
            </w:r>
          </w:p>
        </w:tc>
        <w:tc>
          <w:tcPr>
            <w:tcW w:w="839" w:type="pct"/>
            <w:tcBorders>
              <w:top w:val="nil"/>
              <w:bottom w:val="single" w:sz="4" w:space="0" w:color="auto"/>
            </w:tcBorders>
          </w:tcPr>
          <w:p w:rsidR="00404301" w:rsidRPr="00C95949" w:rsidRDefault="00404301" w:rsidP="00CE07BD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95949">
              <w:rPr>
                <w:rFonts w:ascii="Arial" w:hAnsi="Arial" w:cs="Arial"/>
                <w:lang w:val="en-US"/>
              </w:rPr>
              <w:t>0.017</w:t>
            </w:r>
          </w:p>
        </w:tc>
      </w:tr>
    </w:tbl>
    <w:p w:rsidR="00404301" w:rsidRDefault="00404301">
      <w:pPr>
        <w:rPr>
          <w:rFonts w:ascii="Arial" w:hAnsi="Arial" w:cs="Arial"/>
          <w:sz w:val="20"/>
          <w:lang w:val="en-US"/>
        </w:rPr>
      </w:pPr>
      <w:r w:rsidRPr="00C95949">
        <w:rPr>
          <w:rFonts w:ascii="Arial" w:hAnsi="Arial" w:cs="Arial"/>
          <w:sz w:val="20"/>
          <w:lang w:val="en-US"/>
        </w:rPr>
        <w:t>Multivariate linear regression using mixed model and accounted for repeated measurements in one subject.</w:t>
      </w:r>
    </w:p>
    <w:p w:rsidR="00404301" w:rsidRDefault="00404301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:rsidR="007B62A8" w:rsidRPr="00534B90" w:rsidRDefault="002350A8">
      <w:pPr>
        <w:rPr>
          <w:highlight w:val="yellow"/>
        </w:rPr>
      </w:pPr>
      <w:r w:rsidRPr="00534B90">
        <w:rPr>
          <w:noProof/>
          <w:highlight w:val="yellow"/>
        </w:rPr>
        <w:lastRenderedPageBreak/>
        <w:drawing>
          <wp:inline distT="0" distB="0" distL="0" distR="0" wp14:anchorId="14EC6B34" wp14:editId="4CD9786A">
            <wp:extent cx="4876800" cy="4800600"/>
            <wp:effectExtent l="0" t="0" r="0" b="0"/>
            <wp:docPr id="1" name="Obrázek 1" descr="C:\Users\Jitka\Documents\PROJEKTY STUDIE\Automatické měření TK\více center\dlouhodoba variabilita TK\BA VCH vs else all vis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Documents\PROJEKTY STUDIE\Automatické měření TK\více center\dlouhodoba variabilita TK\BA VCH vs else all visi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81" w:rsidRPr="00C95949" w:rsidRDefault="002350A8" w:rsidP="00FB58AC">
      <w:pPr>
        <w:spacing w:line="480" w:lineRule="auto"/>
        <w:rPr>
          <w:rFonts w:ascii="Arial" w:hAnsi="Arial" w:cs="Arial"/>
        </w:rPr>
      </w:pPr>
      <w:proofErr w:type="spellStart"/>
      <w:r w:rsidRPr="00C95949">
        <w:rPr>
          <w:rFonts w:ascii="Arial" w:hAnsi="Arial" w:cs="Arial"/>
          <w:b/>
        </w:rPr>
        <w:t>Supplement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Figure</w:t>
      </w:r>
      <w:proofErr w:type="spellEnd"/>
      <w:r w:rsidRPr="00C95949">
        <w:rPr>
          <w:rFonts w:ascii="Arial" w:hAnsi="Arial" w:cs="Arial"/>
          <w:b/>
        </w:rPr>
        <w:t xml:space="preserve"> 1</w:t>
      </w:r>
      <w:r w:rsidRPr="00C95949">
        <w:rPr>
          <w:rFonts w:ascii="Arial" w:hAnsi="Arial" w:cs="Arial"/>
          <w:b/>
        </w:rPr>
        <w:tab/>
      </w:r>
      <w:proofErr w:type="spellStart"/>
      <w:r w:rsidRPr="00C95949">
        <w:rPr>
          <w:rFonts w:ascii="Arial" w:hAnsi="Arial" w:cs="Arial"/>
          <w:b/>
        </w:rPr>
        <w:t>Bland</w:t>
      </w:r>
      <w:proofErr w:type="spellEnd"/>
      <w:r w:rsidRPr="00C95949">
        <w:rPr>
          <w:rFonts w:ascii="Arial" w:hAnsi="Arial" w:cs="Arial"/>
          <w:b/>
        </w:rPr>
        <w:t xml:space="preserve">-Altman </w:t>
      </w:r>
      <w:proofErr w:type="spellStart"/>
      <w:r w:rsidRPr="00C95949">
        <w:rPr>
          <w:rFonts w:ascii="Arial" w:hAnsi="Arial" w:cs="Arial"/>
          <w:b/>
        </w:rPr>
        <w:t>analysis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comparing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systolic</w:t>
      </w:r>
      <w:proofErr w:type="spellEnd"/>
      <w:r w:rsidRPr="00C95949">
        <w:rPr>
          <w:rFonts w:ascii="Arial" w:hAnsi="Arial" w:cs="Arial"/>
          <w:b/>
        </w:rPr>
        <w:t xml:space="preserve"> auscultatory to </w:t>
      </w:r>
      <w:proofErr w:type="spellStart"/>
      <w:r w:rsidRPr="00C95949">
        <w:rPr>
          <w:rFonts w:ascii="Arial" w:hAnsi="Arial" w:cs="Arial"/>
          <w:b/>
        </w:rPr>
        <w:t>unattended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="00364181" w:rsidRPr="00C95949">
        <w:rPr>
          <w:rFonts w:ascii="Arial" w:hAnsi="Arial" w:cs="Arial"/>
          <w:b/>
        </w:rPr>
        <w:t>automated</w:t>
      </w:r>
      <w:proofErr w:type="spellEnd"/>
      <w:r w:rsidR="00364181" w:rsidRPr="00C95949">
        <w:rPr>
          <w:rFonts w:ascii="Arial" w:hAnsi="Arial" w:cs="Arial"/>
          <w:b/>
        </w:rPr>
        <w:t xml:space="preserve"> </w:t>
      </w:r>
      <w:proofErr w:type="spellStart"/>
      <w:r w:rsidR="00364181" w:rsidRPr="00C95949">
        <w:rPr>
          <w:rFonts w:ascii="Arial" w:hAnsi="Arial" w:cs="Arial"/>
          <w:b/>
        </w:rPr>
        <w:t>blood</w:t>
      </w:r>
      <w:proofErr w:type="spellEnd"/>
      <w:r w:rsidR="00364181" w:rsidRPr="00C95949">
        <w:rPr>
          <w:rFonts w:ascii="Arial" w:hAnsi="Arial" w:cs="Arial"/>
          <w:b/>
        </w:rPr>
        <w:t xml:space="preserve"> </w:t>
      </w:r>
      <w:proofErr w:type="spellStart"/>
      <w:r w:rsidR="00364181" w:rsidRPr="00C95949">
        <w:rPr>
          <w:rFonts w:ascii="Arial" w:hAnsi="Arial" w:cs="Arial"/>
          <w:b/>
        </w:rPr>
        <w:t>pressure</w:t>
      </w:r>
      <w:proofErr w:type="spellEnd"/>
      <w:r w:rsidR="00364181" w:rsidRPr="00C95949">
        <w:rPr>
          <w:rFonts w:ascii="Arial" w:hAnsi="Arial" w:cs="Arial"/>
          <w:b/>
        </w:rPr>
        <w:t xml:space="preserve"> in </w:t>
      </w:r>
      <w:proofErr w:type="spellStart"/>
      <w:r w:rsidR="00364181" w:rsidRPr="00C95949">
        <w:rPr>
          <w:rFonts w:ascii="Arial" w:hAnsi="Arial" w:cs="Arial"/>
          <w:b/>
        </w:rPr>
        <w:t>all</w:t>
      </w:r>
      <w:proofErr w:type="spellEnd"/>
      <w:r w:rsidR="00364181" w:rsidRPr="00C95949">
        <w:rPr>
          <w:rFonts w:ascii="Arial" w:hAnsi="Arial" w:cs="Arial"/>
          <w:b/>
        </w:rPr>
        <w:t xml:space="preserve"> </w:t>
      </w:r>
      <w:proofErr w:type="spellStart"/>
      <w:r w:rsidR="00364181" w:rsidRPr="00C95949">
        <w:rPr>
          <w:rFonts w:ascii="Arial" w:hAnsi="Arial" w:cs="Arial"/>
          <w:b/>
        </w:rPr>
        <w:t>four</w:t>
      </w:r>
      <w:proofErr w:type="spellEnd"/>
      <w:r w:rsidR="00364181" w:rsidRPr="00C95949">
        <w:rPr>
          <w:rFonts w:ascii="Arial" w:hAnsi="Arial" w:cs="Arial"/>
          <w:b/>
        </w:rPr>
        <w:t xml:space="preserve"> </w:t>
      </w:r>
      <w:proofErr w:type="spellStart"/>
      <w:r w:rsidR="00364181" w:rsidRPr="00C95949">
        <w:rPr>
          <w:rFonts w:ascii="Arial" w:hAnsi="Arial" w:cs="Arial"/>
          <w:b/>
        </w:rPr>
        <w:t>clinical</w:t>
      </w:r>
      <w:proofErr w:type="spellEnd"/>
      <w:r w:rsidR="00364181" w:rsidRPr="00C95949">
        <w:rPr>
          <w:rFonts w:ascii="Arial" w:hAnsi="Arial" w:cs="Arial"/>
          <w:b/>
        </w:rPr>
        <w:t xml:space="preserve"> </w:t>
      </w:r>
      <w:proofErr w:type="spellStart"/>
      <w:r w:rsidR="00364181" w:rsidRPr="00C95949">
        <w:rPr>
          <w:rFonts w:ascii="Arial" w:hAnsi="Arial" w:cs="Arial"/>
          <w:b/>
        </w:rPr>
        <w:t>visits</w:t>
      </w:r>
      <w:proofErr w:type="spellEnd"/>
      <w:r w:rsidR="00364181" w:rsidRPr="00C95949">
        <w:rPr>
          <w:rFonts w:ascii="Arial" w:hAnsi="Arial" w:cs="Arial"/>
        </w:rPr>
        <w:t>.</w:t>
      </w:r>
      <w:r w:rsidR="00364181" w:rsidRPr="00C95949">
        <w:rPr>
          <w:rFonts w:ascii="Arial" w:hAnsi="Arial" w:cs="Arial"/>
        </w:rPr>
        <w:br/>
      </w:r>
      <w:proofErr w:type="spellStart"/>
      <w:r w:rsidR="00364181" w:rsidRPr="00C95949">
        <w:rPr>
          <w:rFonts w:ascii="Arial" w:hAnsi="Arial" w:cs="Arial"/>
        </w:rPr>
        <w:t>Mean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differences</w:t>
      </w:r>
      <w:proofErr w:type="spellEnd"/>
      <w:r w:rsidR="00364181" w:rsidRPr="00C95949">
        <w:rPr>
          <w:rFonts w:ascii="Arial" w:hAnsi="Arial" w:cs="Arial"/>
        </w:rPr>
        <w:t xml:space="preserve"> (solid lines) and </w:t>
      </w:r>
      <w:proofErr w:type="spellStart"/>
      <w:r w:rsidR="00364181" w:rsidRPr="00C95949">
        <w:rPr>
          <w:rFonts w:ascii="Arial" w:hAnsi="Arial" w:cs="Arial"/>
        </w:rPr>
        <w:t>limits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of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agreements</w:t>
      </w:r>
      <w:proofErr w:type="spellEnd"/>
      <w:r w:rsidR="00364181" w:rsidRPr="00C95949">
        <w:rPr>
          <w:rFonts w:ascii="Arial" w:hAnsi="Arial" w:cs="Arial"/>
        </w:rPr>
        <w:t xml:space="preserve"> (±1.96*standard </w:t>
      </w:r>
      <w:proofErr w:type="spellStart"/>
      <w:r w:rsidR="00364181" w:rsidRPr="00C95949">
        <w:rPr>
          <w:rFonts w:ascii="Arial" w:hAnsi="Arial" w:cs="Arial"/>
        </w:rPr>
        <w:t>deviation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of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difference</w:t>
      </w:r>
      <w:proofErr w:type="spellEnd"/>
      <w:r w:rsidR="00364181" w:rsidRPr="00C95949">
        <w:rPr>
          <w:rFonts w:ascii="Arial" w:hAnsi="Arial" w:cs="Arial"/>
        </w:rPr>
        <w:t xml:space="preserve">; </w:t>
      </w:r>
      <w:proofErr w:type="spellStart"/>
      <w:r w:rsidR="00364181" w:rsidRPr="00C95949">
        <w:rPr>
          <w:rFonts w:ascii="Arial" w:hAnsi="Arial" w:cs="Arial"/>
        </w:rPr>
        <w:t>dash</w:t>
      </w:r>
      <w:proofErr w:type="spellEnd"/>
      <w:r w:rsidR="00364181" w:rsidRPr="00C95949">
        <w:rPr>
          <w:rFonts w:ascii="Arial" w:hAnsi="Arial" w:cs="Arial"/>
        </w:rPr>
        <w:t xml:space="preserve"> lines) are </w:t>
      </w:r>
      <w:proofErr w:type="spellStart"/>
      <w:r w:rsidR="00364181" w:rsidRPr="00C95949">
        <w:rPr>
          <w:rFonts w:ascii="Arial" w:hAnsi="Arial" w:cs="Arial"/>
        </w:rPr>
        <w:t>shown</w:t>
      </w:r>
      <w:proofErr w:type="spellEnd"/>
      <w:r w:rsidR="00364181" w:rsidRPr="00C95949">
        <w:rPr>
          <w:rFonts w:ascii="Arial" w:hAnsi="Arial" w:cs="Arial"/>
        </w:rPr>
        <w:t>.</w:t>
      </w:r>
      <w:r w:rsidR="00364181" w:rsidRPr="00C95949">
        <w:rPr>
          <w:rFonts w:ascii="Arial" w:hAnsi="Arial" w:cs="Arial"/>
        </w:rPr>
        <w:br/>
        <w:t xml:space="preserve">In </w:t>
      </w:r>
      <w:proofErr w:type="spellStart"/>
      <w:r w:rsidR="00364181" w:rsidRPr="00C95949">
        <w:rPr>
          <w:rFonts w:ascii="Arial" w:hAnsi="Arial" w:cs="Arial"/>
        </w:rPr>
        <w:t>red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colour</w:t>
      </w:r>
      <w:proofErr w:type="spellEnd"/>
      <w:r w:rsidR="00364181" w:rsidRPr="00C95949">
        <w:rPr>
          <w:rFonts w:ascii="Arial" w:hAnsi="Arial" w:cs="Arial"/>
        </w:rPr>
        <w:t xml:space="preserve"> are </w:t>
      </w:r>
      <w:proofErr w:type="spellStart"/>
      <w:r w:rsidR="00364181" w:rsidRPr="00C95949">
        <w:rPr>
          <w:rFonts w:ascii="Arial" w:hAnsi="Arial" w:cs="Arial"/>
        </w:rPr>
        <w:t>shown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differences</w:t>
      </w:r>
      <w:proofErr w:type="spellEnd"/>
      <w:r w:rsidR="00364181" w:rsidRPr="00C95949">
        <w:rPr>
          <w:rFonts w:ascii="Arial" w:hAnsi="Arial" w:cs="Arial"/>
        </w:rPr>
        <w:t xml:space="preserve"> in </w:t>
      </w:r>
      <w:proofErr w:type="spellStart"/>
      <w:r w:rsidR="00364181" w:rsidRPr="00C95949">
        <w:rPr>
          <w:rFonts w:ascii="Arial" w:hAnsi="Arial" w:cs="Arial"/>
        </w:rPr>
        <w:t>patients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with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white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coat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effect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according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gramStart"/>
      <w:r w:rsidR="00364181" w:rsidRPr="00C95949">
        <w:rPr>
          <w:rFonts w:ascii="Arial" w:hAnsi="Arial" w:cs="Arial"/>
        </w:rPr>
        <w:t>24-hour</w:t>
      </w:r>
      <w:proofErr w:type="gram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blood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pressure</w:t>
      </w:r>
      <w:proofErr w:type="spellEnd"/>
      <w:r w:rsidR="00364181" w:rsidRPr="00C95949">
        <w:rPr>
          <w:rFonts w:ascii="Arial" w:hAnsi="Arial" w:cs="Arial"/>
        </w:rPr>
        <w:t xml:space="preserve"> monitoring, in </w:t>
      </w:r>
      <w:proofErr w:type="spellStart"/>
      <w:r w:rsidR="00364181" w:rsidRPr="00C95949">
        <w:rPr>
          <w:rFonts w:ascii="Arial" w:hAnsi="Arial" w:cs="Arial"/>
        </w:rPr>
        <w:t>black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colour</w:t>
      </w:r>
      <w:proofErr w:type="spellEnd"/>
      <w:r w:rsidR="00364181" w:rsidRPr="00C95949">
        <w:rPr>
          <w:rFonts w:ascii="Arial" w:hAnsi="Arial" w:cs="Arial"/>
        </w:rPr>
        <w:t xml:space="preserve"> are </w:t>
      </w:r>
      <w:proofErr w:type="spellStart"/>
      <w:r w:rsidR="00364181" w:rsidRPr="00C95949">
        <w:rPr>
          <w:rFonts w:ascii="Arial" w:hAnsi="Arial" w:cs="Arial"/>
        </w:rPr>
        <w:t>shown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measurements</w:t>
      </w:r>
      <w:proofErr w:type="spellEnd"/>
      <w:r w:rsidR="00364181" w:rsidRPr="00C95949">
        <w:rPr>
          <w:rFonts w:ascii="Arial" w:hAnsi="Arial" w:cs="Arial"/>
        </w:rPr>
        <w:t xml:space="preserve"> in </w:t>
      </w:r>
      <w:proofErr w:type="spellStart"/>
      <w:r w:rsidR="00364181" w:rsidRPr="00C95949">
        <w:rPr>
          <w:rFonts w:ascii="Arial" w:hAnsi="Arial" w:cs="Arial"/>
        </w:rPr>
        <w:t>other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blood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pressure</w:t>
      </w:r>
      <w:proofErr w:type="spellEnd"/>
      <w:r w:rsidR="00364181" w:rsidRPr="00C95949">
        <w:rPr>
          <w:rFonts w:ascii="Arial" w:hAnsi="Arial" w:cs="Arial"/>
        </w:rPr>
        <w:t xml:space="preserve"> </w:t>
      </w:r>
      <w:proofErr w:type="spellStart"/>
      <w:r w:rsidR="00364181" w:rsidRPr="00C95949">
        <w:rPr>
          <w:rFonts w:ascii="Arial" w:hAnsi="Arial" w:cs="Arial"/>
        </w:rPr>
        <w:t>categories</w:t>
      </w:r>
      <w:proofErr w:type="spellEnd"/>
      <w:r w:rsidR="00364181" w:rsidRPr="00C95949">
        <w:rPr>
          <w:rFonts w:ascii="Arial" w:hAnsi="Arial" w:cs="Arial"/>
        </w:rPr>
        <w:t xml:space="preserve">. </w:t>
      </w:r>
    </w:p>
    <w:p w:rsidR="00942722" w:rsidRPr="00534B90" w:rsidRDefault="00942722">
      <w:pPr>
        <w:rPr>
          <w:rFonts w:ascii="Arial" w:hAnsi="Arial" w:cs="Arial"/>
          <w:highlight w:val="yellow"/>
        </w:rPr>
      </w:pPr>
      <w:r w:rsidRPr="00534B90">
        <w:rPr>
          <w:rFonts w:ascii="Arial" w:hAnsi="Arial" w:cs="Arial"/>
          <w:highlight w:val="yellow"/>
        </w:rPr>
        <w:br w:type="page"/>
      </w:r>
    </w:p>
    <w:p w:rsidR="00942722" w:rsidRPr="00534B90" w:rsidRDefault="00942722" w:rsidP="00FB58AC">
      <w:pPr>
        <w:spacing w:line="480" w:lineRule="auto"/>
        <w:rPr>
          <w:rFonts w:ascii="Arial" w:hAnsi="Arial" w:cs="Arial"/>
          <w:highlight w:val="yellow"/>
        </w:rPr>
      </w:pPr>
      <w:r w:rsidRPr="00534B90">
        <w:rPr>
          <w:rFonts w:ascii="Arial" w:hAnsi="Arial" w:cs="Arial"/>
          <w:noProof/>
          <w:highlight w:val="yellow"/>
        </w:rPr>
        <w:lastRenderedPageBreak/>
        <w:drawing>
          <wp:inline distT="0" distB="0" distL="0" distR="0" wp14:anchorId="4DED6222" wp14:editId="26DA9436">
            <wp:extent cx="4876800" cy="4800600"/>
            <wp:effectExtent l="0" t="0" r="0" b="0"/>
            <wp:docPr id="2" name="Obrázek 2" descr="C:\Users\Jitka\Documents\PROJEKTY STUDIE\Automatické měření TK\více center\dlouhodoba variabilita TK\BA WCH  vs else 2 navst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tka\Documents\PROJEKTY STUDIE\Automatické měření TK\více center\dlouhodoba variabilita TK\BA WCH  vs else 2 navste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22" w:rsidRDefault="00942722" w:rsidP="00942722">
      <w:pPr>
        <w:spacing w:line="480" w:lineRule="auto"/>
        <w:rPr>
          <w:rFonts w:ascii="Arial" w:hAnsi="Arial" w:cs="Arial"/>
        </w:rPr>
      </w:pPr>
      <w:proofErr w:type="spellStart"/>
      <w:r w:rsidRPr="00C95949">
        <w:rPr>
          <w:rFonts w:ascii="Arial" w:hAnsi="Arial" w:cs="Arial"/>
          <w:b/>
        </w:rPr>
        <w:t>Supplement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Figure</w:t>
      </w:r>
      <w:proofErr w:type="spellEnd"/>
      <w:r w:rsidRPr="00C95949">
        <w:rPr>
          <w:rFonts w:ascii="Arial" w:hAnsi="Arial" w:cs="Arial"/>
          <w:b/>
        </w:rPr>
        <w:t xml:space="preserve"> 2</w:t>
      </w:r>
      <w:r w:rsidRPr="00C95949">
        <w:rPr>
          <w:rFonts w:ascii="Arial" w:hAnsi="Arial" w:cs="Arial"/>
          <w:b/>
        </w:rPr>
        <w:tab/>
      </w:r>
      <w:proofErr w:type="spellStart"/>
      <w:r w:rsidRPr="00C95949">
        <w:rPr>
          <w:rFonts w:ascii="Arial" w:hAnsi="Arial" w:cs="Arial"/>
          <w:b/>
        </w:rPr>
        <w:t>Bland</w:t>
      </w:r>
      <w:proofErr w:type="spellEnd"/>
      <w:r w:rsidRPr="00C95949">
        <w:rPr>
          <w:rFonts w:ascii="Arial" w:hAnsi="Arial" w:cs="Arial"/>
          <w:b/>
        </w:rPr>
        <w:t xml:space="preserve">-Altman </w:t>
      </w:r>
      <w:proofErr w:type="spellStart"/>
      <w:r w:rsidRPr="00C95949">
        <w:rPr>
          <w:rFonts w:ascii="Arial" w:hAnsi="Arial" w:cs="Arial"/>
          <w:b/>
        </w:rPr>
        <w:t>analysis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comparing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systolic</w:t>
      </w:r>
      <w:proofErr w:type="spellEnd"/>
      <w:r w:rsidRPr="00C95949">
        <w:rPr>
          <w:rFonts w:ascii="Arial" w:hAnsi="Arial" w:cs="Arial"/>
          <w:b/>
        </w:rPr>
        <w:t xml:space="preserve"> auscultatory to </w:t>
      </w:r>
      <w:proofErr w:type="spellStart"/>
      <w:r w:rsidRPr="00C95949">
        <w:rPr>
          <w:rFonts w:ascii="Arial" w:hAnsi="Arial" w:cs="Arial"/>
          <w:b/>
        </w:rPr>
        <w:t>unattended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automated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blood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pressure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at</w:t>
      </w:r>
      <w:proofErr w:type="spellEnd"/>
      <w:r w:rsidRPr="00C95949">
        <w:rPr>
          <w:rFonts w:ascii="Arial" w:hAnsi="Arial" w:cs="Arial"/>
          <w:b/>
        </w:rPr>
        <w:t xml:space="preserve"> second </w:t>
      </w:r>
      <w:proofErr w:type="spellStart"/>
      <w:r w:rsidRPr="00C95949">
        <w:rPr>
          <w:rFonts w:ascii="Arial" w:hAnsi="Arial" w:cs="Arial"/>
          <w:b/>
        </w:rPr>
        <w:t>clinical</w:t>
      </w:r>
      <w:proofErr w:type="spellEnd"/>
      <w:r w:rsidRPr="00C95949">
        <w:rPr>
          <w:rFonts w:ascii="Arial" w:hAnsi="Arial" w:cs="Arial"/>
          <w:b/>
        </w:rPr>
        <w:t xml:space="preserve"> visit</w:t>
      </w:r>
      <w:r w:rsidRPr="00C95949">
        <w:rPr>
          <w:rFonts w:ascii="Arial" w:hAnsi="Arial" w:cs="Arial"/>
        </w:rPr>
        <w:t>.</w:t>
      </w:r>
      <w:r w:rsidRPr="00C95949">
        <w:rPr>
          <w:rFonts w:ascii="Arial" w:hAnsi="Arial" w:cs="Arial"/>
        </w:rPr>
        <w:br/>
      </w:r>
      <w:proofErr w:type="spellStart"/>
      <w:r w:rsidRPr="00C95949">
        <w:rPr>
          <w:rFonts w:ascii="Arial" w:hAnsi="Arial" w:cs="Arial"/>
        </w:rPr>
        <w:t>Mean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differences</w:t>
      </w:r>
      <w:proofErr w:type="spellEnd"/>
      <w:r w:rsidRPr="00C95949">
        <w:rPr>
          <w:rFonts w:ascii="Arial" w:hAnsi="Arial" w:cs="Arial"/>
        </w:rPr>
        <w:t xml:space="preserve"> (solid lines) and </w:t>
      </w:r>
      <w:proofErr w:type="spellStart"/>
      <w:r w:rsidRPr="00C95949">
        <w:rPr>
          <w:rFonts w:ascii="Arial" w:hAnsi="Arial" w:cs="Arial"/>
        </w:rPr>
        <w:t>limits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of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agreements</w:t>
      </w:r>
      <w:proofErr w:type="spellEnd"/>
      <w:r w:rsidRPr="00C95949">
        <w:rPr>
          <w:rFonts w:ascii="Arial" w:hAnsi="Arial" w:cs="Arial"/>
        </w:rPr>
        <w:t xml:space="preserve"> (±1.96*standard </w:t>
      </w:r>
      <w:proofErr w:type="spellStart"/>
      <w:r w:rsidRPr="00C95949">
        <w:rPr>
          <w:rFonts w:ascii="Arial" w:hAnsi="Arial" w:cs="Arial"/>
        </w:rPr>
        <w:t>deviation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of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difference</w:t>
      </w:r>
      <w:proofErr w:type="spellEnd"/>
      <w:r w:rsidRPr="00C95949">
        <w:rPr>
          <w:rFonts w:ascii="Arial" w:hAnsi="Arial" w:cs="Arial"/>
        </w:rPr>
        <w:t xml:space="preserve">; </w:t>
      </w:r>
      <w:proofErr w:type="spellStart"/>
      <w:r w:rsidRPr="00C95949">
        <w:rPr>
          <w:rFonts w:ascii="Arial" w:hAnsi="Arial" w:cs="Arial"/>
        </w:rPr>
        <w:t>dash</w:t>
      </w:r>
      <w:proofErr w:type="spellEnd"/>
      <w:r w:rsidRPr="00C95949">
        <w:rPr>
          <w:rFonts w:ascii="Arial" w:hAnsi="Arial" w:cs="Arial"/>
        </w:rPr>
        <w:t xml:space="preserve"> lines) are </w:t>
      </w:r>
      <w:proofErr w:type="spellStart"/>
      <w:r w:rsidRPr="00C95949">
        <w:rPr>
          <w:rFonts w:ascii="Arial" w:hAnsi="Arial" w:cs="Arial"/>
        </w:rPr>
        <w:t>shown</w:t>
      </w:r>
      <w:proofErr w:type="spellEnd"/>
      <w:r w:rsidRPr="00C95949">
        <w:rPr>
          <w:rFonts w:ascii="Arial" w:hAnsi="Arial" w:cs="Arial"/>
        </w:rPr>
        <w:t>.</w:t>
      </w:r>
      <w:r w:rsidRPr="00C95949">
        <w:rPr>
          <w:rFonts w:ascii="Arial" w:hAnsi="Arial" w:cs="Arial"/>
        </w:rPr>
        <w:br/>
        <w:t xml:space="preserve">In </w:t>
      </w:r>
      <w:proofErr w:type="spellStart"/>
      <w:r w:rsidRPr="00C95949">
        <w:rPr>
          <w:rFonts w:ascii="Arial" w:hAnsi="Arial" w:cs="Arial"/>
        </w:rPr>
        <w:t>red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colour</w:t>
      </w:r>
      <w:proofErr w:type="spellEnd"/>
      <w:r w:rsidRPr="00C95949">
        <w:rPr>
          <w:rFonts w:ascii="Arial" w:hAnsi="Arial" w:cs="Arial"/>
        </w:rPr>
        <w:t xml:space="preserve"> are </w:t>
      </w:r>
      <w:proofErr w:type="spellStart"/>
      <w:r w:rsidRPr="00C95949">
        <w:rPr>
          <w:rFonts w:ascii="Arial" w:hAnsi="Arial" w:cs="Arial"/>
        </w:rPr>
        <w:t>shown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differences</w:t>
      </w:r>
      <w:proofErr w:type="spellEnd"/>
      <w:r w:rsidRPr="00C95949">
        <w:rPr>
          <w:rFonts w:ascii="Arial" w:hAnsi="Arial" w:cs="Arial"/>
        </w:rPr>
        <w:t xml:space="preserve"> in </w:t>
      </w:r>
      <w:proofErr w:type="spellStart"/>
      <w:r w:rsidRPr="00C95949">
        <w:rPr>
          <w:rFonts w:ascii="Arial" w:hAnsi="Arial" w:cs="Arial"/>
        </w:rPr>
        <w:t>patients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with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white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coat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effect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according</w:t>
      </w:r>
      <w:proofErr w:type="spellEnd"/>
      <w:r w:rsidRPr="00C95949">
        <w:rPr>
          <w:rFonts w:ascii="Arial" w:hAnsi="Arial" w:cs="Arial"/>
        </w:rPr>
        <w:t xml:space="preserve"> </w:t>
      </w:r>
      <w:proofErr w:type="gramStart"/>
      <w:r w:rsidRPr="00C95949">
        <w:rPr>
          <w:rFonts w:ascii="Arial" w:hAnsi="Arial" w:cs="Arial"/>
        </w:rPr>
        <w:t>24-hour</w:t>
      </w:r>
      <w:proofErr w:type="gram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blood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pressure</w:t>
      </w:r>
      <w:proofErr w:type="spellEnd"/>
      <w:r w:rsidRPr="00C95949">
        <w:rPr>
          <w:rFonts w:ascii="Arial" w:hAnsi="Arial" w:cs="Arial"/>
        </w:rPr>
        <w:t xml:space="preserve"> monitoring, in </w:t>
      </w:r>
      <w:proofErr w:type="spellStart"/>
      <w:r w:rsidRPr="00C95949">
        <w:rPr>
          <w:rFonts w:ascii="Arial" w:hAnsi="Arial" w:cs="Arial"/>
        </w:rPr>
        <w:t>black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colour</w:t>
      </w:r>
      <w:proofErr w:type="spellEnd"/>
      <w:r w:rsidRPr="00C95949">
        <w:rPr>
          <w:rFonts w:ascii="Arial" w:hAnsi="Arial" w:cs="Arial"/>
        </w:rPr>
        <w:t xml:space="preserve"> are </w:t>
      </w:r>
      <w:proofErr w:type="spellStart"/>
      <w:r w:rsidRPr="00C95949">
        <w:rPr>
          <w:rFonts w:ascii="Arial" w:hAnsi="Arial" w:cs="Arial"/>
        </w:rPr>
        <w:t>shown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measurements</w:t>
      </w:r>
      <w:proofErr w:type="spellEnd"/>
      <w:r w:rsidRPr="00C95949">
        <w:rPr>
          <w:rFonts w:ascii="Arial" w:hAnsi="Arial" w:cs="Arial"/>
        </w:rPr>
        <w:t xml:space="preserve"> in </w:t>
      </w:r>
      <w:proofErr w:type="spellStart"/>
      <w:r w:rsidRPr="00C95949">
        <w:rPr>
          <w:rFonts w:ascii="Arial" w:hAnsi="Arial" w:cs="Arial"/>
        </w:rPr>
        <w:t>other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blood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pressure</w:t>
      </w:r>
      <w:proofErr w:type="spellEnd"/>
      <w:r w:rsidRPr="00C95949">
        <w:rPr>
          <w:rFonts w:ascii="Arial" w:hAnsi="Arial" w:cs="Arial"/>
        </w:rPr>
        <w:t xml:space="preserve"> </w:t>
      </w:r>
      <w:proofErr w:type="spellStart"/>
      <w:r w:rsidRPr="00C95949">
        <w:rPr>
          <w:rFonts w:ascii="Arial" w:hAnsi="Arial" w:cs="Arial"/>
        </w:rPr>
        <w:t>categories</w:t>
      </w:r>
      <w:proofErr w:type="spellEnd"/>
      <w:r w:rsidRPr="00C95949">
        <w:rPr>
          <w:rFonts w:ascii="Arial" w:hAnsi="Arial" w:cs="Arial"/>
        </w:rPr>
        <w:t>.</w:t>
      </w:r>
      <w:r w:rsidRPr="00FB58AC">
        <w:rPr>
          <w:rFonts w:ascii="Arial" w:hAnsi="Arial" w:cs="Arial"/>
        </w:rPr>
        <w:t xml:space="preserve"> </w:t>
      </w:r>
    </w:p>
    <w:p w:rsidR="004462B9" w:rsidRDefault="004462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2722" w:rsidRDefault="004462B9" w:rsidP="00FB58AC">
      <w:pPr>
        <w:spacing w:line="48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857750" cy="4838700"/>
            <wp:effectExtent l="0" t="0" r="0" b="0"/>
            <wp:docPr id="3" name="Obrázek 3" descr="C:\Users\Jitka\Documents\PROJEKTY STUDIE\Automatické měření TK\více center\dlouhodoba variabilita TK\estimation of sprint clinic S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tka\Documents\PROJEKTY STUDIE\Automatické měření TK\více center\dlouhodoba variabilita TK\estimation of sprint clinic SB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2B9" w:rsidRDefault="004462B9" w:rsidP="00E67FE4">
      <w:pPr>
        <w:spacing w:line="480" w:lineRule="auto"/>
        <w:rPr>
          <w:rFonts w:ascii="Arial" w:hAnsi="Arial" w:cs="Arial"/>
        </w:rPr>
      </w:pPr>
      <w:proofErr w:type="spellStart"/>
      <w:r w:rsidRPr="00C95949">
        <w:rPr>
          <w:rFonts w:ascii="Arial" w:hAnsi="Arial" w:cs="Arial"/>
          <w:b/>
        </w:rPr>
        <w:t>Supplement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Figure</w:t>
      </w:r>
      <w:proofErr w:type="spellEnd"/>
      <w:r w:rsidRPr="00C95949">
        <w:rPr>
          <w:rFonts w:ascii="Arial" w:hAnsi="Arial" w:cs="Arial"/>
          <w:b/>
        </w:rPr>
        <w:t xml:space="preserve"> 3</w:t>
      </w:r>
      <w:r w:rsidRPr="00C95949">
        <w:rPr>
          <w:rFonts w:ascii="Arial" w:hAnsi="Arial" w:cs="Arial"/>
          <w:b/>
        </w:rPr>
        <w:tab/>
      </w:r>
      <w:proofErr w:type="spellStart"/>
      <w:r w:rsidRPr="00C95949">
        <w:rPr>
          <w:rFonts w:ascii="Arial" w:hAnsi="Arial" w:cs="Arial"/>
          <w:b/>
        </w:rPr>
        <w:t>Relationships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of</w:t>
      </w:r>
      <w:proofErr w:type="spellEnd"/>
      <w:r w:rsidRPr="00C95949">
        <w:rPr>
          <w:rFonts w:ascii="Arial" w:hAnsi="Arial" w:cs="Arial"/>
          <w:b/>
        </w:rPr>
        <w:t xml:space="preserve"> auscultatory (</w:t>
      </w:r>
      <w:proofErr w:type="spellStart"/>
      <w:r w:rsidRPr="00C95949">
        <w:rPr>
          <w:rFonts w:ascii="Arial" w:hAnsi="Arial" w:cs="Arial"/>
          <w:b/>
        </w:rPr>
        <w:t>black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colour</w:t>
      </w:r>
      <w:proofErr w:type="spellEnd"/>
      <w:r w:rsidRPr="00C95949">
        <w:rPr>
          <w:rFonts w:ascii="Arial" w:hAnsi="Arial" w:cs="Arial"/>
          <w:b/>
        </w:rPr>
        <w:t xml:space="preserve">) and </w:t>
      </w:r>
      <w:proofErr w:type="spellStart"/>
      <w:r w:rsidRPr="00C95949">
        <w:rPr>
          <w:rFonts w:ascii="Arial" w:hAnsi="Arial" w:cs="Arial"/>
          <w:b/>
        </w:rPr>
        <w:t>unattended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automated</w:t>
      </w:r>
      <w:proofErr w:type="spellEnd"/>
      <w:r w:rsidRPr="00C95949">
        <w:rPr>
          <w:rFonts w:ascii="Arial" w:hAnsi="Arial" w:cs="Arial"/>
          <w:b/>
        </w:rPr>
        <w:t xml:space="preserve"> </w:t>
      </w:r>
      <w:r w:rsidR="00E67FE4" w:rsidRPr="00C95949">
        <w:rPr>
          <w:rFonts w:ascii="Arial" w:hAnsi="Arial" w:cs="Arial"/>
          <w:b/>
        </w:rPr>
        <w:t>(</w:t>
      </w:r>
      <w:proofErr w:type="spellStart"/>
      <w:r w:rsidR="00E67FE4" w:rsidRPr="00C95949">
        <w:rPr>
          <w:rFonts w:ascii="Arial" w:hAnsi="Arial" w:cs="Arial"/>
          <w:b/>
        </w:rPr>
        <w:t>red</w:t>
      </w:r>
      <w:proofErr w:type="spellEnd"/>
      <w:r w:rsidR="00E67FE4" w:rsidRPr="00C95949">
        <w:rPr>
          <w:rFonts w:ascii="Arial" w:hAnsi="Arial" w:cs="Arial"/>
          <w:b/>
        </w:rPr>
        <w:t xml:space="preserve"> </w:t>
      </w:r>
      <w:proofErr w:type="spellStart"/>
      <w:r w:rsidR="00E67FE4" w:rsidRPr="00C95949">
        <w:rPr>
          <w:rFonts w:ascii="Arial" w:hAnsi="Arial" w:cs="Arial"/>
          <w:b/>
        </w:rPr>
        <w:t>colour</w:t>
      </w:r>
      <w:proofErr w:type="spellEnd"/>
      <w:r w:rsidR="00E67FE4" w:rsidRPr="00C95949">
        <w:rPr>
          <w:rFonts w:ascii="Arial" w:hAnsi="Arial" w:cs="Arial"/>
          <w:b/>
        </w:rPr>
        <w:t xml:space="preserve">) </w:t>
      </w:r>
      <w:proofErr w:type="spellStart"/>
      <w:r w:rsidRPr="00C95949">
        <w:rPr>
          <w:rFonts w:ascii="Arial" w:hAnsi="Arial" w:cs="Arial"/>
          <w:b/>
        </w:rPr>
        <w:t>systolic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blood</w:t>
      </w:r>
      <w:proofErr w:type="spellEnd"/>
      <w:r w:rsidRPr="00C95949">
        <w:rPr>
          <w:rFonts w:ascii="Arial" w:hAnsi="Arial" w:cs="Arial"/>
          <w:b/>
        </w:rPr>
        <w:t xml:space="preserve"> </w:t>
      </w:r>
      <w:proofErr w:type="spellStart"/>
      <w:r w:rsidRPr="00C95949">
        <w:rPr>
          <w:rFonts w:ascii="Arial" w:hAnsi="Arial" w:cs="Arial"/>
          <w:b/>
        </w:rPr>
        <w:t>pressure</w:t>
      </w:r>
      <w:proofErr w:type="spellEnd"/>
      <w:r w:rsidR="00E67FE4" w:rsidRPr="00C95949">
        <w:rPr>
          <w:rFonts w:ascii="Arial" w:hAnsi="Arial" w:cs="Arial"/>
          <w:b/>
        </w:rPr>
        <w:t xml:space="preserve"> </w:t>
      </w:r>
      <w:proofErr w:type="spellStart"/>
      <w:r w:rsidR="00416CD3" w:rsidRPr="00C95949">
        <w:rPr>
          <w:rFonts w:ascii="Arial" w:hAnsi="Arial" w:cs="Arial"/>
          <w:b/>
        </w:rPr>
        <w:t>with</w:t>
      </w:r>
      <w:proofErr w:type="spellEnd"/>
      <w:r w:rsidR="00416CD3" w:rsidRPr="00C95949">
        <w:rPr>
          <w:rFonts w:ascii="Arial" w:hAnsi="Arial" w:cs="Arial"/>
          <w:b/>
        </w:rPr>
        <w:t xml:space="preserve"> 24-hour </w:t>
      </w:r>
      <w:proofErr w:type="spellStart"/>
      <w:r w:rsidR="00416CD3" w:rsidRPr="00C95949">
        <w:rPr>
          <w:rFonts w:ascii="Arial" w:hAnsi="Arial" w:cs="Arial"/>
          <w:b/>
        </w:rPr>
        <w:t>ambulatory</w:t>
      </w:r>
      <w:proofErr w:type="spellEnd"/>
      <w:r w:rsidR="00416CD3" w:rsidRPr="00C95949">
        <w:rPr>
          <w:rFonts w:ascii="Arial" w:hAnsi="Arial" w:cs="Arial"/>
          <w:b/>
        </w:rPr>
        <w:t xml:space="preserve"> </w:t>
      </w:r>
      <w:proofErr w:type="spellStart"/>
      <w:r w:rsidR="00416CD3" w:rsidRPr="00C95949">
        <w:rPr>
          <w:rFonts w:ascii="Arial" w:hAnsi="Arial" w:cs="Arial"/>
          <w:b/>
        </w:rPr>
        <w:t>systolic</w:t>
      </w:r>
      <w:proofErr w:type="spellEnd"/>
      <w:r w:rsidR="00416CD3" w:rsidRPr="00C95949">
        <w:rPr>
          <w:rFonts w:ascii="Arial" w:hAnsi="Arial" w:cs="Arial"/>
          <w:b/>
        </w:rPr>
        <w:t xml:space="preserve"> </w:t>
      </w:r>
      <w:proofErr w:type="spellStart"/>
      <w:r w:rsidR="00416CD3" w:rsidRPr="00C95949">
        <w:rPr>
          <w:rFonts w:ascii="Arial" w:hAnsi="Arial" w:cs="Arial"/>
          <w:b/>
        </w:rPr>
        <w:t>blood</w:t>
      </w:r>
      <w:proofErr w:type="spellEnd"/>
      <w:r w:rsidR="00416CD3" w:rsidRPr="00C95949">
        <w:rPr>
          <w:rFonts w:ascii="Arial" w:hAnsi="Arial" w:cs="Arial"/>
          <w:b/>
        </w:rPr>
        <w:t xml:space="preserve"> </w:t>
      </w:r>
      <w:proofErr w:type="spellStart"/>
      <w:r w:rsidR="00416CD3" w:rsidRPr="00C95949">
        <w:rPr>
          <w:rFonts w:ascii="Arial" w:hAnsi="Arial" w:cs="Arial"/>
          <w:b/>
        </w:rPr>
        <w:t>pressure</w:t>
      </w:r>
      <w:proofErr w:type="spellEnd"/>
      <w:r w:rsidR="00416CD3" w:rsidRPr="00C95949">
        <w:rPr>
          <w:rFonts w:ascii="Arial" w:hAnsi="Arial" w:cs="Arial"/>
          <w:b/>
        </w:rPr>
        <w:t xml:space="preserve"> </w:t>
      </w:r>
      <w:r w:rsidRPr="00C95949">
        <w:rPr>
          <w:rFonts w:ascii="Arial" w:hAnsi="Arial" w:cs="Arial"/>
        </w:rPr>
        <w:br/>
      </w:r>
      <w:proofErr w:type="spellStart"/>
      <w:r w:rsidR="00E67FE4" w:rsidRPr="00C95949">
        <w:rPr>
          <w:rFonts w:ascii="Arial" w:hAnsi="Arial" w:cs="Arial"/>
        </w:rPr>
        <w:t>The</w:t>
      </w:r>
      <w:proofErr w:type="spellEnd"/>
      <w:r w:rsidR="00E67FE4" w:rsidRPr="00C95949">
        <w:rPr>
          <w:rFonts w:ascii="Arial" w:hAnsi="Arial" w:cs="Arial"/>
        </w:rPr>
        <w:t xml:space="preserve"> solid and </w:t>
      </w:r>
      <w:proofErr w:type="spellStart"/>
      <w:r w:rsidR="00E67FE4" w:rsidRPr="00C95949">
        <w:rPr>
          <w:rFonts w:ascii="Arial" w:hAnsi="Arial" w:cs="Arial"/>
        </w:rPr>
        <w:t>dashed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vertical</w:t>
      </w:r>
      <w:proofErr w:type="spellEnd"/>
      <w:r w:rsidR="00E67FE4" w:rsidRPr="00C95949">
        <w:rPr>
          <w:rFonts w:ascii="Arial" w:hAnsi="Arial" w:cs="Arial"/>
        </w:rPr>
        <w:t xml:space="preserve"> lines </w:t>
      </w:r>
      <w:proofErr w:type="spellStart"/>
      <w:r w:rsidR="00E67FE4" w:rsidRPr="00C95949">
        <w:rPr>
          <w:rFonts w:ascii="Arial" w:hAnsi="Arial" w:cs="Arial"/>
        </w:rPr>
        <w:t>indicate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the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conventional</w:t>
      </w:r>
      <w:proofErr w:type="spellEnd"/>
      <w:r w:rsidR="00E67FE4" w:rsidRPr="00C95949">
        <w:rPr>
          <w:rFonts w:ascii="Arial" w:hAnsi="Arial" w:cs="Arial"/>
        </w:rPr>
        <w:t xml:space="preserve"> </w:t>
      </w:r>
      <w:r w:rsidR="00BD62C5" w:rsidRPr="00C95949">
        <w:rPr>
          <w:rFonts w:ascii="Arial" w:hAnsi="Arial" w:cs="Arial"/>
        </w:rPr>
        <w:t xml:space="preserve">(solid lines) </w:t>
      </w:r>
      <w:r w:rsidR="00E67FE4" w:rsidRPr="00C95949">
        <w:rPr>
          <w:rFonts w:ascii="Arial" w:hAnsi="Arial" w:cs="Arial"/>
        </w:rPr>
        <w:t xml:space="preserve">and </w:t>
      </w:r>
      <w:proofErr w:type="spellStart"/>
      <w:r w:rsidR="00E67FE4" w:rsidRPr="00C95949">
        <w:rPr>
          <w:rFonts w:ascii="Arial" w:hAnsi="Arial" w:cs="Arial"/>
        </w:rPr>
        <w:t>unattended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automated</w:t>
      </w:r>
      <w:proofErr w:type="spellEnd"/>
      <w:r w:rsidR="00E67FE4" w:rsidRPr="00C95949">
        <w:rPr>
          <w:rFonts w:ascii="Arial" w:hAnsi="Arial" w:cs="Arial"/>
        </w:rPr>
        <w:t xml:space="preserve"> </w:t>
      </w:r>
      <w:r w:rsidR="00BD62C5" w:rsidRPr="00C95949">
        <w:rPr>
          <w:rFonts w:ascii="Arial" w:hAnsi="Arial" w:cs="Arial"/>
        </w:rPr>
        <w:t>(</w:t>
      </w:r>
      <w:proofErr w:type="spellStart"/>
      <w:r w:rsidR="00BD62C5" w:rsidRPr="00C95949">
        <w:rPr>
          <w:rFonts w:ascii="Arial" w:hAnsi="Arial" w:cs="Arial"/>
        </w:rPr>
        <w:t>dashed</w:t>
      </w:r>
      <w:proofErr w:type="spellEnd"/>
      <w:r w:rsidR="00BD62C5" w:rsidRPr="00C95949">
        <w:rPr>
          <w:rFonts w:ascii="Arial" w:hAnsi="Arial" w:cs="Arial"/>
        </w:rPr>
        <w:t xml:space="preserve"> lines) </w:t>
      </w:r>
      <w:proofErr w:type="spellStart"/>
      <w:r w:rsidR="00E67FE4" w:rsidRPr="00C95949">
        <w:rPr>
          <w:rFonts w:ascii="Arial" w:hAnsi="Arial" w:cs="Arial"/>
        </w:rPr>
        <w:t>clinic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systolic</w:t>
      </w:r>
      <w:proofErr w:type="spellEnd"/>
      <w:r w:rsidR="00E67FE4" w:rsidRPr="00C95949">
        <w:rPr>
          <w:rFonts w:ascii="Arial" w:hAnsi="Arial" w:cs="Arial"/>
        </w:rPr>
        <w:t xml:space="preserve"> BP </w:t>
      </w:r>
      <w:proofErr w:type="spellStart"/>
      <w:r w:rsidR="00E67FE4" w:rsidRPr="00C95949">
        <w:rPr>
          <w:rFonts w:ascii="Arial" w:hAnsi="Arial" w:cs="Arial"/>
        </w:rPr>
        <w:t>values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estimated</w:t>
      </w:r>
      <w:proofErr w:type="spellEnd"/>
      <w:r w:rsidR="00E67FE4" w:rsidRPr="00C95949">
        <w:rPr>
          <w:rFonts w:ascii="Arial" w:hAnsi="Arial" w:cs="Arial"/>
        </w:rPr>
        <w:t xml:space="preserve"> to </w:t>
      </w:r>
      <w:proofErr w:type="spellStart"/>
      <w:r w:rsidR="00E67FE4" w:rsidRPr="00C95949">
        <w:rPr>
          <w:rFonts w:ascii="Arial" w:hAnsi="Arial" w:cs="Arial"/>
        </w:rPr>
        <w:t>correspond</w:t>
      </w:r>
      <w:proofErr w:type="spellEnd"/>
      <w:r w:rsidR="00E67FE4" w:rsidRPr="00C95949">
        <w:rPr>
          <w:rFonts w:ascii="Arial" w:hAnsi="Arial" w:cs="Arial"/>
        </w:rPr>
        <w:t xml:space="preserve"> to </w:t>
      </w:r>
      <w:proofErr w:type="spellStart"/>
      <w:r w:rsidR="00E67FE4" w:rsidRPr="00C95949">
        <w:rPr>
          <w:rFonts w:ascii="Arial" w:hAnsi="Arial" w:cs="Arial"/>
        </w:rPr>
        <w:t>the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ambulatory</w:t>
      </w:r>
      <w:proofErr w:type="spellEnd"/>
      <w:r w:rsidR="00E67FE4" w:rsidRPr="00C95949">
        <w:rPr>
          <w:rFonts w:ascii="Arial" w:hAnsi="Arial" w:cs="Arial"/>
        </w:rPr>
        <w:t xml:space="preserve"> BP </w:t>
      </w:r>
      <w:proofErr w:type="spellStart"/>
      <w:r w:rsidR="00E67FE4" w:rsidRPr="00C95949">
        <w:rPr>
          <w:rFonts w:ascii="Arial" w:hAnsi="Arial" w:cs="Arial"/>
        </w:rPr>
        <w:t>values</w:t>
      </w:r>
      <w:proofErr w:type="spellEnd"/>
      <w:r w:rsidR="00E67FE4" w:rsidRPr="00C95949">
        <w:rPr>
          <w:rFonts w:ascii="Arial" w:hAnsi="Arial" w:cs="Arial"/>
        </w:rPr>
        <w:t xml:space="preserve"> in SPRINT trial [</w:t>
      </w:r>
      <w:r w:rsidR="00BD62C5" w:rsidRPr="00C95949">
        <w:rPr>
          <w:rFonts w:ascii="Arial" w:hAnsi="Arial" w:cs="Arial"/>
        </w:rPr>
        <w:t xml:space="preserve">N </w:t>
      </w:r>
      <w:proofErr w:type="spellStart"/>
      <w:r w:rsidR="00BD62C5" w:rsidRPr="00C95949">
        <w:rPr>
          <w:rFonts w:ascii="Arial" w:hAnsi="Arial" w:cs="Arial"/>
        </w:rPr>
        <w:t>Engl</w:t>
      </w:r>
      <w:proofErr w:type="spellEnd"/>
      <w:r w:rsidR="00BD62C5" w:rsidRPr="00C95949">
        <w:rPr>
          <w:rFonts w:ascii="Arial" w:hAnsi="Arial" w:cs="Arial"/>
        </w:rPr>
        <w:t xml:space="preserve"> J Med. 2015;373:2103-2116 and </w:t>
      </w:r>
      <w:proofErr w:type="spellStart"/>
      <w:r w:rsidR="00BD62C5" w:rsidRPr="00C95949">
        <w:rPr>
          <w:rFonts w:ascii="Arial" w:hAnsi="Arial" w:cs="Arial"/>
        </w:rPr>
        <w:t>Hypertens</w:t>
      </w:r>
      <w:proofErr w:type="spellEnd"/>
      <w:r w:rsidR="00BD62C5" w:rsidRPr="00C95949">
        <w:rPr>
          <w:rFonts w:ascii="Arial" w:hAnsi="Arial" w:cs="Arial"/>
        </w:rPr>
        <w:t xml:space="preserve"> 2017;69:42-50</w:t>
      </w:r>
      <w:r w:rsidRPr="00C95949">
        <w:rPr>
          <w:rFonts w:ascii="Arial" w:hAnsi="Arial" w:cs="Arial"/>
        </w:rPr>
        <w:t>.</w:t>
      </w:r>
      <w:r w:rsidR="00E67FE4" w:rsidRPr="00C95949">
        <w:rPr>
          <w:rFonts w:ascii="Arial" w:hAnsi="Arial" w:cs="Arial"/>
        </w:rPr>
        <w:t xml:space="preserve"> In green are </w:t>
      </w:r>
      <w:proofErr w:type="spellStart"/>
      <w:r w:rsidR="00E67FE4" w:rsidRPr="00C95949">
        <w:rPr>
          <w:rFonts w:ascii="Arial" w:hAnsi="Arial" w:cs="Arial"/>
        </w:rPr>
        <w:t>shown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estimated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values</w:t>
      </w:r>
      <w:proofErr w:type="spellEnd"/>
      <w:r w:rsidR="00E67FE4" w:rsidRPr="00C95949">
        <w:rPr>
          <w:rFonts w:ascii="Arial" w:hAnsi="Arial" w:cs="Arial"/>
        </w:rPr>
        <w:t xml:space="preserve"> in </w:t>
      </w:r>
      <w:proofErr w:type="spellStart"/>
      <w:r w:rsidR="00E67FE4" w:rsidRPr="00C95949">
        <w:rPr>
          <w:rFonts w:ascii="Arial" w:hAnsi="Arial" w:cs="Arial"/>
        </w:rPr>
        <w:t>intensive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group</w:t>
      </w:r>
      <w:proofErr w:type="spellEnd"/>
      <w:r w:rsidR="00E67FE4" w:rsidRPr="00C95949">
        <w:rPr>
          <w:rFonts w:ascii="Arial" w:hAnsi="Arial" w:cs="Arial"/>
        </w:rPr>
        <w:t xml:space="preserve">, in violet in standard </w:t>
      </w:r>
      <w:proofErr w:type="spellStart"/>
      <w:r w:rsidR="00E67FE4" w:rsidRPr="00C95949">
        <w:rPr>
          <w:rFonts w:ascii="Arial" w:hAnsi="Arial" w:cs="Arial"/>
        </w:rPr>
        <w:t>group</w:t>
      </w:r>
      <w:proofErr w:type="spellEnd"/>
      <w:r w:rsidR="00E67FE4" w:rsidRPr="00C95949">
        <w:rPr>
          <w:rFonts w:ascii="Arial" w:hAnsi="Arial" w:cs="Arial"/>
        </w:rPr>
        <w:t xml:space="preserve"> </w:t>
      </w:r>
      <w:proofErr w:type="spellStart"/>
      <w:r w:rsidR="00E67FE4" w:rsidRPr="00C95949">
        <w:rPr>
          <w:rFonts w:ascii="Arial" w:hAnsi="Arial" w:cs="Arial"/>
        </w:rPr>
        <w:t>of</w:t>
      </w:r>
      <w:proofErr w:type="spellEnd"/>
      <w:r w:rsidR="00E67FE4" w:rsidRPr="00C95949">
        <w:rPr>
          <w:rFonts w:ascii="Arial" w:hAnsi="Arial" w:cs="Arial"/>
        </w:rPr>
        <w:t xml:space="preserve"> SPRINT trial. </w:t>
      </w:r>
      <w:r w:rsidRPr="00C95949">
        <w:rPr>
          <w:rFonts w:ascii="Arial" w:hAnsi="Arial" w:cs="Arial"/>
        </w:rPr>
        <w:br/>
      </w:r>
    </w:p>
    <w:p w:rsidR="004462B9" w:rsidRPr="00FB58AC" w:rsidRDefault="004462B9" w:rsidP="00FB58AC">
      <w:pPr>
        <w:spacing w:line="480" w:lineRule="auto"/>
        <w:rPr>
          <w:rFonts w:ascii="Arial" w:hAnsi="Arial" w:cs="Arial"/>
        </w:rPr>
      </w:pPr>
    </w:p>
    <w:sectPr w:rsidR="004462B9" w:rsidRPr="00FB58AC" w:rsidSect="0023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9E"/>
    <w:rsid w:val="002350A8"/>
    <w:rsid w:val="002F4B01"/>
    <w:rsid w:val="00364181"/>
    <w:rsid w:val="003A5066"/>
    <w:rsid w:val="00404301"/>
    <w:rsid w:val="00416CD3"/>
    <w:rsid w:val="00443F75"/>
    <w:rsid w:val="004462B9"/>
    <w:rsid w:val="00534B90"/>
    <w:rsid w:val="007B62A8"/>
    <w:rsid w:val="00942722"/>
    <w:rsid w:val="00A22D9E"/>
    <w:rsid w:val="00A4169E"/>
    <w:rsid w:val="00BD62C5"/>
    <w:rsid w:val="00C95949"/>
    <w:rsid w:val="00D42C0E"/>
    <w:rsid w:val="00E67FE4"/>
    <w:rsid w:val="00FB58AC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169E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rsid w:val="00A4169E"/>
    <w:pPr>
      <w:keepNext/>
      <w:keepLines/>
      <w:spacing w:before="480" w:after="0"/>
      <w:outlineLvl w:val="0"/>
    </w:pPr>
    <w:rPr>
      <w:rFonts w:ascii="Arial" w:eastAsia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69E"/>
    <w:pPr>
      <w:ind w:left="720"/>
      <w:contextualSpacing/>
    </w:pPr>
  </w:style>
  <w:style w:type="table" w:styleId="Mkatabulky">
    <w:name w:val="Table Grid"/>
    <w:basedOn w:val="Normlntabulka"/>
    <w:uiPriority w:val="59"/>
    <w:rsid w:val="00A4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4169E"/>
    <w:rPr>
      <w:rFonts w:ascii="Arial" w:eastAsia="Arial" w:hAnsi="Arial" w:cs="Arial"/>
      <w:b/>
      <w:color w:val="00000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0A8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169E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rsid w:val="00A4169E"/>
    <w:pPr>
      <w:keepNext/>
      <w:keepLines/>
      <w:spacing w:before="480" w:after="0"/>
      <w:outlineLvl w:val="0"/>
    </w:pPr>
    <w:rPr>
      <w:rFonts w:ascii="Arial" w:eastAsia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69E"/>
    <w:pPr>
      <w:ind w:left="720"/>
      <w:contextualSpacing/>
    </w:pPr>
  </w:style>
  <w:style w:type="table" w:styleId="Mkatabulky">
    <w:name w:val="Table Grid"/>
    <w:basedOn w:val="Normlntabulka"/>
    <w:uiPriority w:val="59"/>
    <w:rsid w:val="00A4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4169E"/>
    <w:rPr>
      <w:rFonts w:ascii="Arial" w:eastAsia="Arial" w:hAnsi="Arial" w:cs="Arial"/>
      <w:b/>
      <w:color w:val="00000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0A8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6</cp:revision>
  <dcterms:created xsi:type="dcterms:W3CDTF">2018-09-25T21:20:00Z</dcterms:created>
  <dcterms:modified xsi:type="dcterms:W3CDTF">2018-10-22T05:34:00Z</dcterms:modified>
</cp:coreProperties>
</file>