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B06" w:rsidRPr="00E07F6C" w:rsidRDefault="00621B06" w:rsidP="00E07F6C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b/>
          <w:szCs w:val="24"/>
        </w:rPr>
      </w:pPr>
      <w:bookmarkStart w:id="0" w:name="_GoBack"/>
      <w:bookmarkEnd w:id="0"/>
      <w:r w:rsidRPr="00E07F6C">
        <w:rPr>
          <w:rFonts w:ascii="Times New Roman" w:hAnsi="Times New Roman" w:cs="Times New Roman"/>
          <w:b/>
          <w:szCs w:val="24"/>
        </w:rPr>
        <w:t xml:space="preserve">Supplementary </w:t>
      </w:r>
      <w:r w:rsidR="000C1784" w:rsidRPr="00E07F6C">
        <w:rPr>
          <w:rFonts w:ascii="Times New Roman" w:hAnsi="Times New Roman" w:cs="Times New Roman"/>
          <w:b/>
          <w:szCs w:val="24"/>
        </w:rPr>
        <w:t>Material</w:t>
      </w:r>
    </w:p>
    <w:p w:rsidR="00621B06" w:rsidRPr="00E07F6C" w:rsidRDefault="007C2187" w:rsidP="00E07F6C">
      <w:pPr>
        <w:adjustRightInd w:val="0"/>
        <w:snapToGrid w:val="0"/>
        <w:spacing w:beforeLines="100" w:before="360" w:afterLines="100" w:after="360" w:line="480" w:lineRule="auto"/>
        <w:rPr>
          <w:rFonts w:ascii="Times New Roman" w:hAnsi="Times New Roman" w:cs="Times New Roman"/>
          <w:b/>
          <w:szCs w:val="24"/>
        </w:rPr>
      </w:pPr>
      <w:r w:rsidRPr="00E07F6C">
        <w:rPr>
          <w:rFonts w:ascii="Times New Roman" w:hAnsi="Times New Roman" w:cs="Times New Roman"/>
          <w:b/>
          <w:szCs w:val="24"/>
          <w:shd w:val="clear" w:color="auto" w:fill="FFFFFF"/>
        </w:rPr>
        <w:t>Use of principal components of UAV-acquired narrow-band multispectral imagery to map the diverse low stature vegetation fAPAR</w:t>
      </w:r>
      <w:r w:rsidR="00621B06" w:rsidRPr="00E07F6C">
        <w:rPr>
          <w:rFonts w:ascii="Times New Roman" w:hAnsi="Times New Roman" w:cs="Times New Roman"/>
          <w:b/>
          <w:szCs w:val="24"/>
        </w:rPr>
        <w:t xml:space="preserve"> </w:t>
      </w:r>
    </w:p>
    <w:p w:rsidR="00E07F6C" w:rsidRPr="00E07F6C" w:rsidRDefault="00E07F6C" w:rsidP="00E07F6C">
      <w:pPr>
        <w:adjustRightInd w:val="0"/>
        <w:snapToGrid w:val="0"/>
        <w:spacing w:beforeLines="200" w:before="720" w:afterLines="200" w:after="720" w:line="480" w:lineRule="auto"/>
        <w:rPr>
          <w:rFonts w:ascii="Times New Roman" w:hAnsi="Times New Roman" w:cs="Times New Roman"/>
        </w:rPr>
      </w:pPr>
      <w:r w:rsidRPr="00E07F6C">
        <w:rPr>
          <w:rFonts w:ascii="Times New Roman" w:hAnsi="Times New Roman" w:cs="Times New Roman"/>
        </w:rPr>
        <w:t>Cho-</w:t>
      </w:r>
      <w:proofErr w:type="spellStart"/>
      <w:r w:rsidRPr="00E07F6C">
        <w:rPr>
          <w:rFonts w:ascii="Times New Roman" w:hAnsi="Times New Roman" w:cs="Times New Roman"/>
        </w:rPr>
        <w:t>ying</w:t>
      </w:r>
      <w:proofErr w:type="spellEnd"/>
      <w:r w:rsidRPr="00E07F6C">
        <w:rPr>
          <w:rFonts w:ascii="Times New Roman" w:hAnsi="Times New Roman" w:cs="Times New Roman"/>
        </w:rPr>
        <w:t xml:space="preserve"> </w:t>
      </w:r>
      <w:proofErr w:type="spellStart"/>
      <w:r w:rsidRPr="00E07F6C">
        <w:rPr>
          <w:rFonts w:ascii="Times New Roman" w:hAnsi="Times New Roman" w:cs="Times New Roman"/>
          <w:noProof/>
        </w:rPr>
        <w:t>Huang</w:t>
      </w:r>
      <w:r w:rsidRPr="00E07F6C">
        <w:rPr>
          <w:rFonts w:ascii="Times New Roman" w:hAnsi="Times New Roman" w:cs="Times New Roman"/>
          <w:noProof/>
          <w:vertAlign w:val="superscript"/>
        </w:rPr>
        <w:t>a</w:t>
      </w:r>
      <w:proofErr w:type="gramStart"/>
      <w:r w:rsidRPr="00E07F6C">
        <w:rPr>
          <w:rFonts w:ascii="Times New Roman" w:hAnsi="Times New Roman" w:cs="Times New Roman"/>
          <w:vertAlign w:val="superscript"/>
        </w:rPr>
        <w:t>,b</w:t>
      </w:r>
      <w:proofErr w:type="spellEnd"/>
      <w:proofErr w:type="gramEnd"/>
      <w:r w:rsidRPr="00E07F6C">
        <w:rPr>
          <w:rFonts w:ascii="Times New Roman" w:hAnsi="Times New Roman" w:cs="Times New Roman"/>
          <w:vertAlign w:val="superscript"/>
        </w:rPr>
        <w:t>,*</w:t>
      </w:r>
      <w:r w:rsidRPr="00E07F6C">
        <w:rPr>
          <w:rFonts w:ascii="Times New Roman" w:hAnsi="Times New Roman" w:cs="Times New Roman"/>
        </w:rPr>
        <w:t xml:space="preserve">, </w:t>
      </w:r>
      <w:proofErr w:type="spellStart"/>
      <w:r w:rsidRPr="00E07F6C">
        <w:rPr>
          <w:rFonts w:ascii="Times New Roman" w:hAnsi="Times New Roman" w:cs="Times New Roman"/>
        </w:rPr>
        <w:t>Hsin</w:t>
      </w:r>
      <w:proofErr w:type="spellEnd"/>
      <w:r w:rsidRPr="00E07F6C">
        <w:rPr>
          <w:rFonts w:ascii="Times New Roman" w:hAnsi="Times New Roman" w:cs="Times New Roman"/>
        </w:rPr>
        <w:t xml:space="preserve">-Lin </w:t>
      </w:r>
      <w:proofErr w:type="spellStart"/>
      <w:r w:rsidRPr="00E07F6C">
        <w:rPr>
          <w:rFonts w:ascii="Times New Roman" w:hAnsi="Times New Roman" w:cs="Times New Roman"/>
          <w:noProof/>
        </w:rPr>
        <w:t>Wei</w:t>
      </w:r>
      <w:r w:rsidRPr="00E07F6C">
        <w:rPr>
          <w:rFonts w:ascii="Times New Roman" w:hAnsi="Times New Roman" w:cs="Times New Roman"/>
          <w:noProof/>
          <w:vertAlign w:val="superscript"/>
        </w:rPr>
        <w:t>a</w:t>
      </w:r>
      <w:r w:rsidRPr="00E07F6C">
        <w:rPr>
          <w:rFonts w:ascii="Times New Roman" w:hAnsi="Times New Roman" w:cs="Times New Roman"/>
          <w:vertAlign w:val="superscript"/>
        </w:rPr>
        <w:t>,c</w:t>
      </w:r>
      <w:proofErr w:type="spellEnd"/>
      <w:r w:rsidRPr="00E07F6C">
        <w:rPr>
          <w:rFonts w:ascii="Times New Roman" w:hAnsi="Times New Roman" w:cs="Times New Roman"/>
        </w:rPr>
        <w:t xml:space="preserve">, </w:t>
      </w:r>
      <w:proofErr w:type="spellStart"/>
      <w:r w:rsidRPr="00E07F6C">
        <w:rPr>
          <w:rFonts w:ascii="Times New Roman" w:hAnsi="Times New Roman" w:cs="Times New Roman"/>
          <w:noProof/>
        </w:rPr>
        <w:t>Jiann</w:t>
      </w:r>
      <w:r w:rsidRPr="00E07F6C">
        <w:rPr>
          <w:rFonts w:ascii="Times New Roman" w:hAnsi="Times New Roman" w:cs="Times New Roman"/>
        </w:rPr>
        <w:t>-</w:t>
      </w:r>
      <w:r w:rsidRPr="00E07F6C">
        <w:rPr>
          <w:rFonts w:ascii="Times New Roman" w:hAnsi="Times New Roman" w:cs="Times New Roman"/>
          <w:noProof/>
        </w:rPr>
        <w:t>Yeou</w:t>
      </w:r>
      <w:proofErr w:type="spellEnd"/>
      <w:r w:rsidRPr="00E07F6C">
        <w:rPr>
          <w:rFonts w:ascii="Times New Roman" w:hAnsi="Times New Roman" w:cs="Times New Roman"/>
        </w:rPr>
        <w:t xml:space="preserve"> </w:t>
      </w:r>
      <w:r w:rsidRPr="00E07F6C">
        <w:rPr>
          <w:rFonts w:ascii="Times New Roman" w:hAnsi="Times New Roman" w:cs="Times New Roman"/>
          <w:noProof/>
        </w:rPr>
        <w:t>Rau</w:t>
      </w:r>
      <w:r w:rsidRPr="00E07F6C">
        <w:rPr>
          <w:rFonts w:ascii="Times New Roman" w:hAnsi="Times New Roman" w:cs="Times New Roman"/>
          <w:noProof/>
          <w:vertAlign w:val="superscript"/>
        </w:rPr>
        <w:t>d</w:t>
      </w:r>
      <w:r w:rsidRPr="00E07F6C">
        <w:rPr>
          <w:rFonts w:ascii="Times New Roman" w:hAnsi="Times New Roman" w:cs="Times New Roman"/>
        </w:rPr>
        <w:t xml:space="preserve">, </w:t>
      </w:r>
      <w:r w:rsidRPr="00E07F6C">
        <w:rPr>
          <w:rFonts w:ascii="Times New Roman" w:hAnsi="Times New Roman" w:cs="Times New Roman"/>
          <w:noProof/>
        </w:rPr>
        <w:t>Jyun</w:t>
      </w:r>
      <w:r w:rsidRPr="00E07F6C">
        <w:rPr>
          <w:rFonts w:ascii="Times New Roman" w:hAnsi="Times New Roman" w:cs="Times New Roman"/>
        </w:rPr>
        <w:t xml:space="preserve">-Ping </w:t>
      </w:r>
      <w:r w:rsidRPr="00E07F6C">
        <w:rPr>
          <w:rFonts w:ascii="Times New Roman" w:hAnsi="Times New Roman" w:cs="Times New Roman"/>
          <w:noProof/>
        </w:rPr>
        <w:t>Jhan</w:t>
      </w:r>
      <w:r w:rsidRPr="00E07F6C">
        <w:rPr>
          <w:rFonts w:ascii="Times New Roman" w:hAnsi="Times New Roman" w:cs="Times New Roman"/>
          <w:noProof/>
          <w:vertAlign w:val="superscript"/>
        </w:rPr>
        <w:t>d</w:t>
      </w:r>
    </w:p>
    <w:p w:rsidR="00E07F6C" w:rsidRPr="00E07F6C" w:rsidRDefault="00E07F6C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</w:rPr>
      </w:pPr>
      <w:r w:rsidRPr="00E07F6C">
        <w:rPr>
          <w:rFonts w:ascii="Times New Roman" w:hAnsi="Times New Roman" w:cs="Times New Roman"/>
          <w:vertAlign w:val="superscript"/>
        </w:rPr>
        <w:t>a</w:t>
      </w:r>
      <w:r w:rsidRPr="00E07F6C">
        <w:rPr>
          <w:rFonts w:ascii="Times New Roman" w:hAnsi="Times New Roman" w:cs="Times New Roman"/>
        </w:rPr>
        <w:t xml:space="preserve"> Department of Geography, National Taiwan University, Taipei, Taiwan</w:t>
      </w:r>
    </w:p>
    <w:p w:rsidR="00E07F6C" w:rsidRPr="00E07F6C" w:rsidRDefault="00E07F6C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</w:rPr>
      </w:pPr>
      <w:r w:rsidRPr="00E07F6C">
        <w:rPr>
          <w:rFonts w:ascii="Times New Roman" w:hAnsi="Times New Roman" w:cs="Times New Roman"/>
          <w:vertAlign w:val="superscript"/>
        </w:rPr>
        <w:t>b</w:t>
      </w:r>
      <w:r w:rsidRPr="00E07F6C">
        <w:rPr>
          <w:rFonts w:ascii="Times New Roman" w:hAnsi="Times New Roman" w:cs="Times New Roman"/>
        </w:rPr>
        <w:t xml:space="preserve"> Research Center for Future Earth, National Taiwan University, Taipei, Taiwan</w:t>
      </w:r>
    </w:p>
    <w:p w:rsidR="00E07F6C" w:rsidRPr="00E07F6C" w:rsidRDefault="00E07F6C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</w:rPr>
      </w:pPr>
      <w:r w:rsidRPr="00E07F6C">
        <w:rPr>
          <w:rFonts w:ascii="Times New Roman" w:hAnsi="Times New Roman" w:cs="Times New Roman"/>
          <w:vertAlign w:val="superscript"/>
        </w:rPr>
        <w:t>c</w:t>
      </w:r>
      <w:r w:rsidRPr="00E07F6C">
        <w:rPr>
          <w:rFonts w:ascii="Times New Roman" w:hAnsi="Times New Roman" w:cs="Times New Roman"/>
        </w:rPr>
        <w:t xml:space="preserve"> Department of Life Sciences, National Cheng Kung University, Tainan, Taiwan</w:t>
      </w:r>
    </w:p>
    <w:p w:rsidR="00E07F6C" w:rsidRPr="00E07F6C" w:rsidRDefault="00E07F6C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</w:rPr>
      </w:pPr>
      <w:r w:rsidRPr="00E07F6C">
        <w:rPr>
          <w:rFonts w:ascii="Times New Roman" w:hAnsi="Times New Roman" w:cs="Times New Roman"/>
          <w:vertAlign w:val="superscript"/>
        </w:rPr>
        <w:t>d</w:t>
      </w:r>
      <w:r w:rsidRPr="00E07F6C">
        <w:rPr>
          <w:rFonts w:ascii="Times New Roman" w:hAnsi="Times New Roman" w:cs="Times New Roman"/>
        </w:rPr>
        <w:t xml:space="preserve"> Department of Geomatics, National Cheng Kung University, Tainan, Taiwan</w:t>
      </w:r>
    </w:p>
    <w:p w:rsidR="00E07F6C" w:rsidRPr="00E07F6C" w:rsidRDefault="00E07F6C" w:rsidP="00E07F6C">
      <w:pPr>
        <w:adjustRightInd w:val="0"/>
        <w:snapToGrid w:val="0"/>
        <w:spacing w:beforeLines="100" w:before="360" w:line="480" w:lineRule="auto"/>
        <w:outlineLvl w:val="0"/>
        <w:rPr>
          <w:rFonts w:ascii="Times New Roman" w:hAnsi="Times New Roman" w:cs="Times New Roman"/>
        </w:rPr>
      </w:pPr>
      <w:r w:rsidRPr="00E07F6C">
        <w:rPr>
          <w:rFonts w:ascii="Times New Roman" w:hAnsi="Times New Roman" w:cs="Times New Roman"/>
        </w:rPr>
        <w:t>Corresponding author: Cho-ying Huang (e-mail: choying@ntu.edu.tw)</w:t>
      </w:r>
    </w:p>
    <w:p w:rsidR="00E07F6C" w:rsidRPr="00E07F6C" w:rsidRDefault="00E07F6C" w:rsidP="00E07F6C">
      <w:pPr>
        <w:adjustRightInd w:val="0"/>
        <w:snapToGrid w:val="0"/>
        <w:spacing w:line="480" w:lineRule="auto"/>
        <w:outlineLvl w:val="0"/>
        <w:rPr>
          <w:rFonts w:ascii="Times New Roman" w:hAnsi="Times New Roman" w:cs="Times New Roman"/>
        </w:rPr>
      </w:pPr>
      <w:r w:rsidRPr="00E07F6C">
        <w:rPr>
          <w:rFonts w:ascii="Times New Roman" w:hAnsi="Times New Roman" w:cs="Times New Roman"/>
        </w:rPr>
        <w:t>Address: 1 Sec. 4, Roosevelt Rd., Taipei, Taiwan 10617</w:t>
      </w:r>
    </w:p>
    <w:p w:rsidR="00FD0787" w:rsidRPr="00E07F6C" w:rsidRDefault="00E07F6C" w:rsidP="00E07F6C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</w:rPr>
        <w:t>Phone: +886-2-3366-3733; Fax: +886-2-2362-2911</w:t>
      </w:r>
    </w:p>
    <w:p w:rsidR="00FD0787" w:rsidRPr="00E07F6C" w:rsidRDefault="00FD0787" w:rsidP="00E07F6C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  <w:szCs w:val="24"/>
        </w:rPr>
        <w:br w:type="page"/>
      </w:r>
    </w:p>
    <w:p w:rsidR="00A80708" w:rsidRPr="00E07F6C" w:rsidRDefault="00A80708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en-US"/>
        </w:rPr>
        <w:lastRenderedPageBreak/>
        <w:drawing>
          <wp:inline distT="0" distB="0" distL="0" distR="0">
            <wp:extent cx="5943600" cy="4109720"/>
            <wp:effectExtent l="0" t="0" r="0" b="508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S2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784" w:rsidRPr="00E07F6C" w:rsidRDefault="00A80708" w:rsidP="00E07F6C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  <w:b/>
          <w:szCs w:val="24"/>
        </w:rPr>
        <w:t>Figure S</w:t>
      </w:r>
      <w:r w:rsidR="00B95B17">
        <w:rPr>
          <w:rFonts w:ascii="Times New Roman" w:hAnsi="Times New Roman" w:cs="Times New Roman"/>
          <w:b/>
          <w:szCs w:val="24"/>
        </w:rPr>
        <w:t>1</w:t>
      </w:r>
      <w:r w:rsidRPr="00E07F6C">
        <w:rPr>
          <w:rFonts w:ascii="Times New Roman" w:hAnsi="Times New Roman" w:cs="Times New Roman"/>
          <w:b/>
          <w:szCs w:val="24"/>
        </w:rPr>
        <w:t>.</w:t>
      </w:r>
      <w:r w:rsidRPr="00E07F6C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 xml:space="preserve">A close-up </w:t>
      </w:r>
      <w:r w:rsidR="00CA2EE2">
        <w:rPr>
          <w:rFonts w:ascii="Times New Roman" w:hAnsi="Times New Roman" w:cs="Times New Roman"/>
          <w:szCs w:val="24"/>
        </w:rPr>
        <w:t>view</w:t>
      </w:r>
      <w:r>
        <w:rPr>
          <w:rFonts w:ascii="Times New Roman" w:hAnsi="Times New Roman" w:cs="Times New Roman"/>
          <w:szCs w:val="24"/>
        </w:rPr>
        <w:t xml:space="preserve"> of the spatial arrangement of </w:t>
      </w:r>
      <w:r w:rsidR="00CF0970">
        <w:rPr>
          <w:rFonts w:ascii="Times New Roman" w:hAnsi="Times New Roman" w:cs="Times New Roman"/>
          <w:szCs w:val="24"/>
        </w:rPr>
        <w:t>field samples, and t</w:t>
      </w:r>
      <w:r w:rsidR="00CF0970" w:rsidRPr="00CA2EE2">
        <w:rPr>
          <w:rFonts w:ascii="Times New Roman" w:hAnsi="Times New Roman" w:cs="Times New Roman"/>
          <w:szCs w:val="24"/>
        </w:rPr>
        <w:t>he yellow dots and triangles are sites with ground reflectance and fAPAR, respectively.</w:t>
      </w:r>
      <w:r w:rsidR="00CF0970">
        <w:rPr>
          <w:rFonts w:ascii="Times New Roman" w:hAnsi="Times New Roman" w:cs="Times New Roman"/>
          <w:szCs w:val="24"/>
        </w:rPr>
        <w:t xml:space="preserve"> The background is a </w:t>
      </w:r>
      <w:r w:rsidR="00CF0970" w:rsidRPr="00CA2EE2">
        <w:rPr>
          <w:rFonts w:ascii="Times New Roman" w:hAnsi="Times New Roman" w:cs="Times New Roman"/>
          <w:szCs w:val="24"/>
        </w:rPr>
        <w:t xml:space="preserve">40 cm </w:t>
      </w:r>
      <w:r w:rsidR="00CF0970">
        <w:rPr>
          <w:rFonts w:ascii="Times New Roman" w:hAnsi="Times New Roman" w:cs="Times New Roman"/>
          <w:szCs w:val="24"/>
        </w:rPr>
        <w:t xml:space="preserve">spatial resolution </w:t>
      </w:r>
      <w:r w:rsidR="00CF0970" w:rsidRPr="00CA2EE2">
        <w:rPr>
          <w:rFonts w:ascii="Times New Roman" w:hAnsi="Times New Roman" w:cs="Times New Roman"/>
          <w:szCs w:val="24"/>
        </w:rPr>
        <w:t>MiniMCA-12</w:t>
      </w:r>
      <w:r w:rsidR="00CF0970">
        <w:rPr>
          <w:rFonts w:ascii="Times New Roman" w:hAnsi="Times New Roman" w:cs="Times New Roman"/>
          <w:szCs w:val="24"/>
        </w:rPr>
        <w:t xml:space="preserve"> </w:t>
      </w:r>
      <w:r w:rsidR="00CA2EE2" w:rsidRPr="00CA2EE2">
        <w:rPr>
          <w:rFonts w:ascii="Times New Roman" w:hAnsi="Times New Roman" w:cs="Times New Roman"/>
          <w:szCs w:val="24"/>
        </w:rPr>
        <w:t>imagery (red = 530 nm, green = 780 nm, blue = 510 nm)</w:t>
      </w:r>
      <w:r w:rsidRPr="00E07F6C">
        <w:rPr>
          <w:rFonts w:ascii="Times New Roman" w:hAnsi="Times New Roman" w:cs="Times New Roman"/>
          <w:szCs w:val="24"/>
        </w:rPr>
        <w:t>.</w:t>
      </w:r>
      <w:r w:rsidR="000C1784" w:rsidRPr="00E07F6C">
        <w:rPr>
          <w:rFonts w:ascii="Times New Roman" w:hAnsi="Times New Roman" w:cs="Times New Roman"/>
          <w:szCs w:val="24"/>
        </w:rPr>
        <w:br w:type="page"/>
      </w:r>
    </w:p>
    <w:p w:rsidR="000C1784" w:rsidRPr="00E07F6C" w:rsidRDefault="000C1784" w:rsidP="001B74AC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Cs w:val="24"/>
        </w:rPr>
      </w:pPr>
      <w:r w:rsidRPr="00E07F6C">
        <w:rPr>
          <w:rFonts w:ascii="Times New Roman" w:hAnsi="Times New Roman" w:cs="Times New Roman"/>
          <w:b/>
          <w:szCs w:val="24"/>
        </w:rPr>
        <w:lastRenderedPageBreak/>
        <w:t>Band co-registration and orthorectification</w:t>
      </w:r>
    </w:p>
    <w:p w:rsidR="000C1784" w:rsidRPr="00E07F6C" w:rsidRDefault="000C1784" w:rsidP="001B74AC">
      <w:pPr>
        <w:adjustRightInd w:val="0"/>
        <w:snapToGrid w:val="0"/>
        <w:spacing w:afterLines="100" w:after="360" w:line="480" w:lineRule="auto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  <w:szCs w:val="24"/>
        </w:rPr>
        <w:t xml:space="preserve">Conventionally, band co-registration is realized through image registration conducted by </w:t>
      </w:r>
      <w:r w:rsidRPr="00E07F6C">
        <w:rPr>
          <w:rFonts w:ascii="Times New Roman" w:hAnsi="Times New Roman" w:cs="Times New Roman"/>
          <w:szCs w:val="24"/>
          <w:shd w:val="clear" w:color="auto" w:fill="FFFFFF"/>
        </w:rPr>
        <w:t xml:space="preserve">feature detection and matching, and image transformation and interpolation; </w:t>
      </w:r>
      <w:r w:rsidRPr="00E07F6C">
        <w:rPr>
          <w:rFonts w:ascii="Times New Roman" w:hAnsi="Times New Roman" w:cs="Times New Roman"/>
          <w:szCs w:val="24"/>
        </w:rPr>
        <w:t>the coefficients of a mathematical model for image transformation are estimated by feature-points matching within their overlapped area. However, this method may fail for narrow-band MiniMCA-12 imagery due to the inconsistent spectral responses among bands of a terrain object. Therefore, instead of image matching for image transformation coefficient calculation, we adopted a camera system calibration scheme for estimating the coefficients of the modified projective transformation (MPT), together with systematic errors correction for MiniMCA-12 band co-registration. In this scheme, the interior orientation parameters (IOPs) of each camera and the transformation parameters for MPT were initially estimated by an indoor camera calibration field. When applying the MiniMCA-12 UAV imagery, we analyzed the band misregistration residuals and performed systematic errors correction to update the MPT transformation parameters. Since all 12 bands of the MiniMCA-12 were co-registered, they had the same IOPs and exterior orientation parameters (EOPs). Thus, we can only select one band of MiniMCA-12 for aerial triangulation. To obtain accurate EOPs, the ground control points (GCPs) were marked (white painted on dark colored asphalt) during the ae</w:t>
      </w:r>
      <w:r w:rsidR="00AB1C91" w:rsidRPr="00E07F6C">
        <w:rPr>
          <w:rFonts w:ascii="Times New Roman" w:hAnsi="Times New Roman" w:cs="Times New Roman"/>
          <w:szCs w:val="24"/>
        </w:rPr>
        <w:t>rial triangulation process (</w:t>
      </w:r>
      <w:r w:rsidRPr="00E07F6C">
        <w:rPr>
          <w:rFonts w:ascii="Times New Roman" w:hAnsi="Times New Roman" w:cs="Times New Roman"/>
          <w:szCs w:val="24"/>
        </w:rPr>
        <w:t>Fig</w:t>
      </w:r>
      <w:r w:rsidR="009A76AA">
        <w:rPr>
          <w:rFonts w:ascii="Times New Roman" w:hAnsi="Times New Roman" w:cs="Times New Roman"/>
          <w:szCs w:val="24"/>
        </w:rPr>
        <w:t>ure</w:t>
      </w:r>
      <w:r w:rsidRPr="00E07F6C">
        <w:rPr>
          <w:rFonts w:ascii="Times New Roman" w:hAnsi="Times New Roman" w:cs="Times New Roman"/>
          <w:szCs w:val="24"/>
        </w:rPr>
        <w:t xml:space="preserve"> S</w:t>
      </w:r>
      <w:r w:rsidR="00B87462">
        <w:rPr>
          <w:rFonts w:ascii="Times New Roman" w:hAnsi="Times New Roman" w:cs="Times New Roman"/>
          <w:szCs w:val="24"/>
        </w:rPr>
        <w:t>2</w:t>
      </w:r>
      <w:r w:rsidRPr="00E07F6C">
        <w:rPr>
          <w:rFonts w:ascii="Times New Roman" w:hAnsi="Times New Roman" w:cs="Times New Roman"/>
          <w:szCs w:val="24"/>
        </w:rPr>
        <w:t>). Ortho-rectification can thus be applied to all 12 bands using a 1 m spatial resolution digital surface model (DSM) generated by a Canon EOS 5D Mark II camera (Canon Inc., Tokyo, Japan) that was acquired along with a MiniMCA-12 (</w:t>
      </w:r>
      <w:proofErr w:type="spellStart"/>
      <w:r w:rsidRPr="00E07F6C">
        <w:rPr>
          <w:rFonts w:ascii="Times New Roman" w:hAnsi="Times New Roman" w:cs="Times New Roman"/>
          <w:szCs w:val="24"/>
        </w:rPr>
        <w:t>Jhan</w:t>
      </w:r>
      <w:proofErr w:type="spellEnd"/>
      <w:r w:rsidRPr="00E07F6C">
        <w:rPr>
          <w:rFonts w:ascii="Times New Roman" w:hAnsi="Times New Roman" w:cs="Times New Roman"/>
          <w:szCs w:val="24"/>
        </w:rPr>
        <w:t xml:space="preserve"> et al.</w:t>
      </w:r>
      <w:r w:rsidR="00AC32C1">
        <w:rPr>
          <w:rFonts w:ascii="Times New Roman" w:hAnsi="Times New Roman" w:cs="Times New Roman"/>
          <w:szCs w:val="24"/>
        </w:rPr>
        <w:t xml:space="preserve"> </w:t>
      </w:r>
      <w:r w:rsidRPr="00E07F6C">
        <w:rPr>
          <w:rFonts w:ascii="Times New Roman" w:hAnsi="Times New Roman" w:cs="Times New Roman"/>
          <w:szCs w:val="24"/>
        </w:rPr>
        <w:t xml:space="preserve">2016). The rectified image frames were then mosaicked (Pix4dMapper, Lausanne, Switzerland). Details of the procedures are described in </w:t>
      </w:r>
      <w:proofErr w:type="spellStart"/>
      <w:r w:rsidRPr="00E07F6C">
        <w:rPr>
          <w:rFonts w:ascii="Times New Roman" w:hAnsi="Times New Roman" w:cs="Times New Roman"/>
          <w:szCs w:val="24"/>
        </w:rPr>
        <w:t>Jhan</w:t>
      </w:r>
      <w:proofErr w:type="spellEnd"/>
      <w:r w:rsidRPr="00E07F6C">
        <w:rPr>
          <w:rFonts w:ascii="Times New Roman" w:hAnsi="Times New Roman" w:cs="Times New Roman"/>
          <w:szCs w:val="24"/>
        </w:rPr>
        <w:t xml:space="preserve"> et al. (2016) and are illustrated in Fig</w:t>
      </w:r>
      <w:r w:rsidR="009A76AA">
        <w:rPr>
          <w:rFonts w:ascii="Times New Roman" w:hAnsi="Times New Roman" w:cs="Times New Roman"/>
          <w:szCs w:val="24"/>
        </w:rPr>
        <w:t>ure</w:t>
      </w:r>
      <w:r w:rsidRPr="00E07F6C">
        <w:rPr>
          <w:rFonts w:ascii="Times New Roman" w:hAnsi="Times New Roman" w:cs="Times New Roman"/>
          <w:szCs w:val="24"/>
        </w:rPr>
        <w:t xml:space="preserve"> S</w:t>
      </w:r>
      <w:r w:rsidR="00B87462">
        <w:rPr>
          <w:rFonts w:ascii="Times New Roman" w:hAnsi="Times New Roman" w:cs="Times New Roman"/>
          <w:szCs w:val="24"/>
        </w:rPr>
        <w:t>3</w:t>
      </w:r>
      <w:r w:rsidRPr="00E07F6C">
        <w:rPr>
          <w:rFonts w:ascii="Times New Roman" w:hAnsi="Times New Roman" w:cs="Times New Roman"/>
          <w:szCs w:val="24"/>
        </w:rPr>
        <w:t>.</w:t>
      </w:r>
    </w:p>
    <w:p w:rsidR="007F6540" w:rsidRPr="00E07F6C" w:rsidRDefault="00535A03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  <w:noProof/>
          <w:szCs w:val="24"/>
          <w:lang w:eastAsia="en-US"/>
        </w:rPr>
        <w:lastRenderedPageBreak/>
        <w:drawing>
          <wp:inline distT="0" distB="0" distL="0" distR="0" wp14:anchorId="4D89945E" wp14:editId="320DC7FF">
            <wp:extent cx="5943600" cy="3177347"/>
            <wp:effectExtent l="0" t="0" r="0" b="444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F31" w:rsidRPr="00E07F6C" w:rsidRDefault="0068086D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  <w:b/>
          <w:szCs w:val="24"/>
        </w:rPr>
        <w:t>Fig</w:t>
      </w:r>
      <w:r w:rsidR="001E10E4" w:rsidRPr="00E07F6C">
        <w:rPr>
          <w:rFonts w:ascii="Times New Roman" w:hAnsi="Times New Roman" w:cs="Times New Roman"/>
          <w:b/>
          <w:szCs w:val="24"/>
        </w:rPr>
        <w:t>ure</w:t>
      </w:r>
      <w:r w:rsidR="00AD1F31" w:rsidRPr="00E07F6C">
        <w:rPr>
          <w:rFonts w:ascii="Times New Roman" w:hAnsi="Times New Roman" w:cs="Times New Roman"/>
          <w:b/>
          <w:szCs w:val="24"/>
        </w:rPr>
        <w:t xml:space="preserve"> S</w:t>
      </w:r>
      <w:r w:rsidR="00B95B17">
        <w:rPr>
          <w:rFonts w:ascii="Times New Roman" w:hAnsi="Times New Roman" w:cs="Times New Roman"/>
          <w:b/>
          <w:szCs w:val="24"/>
        </w:rPr>
        <w:t>2</w:t>
      </w:r>
      <w:r w:rsidR="00AD1F31" w:rsidRPr="00E07F6C">
        <w:rPr>
          <w:rFonts w:ascii="Times New Roman" w:hAnsi="Times New Roman" w:cs="Times New Roman"/>
          <w:b/>
          <w:szCs w:val="24"/>
        </w:rPr>
        <w:t>.</w:t>
      </w:r>
      <w:r w:rsidRPr="00E07F6C">
        <w:rPr>
          <w:rFonts w:ascii="Times New Roman" w:hAnsi="Times New Roman" w:cs="Times New Roman"/>
          <w:szCs w:val="24"/>
        </w:rPr>
        <w:t xml:space="preserve"> (a) The flight route and GCPs</w:t>
      </w:r>
      <w:r w:rsidR="008B24FE" w:rsidRPr="00E07F6C">
        <w:rPr>
          <w:rFonts w:ascii="Times New Roman" w:hAnsi="Times New Roman" w:cs="Times New Roman"/>
          <w:szCs w:val="24"/>
        </w:rPr>
        <w:t xml:space="preserve"> </w:t>
      </w:r>
      <w:r w:rsidRPr="00E07F6C">
        <w:rPr>
          <w:rFonts w:ascii="Times New Roman" w:hAnsi="Times New Roman" w:cs="Times New Roman"/>
          <w:szCs w:val="24"/>
        </w:rPr>
        <w:t xml:space="preserve">for the MiniMCA-12 </w:t>
      </w:r>
      <w:r w:rsidR="007F329C" w:rsidRPr="00E07F6C">
        <w:rPr>
          <w:rFonts w:ascii="Times New Roman" w:hAnsi="Times New Roman" w:cs="Times New Roman"/>
          <w:szCs w:val="24"/>
        </w:rPr>
        <w:t xml:space="preserve">data acquisition (adapted from </w:t>
      </w:r>
      <w:proofErr w:type="spellStart"/>
      <w:r w:rsidR="00731FAD" w:rsidRPr="00E07F6C">
        <w:rPr>
          <w:rFonts w:ascii="Times New Roman" w:hAnsi="Times New Roman" w:cs="Times New Roman"/>
          <w:szCs w:val="24"/>
        </w:rPr>
        <w:t>Jhan</w:t>
      </w:r>
      <w:proofErr w:type="spellEnd"/>
      <w:r w:rsidR="00731FAD" w:rsidRPr="00E07F6C">
        <w:rPr>
          <w:rFonts w:ascii="Times New Roman" w:hAnsi="Times New Roman" w:cs="Times New Roman"/>
          <w:szCs w:val="24"/>
        </w:rPr>
        <w:t xml:space="preserve"> et al., 2016 with permission from Elsevier B.V.</w:t>
      </w:r>
      <w:r w:rsidR="007F329C" w:rsidRPr="00E07F6C">
        <w:rPr>
          <w:rFonts w:ascii="Times New Roman" w:hAnsi="Times New Roman" w:cs="Times New Roman"/>
          <w:szCs w:val="24"/>
        </w:rPr>
        <w:t>)</w:t>
      </w:r>
      <w:r w:rsidR="00DC77C7" w:rsidRPr="00E07F6C">
        <w:rPr>
          <w:rFonts w:ascii="Times New Roman" w:hAnsi="Times New Roman" w:cs="Times New Roman"/>
          <w:szCs w:val="24"/>
        </w:rPr>
        <w:t xml:space="preserve">; </w:t>
      </w:r>
      <w:r w:rsidR="007F329C" w:rsidRPr="00E07F6C">
        <w:rPr>
          <w:rFonts w:ascii="Times New Roman" w:hAnsi="Times New Roman" w:cs="Times New Roman"/>
          <w:szCs w:val="24"/>
        </w:rPr>
        <w:t xml:space="preserve">(b) </w:t>
      </w:r>
      <w:r w:rsidR="00DC77C7" w:rsidRPr="00E07F6C">
        <w:rPr>
          <w:rFonts w:ascii="Times New Roman" w:hAnsi="Times New Roman" w:cs="Times New Roman"/>
          <w:szCs w:val="24"/>
        </w:rPr>
        <w:t>the</w:t>
      </w:r>
      <w:r w:rsidR="007F329C" w:rsidRPr="00E07F6C">
        <w:rPr>
          <w:rFonts w:ascii="Times New Roman" w:hAnsi="Times New Roman" w:cs="Times New Roman"/>
          <w:szCs w:val="24"/>
        </w:rPr>
        <w:t xml:space="preserve"> photograph illustrat</w:t>
      </w:r>
      <w:r w:rsidR="00DC77C7" w:rsidRPr="00E07F6C">
        <w:rPr>
          <w:rFonts w:ascii="Times New Roman" w:hAnsi="Times New Roman" w:cs="Times New Roman"/>
          <w:szCs w:val="24"/>
        </w:rPr>
        <w:t>ion of</w:t>
      </w:r>
      <w:r w:rsidRPr="00E07F6C">
        <w:rPr>
          <w:rFonts w:ascii="Times New Roman" w:hAnsi="Times New Roman" w:cs="Times New Roman"/>
          <w:szCs w:val="24"/>
        </w:rPr>
        <w:t xml:space="preserve"> GCP</w:t>
      </w:r>
      <w:r w:rsidR="007F329C" w:rsidRPr="00E07F6C">
        <w:rPr>
          <w:rFonts w:ascii="Times New Roman" w:hAnsi="Times New Roman" w:cs="Times New Roman"/>
          <w:szCs w:val="24"/>
        </w:rPr>
        <w:t xml:space="preserve"> data acquisition taken</w:t>
      </w:r>
      <w:r w:rsidR="00731FAD" w:rsidRPr="00E07F6C">
        <w:rPr>
          <w:rFonts w:ascii="Times New Roman" w:hAnsi="Times New Roman" w:cs="Times New Roman"/>
          <w:szCs w:val="24"/>
        </w:rPr>
        <w:t xml:space="preserve"> by </w:t>
      </w:r>
      <w:proofErr w:type="spellStart"/>
      <w:r w:rsidR="00731FAD" w:rsidRPr="00E07F6C">
        <w:rPr>
          <w:rFonts w:ascii="Times New Roman" w:hAnsi="Times New Roman" w:cs="Times New Roman"/>
          <w:szCs w:val="24"/>
        </w:rPr>
        <w:t>Jyun</w:t>
      </w:r>
      <w:proofErr w:type="spellEnd"/>
      <w:r w:rsidR="00731FAD" w:rsidRPr="00E07F6C">
        <w:rPr>
          <w:rFonts w:ascii="Times New Roman" w:hAnsi="Times New Roman" w:cs="Times New Roman"/>
          <w:szCs w:val="24"/>
        </w:rPr>
        <w:t xml:space="preserve">-Ping </w:t>
      </w:r>
      <w:proofErr w:type="spellStart"/>
      <w:r w:rsidR="00731FAD" w:rsidRPr="00E07F6C">
        <w:rPr>
          <w:rFonts w:ascii="Times New Roman" w:hAnsi="Times New Roman" w:cs="Times New Roman"/>
          <w:szCs w:val="24"/>
        </w:rPr>
        <w:t>Jhan</w:t>
      </w:r>
      <w:proofErr w:type="spellEnd"/>
      <w:r w:rsidR="00A01A0A" w:rsidRPr="00E07F6C">
        <w:rPr>
          <w:rFonts w:ascii="Times New Roman" w:hAnsi="Times New Roman" w:cs="Times New Roman"/>
          <w:szCs w:val="24"/>
        </w:rPr>
        <w:t xml:space="preserve"> during the field campaign</w:t>
      </w:r>
      <w:r w:rsidR="00776F86" w:rsidRPr="00E07F6C">
        <w:rPr>
          <w:rFonts w:ascii="Times New Roman" w:hAnsi="Times New Roman" w:cs="Times New Roman"/>
          <w:szCs w:val="24"/>
        </w:rPr>
        <w:t>.</w:t>
      </w:r>
    </w:p>
    <w:p w:rsidR="00776F86" w:rsidRPr="00E07F6C" w:rsidRDefault="00776F86" w:rsidP="00E07F6C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  <w:szCs w:val="24"/>
        </w:rPr>
        <w:br w:type="page"/>
      </w:r>
    </w:p>
    <w:p w:rsidR="00776F86" w:rsidRPr="00E07F6C" w:rsidRDefault="007A467F" w:rsidP="00E07F6C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Cs w:val="24"/>
        </w:rPr>
      </w:pPr>
      <w:r w:rsidRPr="00E07F6C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>
            <wp:extent cx="5943600" cy="3956909"/>
            <wp:effectExtent l="0" t="0" r="0" b="571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AE6" w:rsidRPr="00E07F6C" w:rsidRDefault="00776F86" w:rsidP="0068745C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Cs w:val="24"/>
        </w:rPr>
      </w:pPr>
      <w:r w:rsidRPr="00E07F6C">
        <w:rPr>
          <w:rFonts w:ascii="Times New Roman" w:hAnsi="Times New Roman" w:cs="Times New Roman"/>
          <w:b/>
          <w:szCs w:val="24"/>
        </w:rPr>
        <w:t>Fig</w:t>
      </w:r>
      <w:r w:rsidR="001E10E4" w:rsidRPr="00E07F6C">
        <w:rPr>
          <w:rFonts w:ascii="Times New Roman" w:hAnsi="Times New Roman" w:cs="Times New Roman"/>
          <w:b/>
          <w:szCs w:val="24"/>
        </w:rPr>
        <w:t>ure</w:t>
      </w:r>
      <w:r w:rsidRPr="00E07F6C">
        <w:rPr>
          <w:rFonts w:ascii="Times New Roman" w:hAnsi="Times New Roman" w:cs="Times New Roman"/>
          <w:b/>
          <w:szCs w:val="24"/>
        </w:rPr>
        <w:t xml:space="preserve"> S</w:t>
      </w:r>
      <w:r w:rsidR="00B95B17">
        <w:rPr>
          <w:rFonts w:ascii="Times New Roman" w:hAnsi="Times New Roman" w:cs="Times New Roman"/>
          <w:b/>
          <w:szCs w:val="24"/>
        </w:rPr>
        <w:t>3</w:t>
      </w:r>
      <w:r w:rsidRPr="00E07F6C">
        <w:rPr>
          <w:rFonts w:ascii="Times New Roman" w:hAnsi="Times New Roman" w:cs="Times New Roman"/>
          <w:b/>
          <w:szCs w:val="24"/>
        </w:rPr>
        <w:t>.</w:t>
      </w:r>
      <w:r w:rsidRPr="00E07F6C">
        <w:rPr>
          <w:rFonts w:ascii="Times New Roman" w:hAnsi="Times New Roman" w:cs="Times New Roman"/>
          <w:szCs w:val="24"/>
        </w:rPr>
        <w:t xml:space="preserve"> (a) MiniMCA-12 band-to-band registration and ortho-rectification. (b) The physical setting for conducting the MiniMCA-12 indoor calibration. Minimization of the image misregistration residuals (blue arrows) (c: the original image and d: the corrected image) using MPT</w:t>
      </w:r>
      <w:r w:rsidR="009221E9">
        <w:rPr>
          <w:rFonts w:ascii="Times New Roman" w:hAnsi="Times New Roman" w:cs="Times New Roman"/>
          <w:szCs w:val="24"/>
        </w:rPr>
        <w:t xml:space="preserve"> </w:t>
      </w:r>
      <w:r w:rsidR="009221E9" w:rsidRPr="00E07F6C">
        <w:rPr>
          <w:rFonts w:ascii="Times New Roman" w:hAnsi="Times New Roman" w:cs="Times New Roman"/>
          <w:szCs w:val="24"/>
        </w:rPr>
        <w:t xml:space="preserve">(adapted from </w:t>
      </w:r>
      <w:proofErr w:type="spellStart"/>
      <w:r w:rsidR="009221E9" w:rsidRPr="00E07F6C">
        <w:rPr>
          <w:rFonts w:ascii="Times New Roman" w:hAnsi="Times New Roman" w:cs="Times New Roman"/>
          <w:szCs w:val="24"/>
        </w:rPr>
        <w:t>Jhan</w:t>
      </w:r>
      <w:proofErr w:type="spellEnd"/>
      <w:r w:rsidR="009221E9" w:rsidRPr="00E07F6C">
        <w:rPr>
          <w:rFonts w:ascii="Times New Roman" w:hAnsi="Times New Roman" w:cs="Times New Roman"/>
          <w:szCs w:val="24"/>
        </w:rPr>
        <w:t xml:space="preserve"> et al., 2016 with permission from Elsevier B.V.)</w:t>
      </w:r>
      <w:r w:rsidRPr="00E07F6C">
        <w:rPr>
          <w:rFonts w:ascii="Times New Roman" w:hAnsi="Times New Roman" w:cs="Times New Roman"/>
          <w:szCs w:val="24"/>
        </w:rPr>
        <w:t>, displacement removal and lens distortion correction.</w:t>
      </w:r>
    </w:p>
    <w:p w:rsidR="0068745C" w:rsidRDefault="0068745C">
      <w:pPr>
        <w:widowControl/>
        <w:rPr>
          <w:rFonts w:ascii="Times New Roman" w:eastAsia="DFKai-SB" w:hAnsi="Times New Roman" w:cs="Times New Roman"/>
          <w:b/>
          <w:szCs w:val="24"/>
        </w:rPr>
      </w:pPr>
      <w:r>
        <w:rPr>
          <w:rFonts w:ascii="Times New Roman" w:eastAsia="DFKai-SB" w:hAnsi="Times New Roman" w:cs="Times New Roman"/>
          <w:b/>
          <w:szCs w:val="24"/>
        </w:rPr>
        <w:br w:type="page"/>
      </w:r>
    </w:p>
    <w:p w:rsidR="007B19D0" w:rsidRPr="00E07F6C" w:rsidRDefault="00214DEC" w:rsidP="00E07F6C">
      <w:pPr>
        <w:widowControl/>
        <w:adjustRightInd w:val="0"/>
        <w:snapToGrid w:val="0"/>
        <w:spacing w:beforeLines="100" w:before="360" w:line="480" w:lineRule="auto"/>
        <w:rPr>
          <w:rFonts w:ascii="Times New Roman" w:eastAsia="DFKai-SB" w:hAnsi="Times New Roman" w:cs="Times New Roman"/>
          <w:szCs w:val="24"/>
        </w:rPr>
      </w:pPr>
      <w:r>
        <w:rPr>
          <w:rFonts w:ascii="Times New Roman" w:eastAsia="DFKai-SB" w:hAnsi="Times New Roman" w:cs="Times New Roman"/>
          <w:b/>
          <w:szCs w:val="24"/>
        </w:rPr>
        <w:lastRenderedPageBreak/>
        <w:t>Table S1</w:t>
      </w:r>
      <w:r w:rsidR="007B19D0" w:rsidRPr="00E07F6C">
        <w:rPr>
          <w:rFonts w:ascii="Times New Roman" w:eastAsia="DFKai-SB" w:hAnsi="Times New Roman" w:cs="Times New Roman"/>
          <w:b/>
          <w:szCs w:val="24"/>
        </w:rPr>
        <w:t xml:space="preserve">. </w:t>
      </w:r>
      <w:r w:rsidR="007B19D0" w:rsidRPr="00E07F6C">
        <w:rPr>
          <w:rFonts w:ascii="Times New Roman" w:eastAsia="DFKai-SB" w:hAnsi="Times New Roman" w:cs="Times New Roman"/>
          <w:szCs w:val="24"/>
        </w:rPr>
        <w:t>Model fitness (</w:t>
      </w:r>
      <w:r w:rsidR="007B19D0" w:rsidRPr="00E07F6C">
        <w:rPr>
          <w:rFonts w:ascii="Times New Roman" w:eastAsia="DFKai-SB" w:hAnsi="Times New Roman" w:cs="Times New Roman"/>
          <w:i/>
          <w:szCs w:val="24"/>
        </w:rPr>
        <w:t>r</w:t>
      </w:r>
      <w:r w:rsidR="007B19D0" w:rsidRPr="00E07F6C">
        <w:rPr>
          <w:rFonts w:ascii="Times New Roman" w:eastAsia="DFKai-SB" w:hAnsi="Times New Roman" w:cs="Times New Roman"/>
          <w:szCs w:val="24"/>
          <w:vertAlign w:val="superscript"/>
        </w:rPr>
        <w:t>2</w:t>
      </w:r>
      <w:r w:rsidR="007B19D0" w:rsidRPr="00E07F6C">
        <w:rPr>
          <w:rFonts w:ascii="Times New Roman" w:eastAsia="DFKai-SB" w:hAnsi="Times New Roman" w:cs="Times New Roman"/>
          <w:szCs w:val="24"/>
        </w:rPr>
        <w:t xml:space="preserve">) using MiniMCA-12 derived NDVI to estimate fAPAR. Values in the parentheses indicate the </w:t>
      </w:r>
      <w:r w:rsidR="007B19D0" w:rsidRPr="00E07F6C">
        <w:rPr>
          <w:rFonts w:ascii="Times New Roman" w:eastAsia="DFKai-SB" w:hAnsi="Times New Roman" w:cs="Times New Roman"/>
          <w:i/>
          <w:szCs w:val="24"/>
        </w:rPr>
        <w:t>p</w:t>
      </w:r>
      <w:r w:rsidR="007B19D0" w:rsidRPr="00E07F6C">
        <w:rPr>
          <w:rFonts w:ascii="Times New Roman" w:eastAsia="DFKai-SB" w:hAnsi="Times New Roman" w:cs="Times New Roman"/>
          <w:szCs w:val="24"/>
        </w:rPr>
        <w:t xml:space="preserve"> values for the models.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3"/>
        <w:gridCol w:w="1878"/>
        <w:gridCol w:w="1878"/>
        <w:gridCol w:w="1878"/>
        <w:gridCol w:w="1878"/>
      </w:tblGrid>
      <w:tr w:rsidR="007B19D0" w:rsidRPr="00E07F6C" w:rsidTr="002311DE">
        <w:trPr>
          <w:trHeight w:val="488"/>
        </w:trPr>
        <w:tc>
          <w:tcPr>
            <w:tcW w:w="534" w:type="dxa"/>
            <w:tcBorders>
              <w:top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tcBorders>
              <w:top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5634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NIR</w:t>
            </w:r>
          </w:p>
        </w:tc>
      </w:tr>
      <w:tr w:rsidR="007B19D0" w:rsidRPr="00E07F6C" w:rsidTr="002311DE">
        <w:trPr>
          <w:trHeight w:val="488"/>
        </w:trPr>
        <w:tc>
          <w:tcPr>
            <w:tcW w:w="534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tcBorders>
              <w:top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750 nm</w:t>
            </w:r>
          </w:p>
        </w:tc>
        <w:tc>
          <w:tcPr>
            <w:tcW w:w="1878" w:type="dxa"/>
            <w:tcBorders>
              <w:top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780 nm</w:t>
            </w:r>
          </w:p>
        </w:tc>
        <w:tc>
          <w:tcPr>
            <w:tcW w:w="1878" w:type="dxa"/>
            <w:tcBorders>
              <w:top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950 nm</w:t>
            </w:r>
          </w:p>
        </w:tc>
      </w:tr>
      <w:tr w:rsidR="007B19D0" w:rsidRPr="00E07F6C" w:rsidTr="002311DE">
        <w:trPr>
          <w:trHeight w:val="488"/>
        </w:trPr>
        <w:tc>
          <w:tcPr>
            <w:tcW w:w="534" w:type="dxa"/>
            <w:vMerge w:val="restart"/>
            <w:tcBorders>
              <w:bottom w:val="single" w:sz="4" w:space="0" w:color="auto"/>
            </w:tcBorders>
            <w:textDirection w:val="btLr"/>
            <w:vAlign w:val="center"/>
          </w:tcPr>
          <w:p w:rsidR="007B19D0" w:rsidRPr="00E07F6C" w:rsidRDefault="007B19D0" w:rsidP="00E07F6C">
            <w:pPr>
              <w:adjustRightInd w:val="0"/>
              <w:snapToGrid w:val="0"/>
              <w:spacing w:line="480" w:lineRule="auto"/>
              <w:ind w:left="113" w:right="113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Red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Linear fit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</w:tr>
      <w:tr w:rsidR="007B19D0" w:rsidRPr="00E07F6C" w:rsidTr="002311DE">
        <w:trPr>
          <w:trHeight w:val="488"/>
        </w:trPr>
        <w:tc>
          <w:tcPr>
            <w:tcW w:w="534" w:type="dxa"/>
            <w:vMerge/>
            <w:tcBorders>
              <w:bottom w:val="single" w:sz="4" w:space="0" w:color="auto"/>
            </w:tcBorders>
            <w:textDirection w:val="btLr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ind w:left="113" w:right="113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650 nm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0.07 (0.13)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0.06 (0.16)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0.03 (0.32)</w:t>
            </w:r>
          </w:p>
        </w:tc>
      </w:tr>
      <w:tr w:rsidR="007B19D0" w:rsidRPr="00E07F6C" w:rsidTr="002311DE">
        <w:trPr>
          <w:trHeight w:val="488"/>
        </w:trPr>
        <w:tc>
          <w:tcPr>
            <w:tcW w:w="534" w:type="dxa"/>
            <w:vMerge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680 nm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0.05 (0.20)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0.04 (0.23)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0.02 (0.43)</w:t>
            </w:r>
            <w:r w:rsidRPr="00E07F6C">
              <w:rPr>
                <w:rFonts w:ascii="Times New Roman" w:eastAsia="DFKai-SB" w:hAnsi="Times New Roman" w:cs="Times New Roman"/>
                <w:szCs w:val="24"/>
                <w:vertAlign w:val="superscript"/>
              </w:rPr>
              <w:t xml:space="preserve"> </w:t>
            </w:r>
          </w:p>
        </w:tc>
      </w:tr>
      <w:tr w:rsidR="007B19D0" w:rsidRPr="00E07F6C" w:rsidTr="002311DE">
        <w:trPr>
          <w:trHeight w:val="488"/>
        </w:trPr>
        <w:tc>
          <w:tcPr>
            <w:tcW w:w="534" w:type="dxa"/>
            <w:vMerge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Curvilinear fit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</w:tr>
      <w:tr w:rsidR="007B19D0" w:rsidRPr="00E07F6C" w:rsidTr="002311DE">
        <w:trPr>
          <w:trHeight w:val="488"/>
        </w:trPr>
        <w:tc>
          <w:tcPr>
            <w:tcW w:w="534" w:type="dxa"/>
            <w:vMerge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650 nm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0.03 (0.32)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0.03 (0.33)</w:t>
            </w:r>
          </w:p>
        </w:tc>
        <w:tc>
          <w:tcPr>
            <w:tcW w:w="1878" w:type="dxa"/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0.01 (0.59)</w:t>
            </w:r>
          </w:p>
        </w:tc>
      </w:tr>
      <w:tr w:rsidR="007B19D0" w:rsidRPr="00E07F6C" w:rsidTr="002311DE">
        <w:trPr>
          <w:trHeight w:val="488"/>
        </w:trPr>
        <w:tc>
          <w:tcPr>
            <w:tcW w:w="534" w:type="dxa"/>
            <w:vMerge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</w:p>
        </w:tc>
        <w:tc>
          <w:tcPr>
            <w:tcW w:w="1878" w:type="dxa"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680 nm</w:t>
            </w:r>
          </w:p>
        </w:tc>
        <w:tc>
          <w:tcPr>
            <w:tcW w:w="1878" w:type="dxa"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0.02 (0.39)</w:t>
            </w:r>
          </w:p>
        </w:tc>
        <w:tc>
          <w:tcPr>
            <w:tcW w:w="1878" w:type="dxa"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0.02 (0.41)</w:t>
            </w:r>
          </w:p>
        </w:tc>
        <w:tc>
          <w:tcPr>
            <w:tcW w:w="1878" w:type="dxa"/>
            <w:tcBorders>
              <w:bottom w:val="single" w:sz="4" w:space="0" w:color="auto"/>
            </w:tcBorders>
            <w:vAlign w:val="center"/>
          </w:tcPr>
          <w:p w:rsidR="007B19D0" w:rsidRPr="00E07F6C" w:rsidRDefault="007B19D0" w:rsidP="00E07F6C">
            <w:pPr>
              <w:widowControl/>
              <w:adjustRightInd w:val="0"/>
              <w:snapToGrid w:val="0"/>
              <w:spacing w:line="480" w:lineRule="auto"/>
              <w:jc w:val="center"/>
              <w:rPr>
                <w:rFonts w:ascii="Times New Roman" w:eastAsia="DFKai-SB" w:hAnsi="Times New Roman" w:cs="Times New Roman"/>
                <w:szCs w:val="24"/>
              </w:rPr>
            </w:pPr>
            <w:r w:rsidRPr="00E07F6C">
              <w:rPr>
                <w:rFonts w:ascii="Times New Roman" w:eastAsia="DFKai-SB" w:hAnsi="Times New Roman" w:cs="Times New Roman"/>
                <w:szCs w:val="24"/>
              </w:rPr>
              <w:t>0.01 (0.68)</w:t>
            </w:r>
            <w:r w:rsidRPr="00E07F6C">
              <w:rPr>
                <w:rFonts w:ascii="Times New Roman" w:eastAsia="DFKai-SB" w:hAnsi="Times New Roman" w:cs="Times New Roman"/>
                <w:szCs w:val="24"/>
                <w:vertAlign w:val="superscript"/>
              </w:rPr>
              <w:t xml:space="preserve"> </w:t>
            </w:r>
          </w:p>
        </w:tc>
      </w:tr>
    </w:tbl>
    <w:p w:rsidR="007B19D0" w:rsidRPr="00E07F6C" w:rsidRDefault="007B19D0" w:rsidP="00E07F6C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b/>
          <w:szCs w:val="24"/>
        </w:rPr>
      </w:pPr>
      <w:r w:rsidRPr="00E07F6C">
        <w:rPr>
          <w:rFonts w:ascii="Times New Roman" w:hAnsi="Times New Roman" w:cs="Times New Roman"/>
          <w:b/>
          <w:szCs w:val="24"/>
        </w:rPr>
        <w:t xml:space="preserve"> </w:t>
      </w:r>
      <w:r w:rsidRPr="00E07F6C">
        <w:rPr>
          <w:rFonts w:ascii="Times New Roman" w:hAnsi="Times New Roman" w:cs="Times New Roman"/>
          <w:b/>
          <w:szCs w:val="24"/>
        </w:rPr>
        <w:br w:type="page"/>
      </w:r>
    </w:p>
    <w:p w:rsidR="00731FAD" w:rsidRPr="00E07F6C" w:rsidRDefault="00731FAD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Cs w:val="24"/>
        </w:rPr>
      </w:pPr>
      <w:r w:rsidRPr="00E07F6C">
        <w:rPr>
          <w:rFonts w:ascii="Times New Roman" w:hAnsi="Times New Roman" w:cs="Times New Roman"/>
          <w:b/>
          <w:szCs w:val="24"/>
        </w:rPr>
        <w:lastRenderedPageBreak/>
        <w:t>Reference</w:t>
      </w:r>
      <w:r w:rsidR="001E10E4" w:rsidRPr="00E07F6C">
        <w:rPr>
          <w:rFonts w:ascii="Times New Roman" w:hAnsi="Times New Roman" w:cs="Times New Roman"/>
          <w:b/>
          <w:szCs w:val="24"/>
        </w:rPr>
        <w:t>s</w:t>
      </w:r>
    </w:p>
    <w:p w:rsidR="00FD0787" w:rsidRPr="00E07F6C" w:rsidRDefault="00E07F6C" w:rsidP="00E07F6C">
      <w:pPr>
        <w:pStyle w:val="EndNoteBibliography"/>
        <w:adjustRightInd w:val="0"/>
        <w:snapToGrid w:val="0"/>
        <w:ind w:leftChars="1" w:left="566" w:hangingChars="235" w:hanging="564"/>
        <w:rPr>
          <w:szCs w:val="24"/>
        </w:rPr>
      </w:pPr>
      <w:bookmarkStart w:id="1" w:name="_ENREF_19"/>
      <w:r w:rsidRPr="00E07F6C">
        <w:t xml:space="preserve">Asner, G. P. 1998. “Biophysical and Biochemical Sources of Variability in Canopy Reflectance.” </w:t>
      </w:r>
      <w:r w:rsidRPr="00E07F6C">
        <w:rPr>
          <w:i/>
        </w:rPr>
        <w:t>Remote Sensing of Environment</w:t>
      </w:r>
      <w:r w:rsidRPr="00E07F6C">
        <w:t xml:space="preserve"> 64: 234–253.</w:t>
      </w:r>
    </w:p>
    <w:bookmarkEnd w:id="1"/>
    <w:p w:rsidR="00E07F6C" w:rsidRPr="00E07F6C" w:rsidRDefault="00E07F6C" w:rsidP="00E07F6C">
      <w:pPr>
        <w:pStyle w:val="EndNoteBibliography"/>
        <w:adjustRightInd w:val="0"/>
        <w:snapToGrid w:val="0"/>
        <w:ind w:leftChars="1" w:left="566" w:hangingChars="235" w:hanging="564"/>
      </w:pPr>
      <w:r w:rsidRPr="00E07F6C">
        <w:t xml:space="preserve">Jhan, J.-P., J.-Y. Rau, and C. Huang. 2016. “Band-to-band Registration and Ortho-rectification of Multilens/multispectral Imagery: A Case Study of MiniMCA-12 Acquired by a Fixed-wing UAS.” </w:t>
      </w:r>
      <w:r w:rsidRPr="00E07F6C">
        <w:rPr>
          <w:i/>
        </w:rPr>
        <w:t xml:space="preserve">ISPRS Journal of Photogrammetry and Remote Sensing </w:t>
      </w:r>
      <w:r w:rsidRPr="00E07F6C">
        <w:t>114: 66–77.</w:t>
      </w:r>
    </w:p>
    <w:p w:rsidR="00731FAD" w:rsidRPr="00E07F6C" w:rsidRDefault="00731FAD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</w:p>
    <w:p w:rsidR="00535A03" w:rsidRPr="00E07F6C" w:rsidRDefault="00535A03" w:rsidP="00E07F6C">
      <w:pPr>
        <w:adjustRightInd w:val="0"/>
        <w:snapToGrid w:val="0"/>
        <w:spacing w:line="480" w:lineRule="auto"/>
        <w:rPr>
          <w:rFonts w:ascii="Times New Roman" w:hAnsi="Times New Roman" w:cs="Times New Roman"/>
          <w:szCs w:val="24"/>
        </w:rPr>
      </w:pPr>
    </w:p>
    <w:sectPr w:rsidR="00535A03" w:rsidRPr="00E07F6C" w:rsidSect="00D175C2">
      <w:footerReference w:type="default" r:id="rId11"/>
      <w:pgSz w:w="12240" w:h="15840" w:code="1"/>
      <w:pgMar w:top="1440" w:right="1440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0B28" w:rsidRDefault="00070B28" w:rsidP="00587C6C">
      <w:r>
        <w:separator/>
      </w:r>
    </w:p>
  </w:endnote>
  <w:endnote w:type="continuationSeparator" w:id="0">
    <w:p w:rsidR="00070B28" w:rsidRDefault="00070B28" w:rsidP="00587C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平成明朝">
    <w:altName w:val="MS Gothic"/>
    <w:charset w:val="8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4"/>
        <w:szCs w:val="24"/>
      </w:rPr>
      <w:id w:val="-780566805"/>
      <w:docPartObj>
        <w:docPartGallery w:val="Page Numbers (Bottom of Page)"/>
        <w:docPartUnique/>
      </w:docPartObj>
    </w:sdtPr>
    <w:sdtEndPr/>
    <w:sdtContent>
      <w:p w:rsidR="00C75353" w:rsidRPr="00C75353" w:rsidRDefault="00C75353" w:rsidP="00C75353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C75353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C75353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C75353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F2B27" w:rsidRPr="00DF2B27">
          <w:rPr>
            <w:rFonts w:ascii="Times New Roman" w:hAnsi="Times New Roman" w:cs="Times New Roman"/>
            <w:noProof/>
            <w:sz w:val="24"/>
            <w:szCs w:val="24"/>
            <w:lang w:val="zh-TW"/>
          </w:rPr>
          <w:t>7</w:t>
        </w:r>
        <w:r w:rsidRPr="00C75353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0B28" w:rsidRDefault="00070B28" w:rsidP="00587C6C">
      <w:r>
        <w:separator/>
      </w:r>
    </w:p>
  </w:footnote>
  <w:footnote w:type="continuationSeparator" w:id="0">
    <w:p w:rsidR="00070B28" w:rsidRDefault="00070B28" w:rsidP="00587C6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Mbc0MTYyNzMxMgJS5ko6SsGpxcWZ+XkgBYYWtQDNP0JLLQAAAA=="/>
  </w:docVars>
  <w:rsids>
    <w:rsidRoot w:val="00D175C2"/>
    <w:rsid w:val="0003461D"/>
    <w:rsid w:val="00066546"/>
    <w:rsid w:val="00070B28"/>
    <w:rsid w:val="000A7532"/>
    <w:rsid w:val="000C1784"/>
    <w:rsid w:val="00151572"/>
    <w:rsid w:val="001A54BB"/>
    <w:rsid w:val="001B74AC"/>
    <w:rsid w:val="001E10E4"/>
    <w:rsid w:val="00214DEC"/>
    <w:rsid w:val="00221C84"/>
    <w:rsid w:val="00253F00"/>
    <w:rsid w:val="00293C7F"/>
    <w:rsid w:val="00295BDD"/>
    <w:rsid w:val="00406117"/>
    <w:rsid w:val="004207AF"/>
    <w:rsid w:val="00516AB8"/>
    <w:rsid w:val="00523823"/>
    <w:rsid w:val="00535A03"/>
    <w:rsid w:val="00587C6C"/>
    <w:rsid w:val="005A08FF"/>
    <w:rsid w:val="00621B06"/>
    <w:rsid w:val="0068086D"/>
    <w:rsid w:val="0068745C"/>
    <w:rsid w:val="006911B0"/>
    <w:rsid w:val="006B4871"/>
    <w:rsid w:val="006C6E37"/>
    <w:rsid w:val="00711D5F"/>
    <w:rsid w:val="00731FAD"/>
    <w:rsid w:val="00737D5E"/>
    <w:rsid w:val="0074713D"/>
    <w:rsid w:val="00776F86"/>
    <w:rsid w:val="007A081A"/>
    <w:rsid w:val="007A127A"/>
    <w:rsid w:val="007A467F"/>
    <w:rsid w:val="007B19D0"/>
    <w:rsid w:val="007C2187"/>
    <w:rsid w:val="007C2F43"/>
    <w:rsid w:val="007F329C"/>
    <w:rsid w:val="007F6540"/>
    <w:rsid w:val="00843801"/>
    <w:rsid w:val="00862431"/>
    <w:rsid w:val="008B24FE"/>
    <w:rsid w:val="009221E9"/>
    <w:rsid w:val="009A76AA"/>
    <w:rsid w:val="00A01A0A"/>
    <w:rsid w:val="00A52F35"/>
    <w:rsid w:val="00A80708"/>
    <w:rsid w:val="00AA285E"/>
    <w:rsid w:val="00AB1C91"/>
    <w:rsid w:val="00AC32C1"/>
    <w:rsid w:val="00AD1F31"/>
    <w:rsid w:val="00B37448"/>
    <w:rsid w:val="00B87462"/>
    <w:rsid w:val="00B900C5"/>
    <w:rsid w:val="00B95B17"/>
    <w:rsid w:val="00BD7907"/>
    <w:rsid w:val="00BF3716"/>
    <w:rsid w:val="00BF6236"/>
    <w:rsid w:val="00C75353"/>
    <w:rsid w:val="00CA2EE2"/>
    <w:rsid w:val="00CF0970"/>
    <w:rsid w:val="00D175C2"/>
    <w:rsid w:val="00D21F24"/>
    <w:rsid w:val="00D73B62"/>
    <w:rsid w:val="00DC77C7"/>
    <w:rsid w:val="00DD4DDC"/>
    <w:rsid w:val="00DF2B27"/>
    <w:rsid w:val="00E07F6C"/>
    <w:rsid w:val="00E44EE4"/>
    <w:rsid w:val="00E85D89"/>
    <w:rsid w:val="00EA0653"/>
    <w:rsid w:val="00EA55D3"/>
    <w:rsid w:val="00FB1A75"/>
    <w:rsid w:val="00FD0787"/>
    <w:rsid w:val="00FF7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21B06"/>
    <w:rPr>
      <w:color w:val="0563C1" w:themeColor="hyperlink"/>
      <w:u w:val="single"/>
    </w:rPr>
  </w:style>
  <w:style w:type="paragraph" w:customStyle="1" w:styleId="EndNoteBibliography">
    <w:name w:val="EndNote Bibliography"/>
    <w:basedOn w:val="Normal"/>
    <w:link w:val="EndNoteBibliography0"/>
    <w:rsid w:val="00731FAD"/>
    <w:pPr>
      <w:spacing w:line="480" w:lineRule="auto"/>
    </w:pPr>
    <w:rPr>
      <w:rFonts w:ascii="Times New Roman" w:hAnsi="Times New Roman" w:cs="Times New Roman"/>
      <w:noProof/>
    </w:rPr>
  </w:style>
  <w:style w:type="character" w:customStyle="1" w:styleId="EndNoteBibliography0">
    <w:name w:val="EndNote Bibliography 字元"/>
    <w:basedOn w:val="DefaultParagraphFont"/>
    <w:link w:val="EndNoteBibliography"/>
    <w:rsid w:val="00731FAD"/>
    <w:rPr>
      <w:rFonts w:ascii="Times New Roman" w:hAnsi="Times New Roman" w:cs="Times New Roman"/>
      <w:noProof/>
    </w:rPr>
  </w:style>
  <w:style w:type="paragraph" w:styleId="Header">
    <w:name w:val="header"/>
    <w:basedOn w:val="Normal"/>
    <w:link w:val="HeaderChar"/>
    <w:uiPriority w:val="99"/>
    <w:unhideWhenUsed/>
    <w:rsid w:val="00587C6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587C6C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587C6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587C6C"/>
    <w:rPr>
      <w:sz w:val="20"/>
      <w:szCs w:val="20"/>
    </w:rPr>
  </w:style>
  <w:style w:type="table" w:styleId="TableGrid">
    <w:name w:val="Table Grid"/>
    <w:basedOn w:val="TableNormal"/>
    <w:uiPriority w:val="59"/>
    <w:rsid w:val="00FF7A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表格"/>
    <w:link w:val="a0"/>
    <w:qFormat/>
    <w:rsid w:val="00FF7AE6"/>
    <w:pPr>
      <w:suppressAutoHyphens/>
      <w:autoSpaceDE w:val="0"/>
      <w:adjustRightInd w:val="0"/>
      <w:snapToGrid w:val="0"/>
      <w:jc w:val="center"/>
    </w:pPr>
    <w:rPr>
      <w:rFonts w:ascii="Times New Roman" w:eastAsia="Times New Roman" w:hAnsi="Times New Roman" w:cs="平成明朝"/>
      <w:kern w:val="0"/>
      <w:szCs w:val="20"/>
      <w:lang w:eastAsia="ar-SA"/>
    </w:rPr>
  </w:style>
  <w:style w:type="character" w:customStyle="1" w:styleId="a0">
    <w:name w:val="表格 字元"/>
    <w:basedOn w:val="DefaultParagraphFont"/>
    <w:link w:val="a"/>
    <w:rsid w:val="00FF7AE6"/>
    <w:rPr>
      <w:rFonts w:ascii="Times New Roman" w:eastAsia="Times New Roman" w:hAnsi="Times New Roman" w:cs="平成明朝"/>
      <w:kern w:val="0"/>
      <w:szCs w:val="20"/>
      <w:lang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2B2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2B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21B06"/>
    <w:rPr>
      <w:color w:val="0563C1" w:themeColor="hyperlink"/>
      <w:u w:val="single"/>
    </w:rPr>
  </w:style>
  <w:style w:type="paragraph" w:customStyle="1" w:styleId="EndNoteBibliography">
    <w:name w:val="EndNote Bibliography"/>
    <w:basedOn w:val="Normal"/>
    <w:link w:val="EndNoteBibliography0"/>
    <w:rsid w:val="00731FAD"/>
    <w:pPr>
      <w:spacing w:line="480" w:lineRule="auto"/>
    </w:pPr>
    <w:rPr>
      <w:rFonts w:ascii="Times New Roman" w:hAnsi="Times New Roman" w:cs="Times New Roman"/>
      <w:noProof/>
    </w:rPr>
  </w:style>
  <w:style w:type="character" w:customStyle="1" w:styleId="EndNoteBibliography0">
    <w:name w:val="EndNote Bibliography 字元"/>
    <w:basedOn w:val="DefaultParagraphFont"/>
    <w:link w:val="EndNoteBibliography"/>
    <w:rsid w:val="00731FAD"/>
    <w:rPr>
      <w:rFonts w:ascii="Times New Roman" w:hAnsi="Times New Roman" w:cs="Times New Roman"/>
      <w:noProof/>
    </w:rPr>
  </w:style>
  <w:style w:type="paragraph" w:styleId="Header">
    <w:name w:val="header"/>
    <w:basedOn w:val="Normal"/>
    <w:link w:val="HeaderChar"/>
    <w:uiPriority w:val="99"/>
    <w:unhideWhenUsed/>
    <w:rsid w:val="00587C6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587C6C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587C6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587C6C"/>
    <w:rPr>
      <w:sz w:val="20"/>
      <w:szCs w:val="20"/>
    </w:rPr>
  </w:style>
  <w:style w:type="table" w:styleId="TableGrid">
    <w:name w:val="Table Grid"/>
    <w:basedOn w:val="TableNormal"/>
    <w:uiPriority w:val="59"/>
    <w:rsid w:val="00FF7A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表格"/>
    <w:link w:val="a0"/>
    <w:qFormat/>
    <w:rsid w:val="00FF7AE6"/>
    <w:pPr>
      <w:suppressAutoHyphens/>
      <w:autoSpaceDE w:val="0"/>
      <w:adjustRightInd w:val="0"/>
      <w:snapToGrid w:val="0"/>
      <w:jc w:val="center"/>
    </w:pPr>
    <w:rPr>
      <w:rFonts w:ascii="Times New Roman" w:eastAsia="Times New Roman" w:hAnsi="Times New Roman" w:cs="平成明朝"/>
      <w:kern w:val="0"/>
      <w:szCs w:val="20"/>
      <w:lang w:eastAsia="ar-SA"/>
    </w:rPr>
  </w:style>
  <w:style w:type="character" w:customStyle="1" w:styleId="a0">
    <w:name w:val="表格 字元"/>
    <w:basedOn w:val="DefaultParagraphFont"/>
    <w:link w:val="a"/>
    <w:rsid w:val="00FF7AE6"/>
    <w:rPr>
      <w:rFonts w:ascii="Times New Roman" w:eastAsia="Times New Roman" w:hAnsi="Times New Roman" w:cs="平成明朝"/>
      <w:kern w:val="0"/>
      <w:szCs w:val="20"/>
      <w:lang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2B2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2B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415052-41E1-4BEC-A671-4426D0779B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650</Words>
  <Characters>3711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Choy</dc:creator>
  <cp:lastModifiedBy>Sankari Murugavel, Integra-PDY, IN</cp:lastModifiedBy>
  <cp:revision>2</cp:revision>
  <dcterms:created xsi:type="dcterms:W3CDTF">2018-11-27T05:31:00Z</dcterms:created>
  <dcterms:modified xsi:type="dcterms:W3CDTF">2018-11-27T05:31:00Z</dcterms:modified>
</cp:coreProperties>
</file>